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A67D2" w14:textId="77777777" w:rsidR="00824084" w:rsidRDefault="00824084" w:rsidP="00824084">
      <w:pPr>
        <w:shd w:val="clear" w:color="auto" w:fill="C1E4F5" w:themeFill="accent1" w:themeFillTint="33"/>
        <w:spacing w:line="480" w:lineRule="auto"/>
        <w:jc w:val="both"/>
        <w:rPr>
          <w:rFonts w:cstheme="minorHAnsi"/>
          <w:b/>
          <w:bCs/>
        </w:rPr>
      </w:pPr>
      <w:proofErr w:type="gramStart"/>
      <w:r w:rsidRPr="00B82D14">
        <w:rPr>
          <w:rFonts w:cstheme="minorHAnsi"/>
          <w:b/>
          <w:bCs/>
        </w:rPr>
        <w:t>Supplementary  Files</w:t>
      </w:r>
      <w:proofErr w:type="gramEnd"/>
    </w:p>
    <w:p w14:paraId="11A11C54" w14:textId="77777777" w:rsidR="00C020A5" w:rsidRPr="00A67082" w:rsidRDefault="00C020A5" w:rsidP="00C020A5">
      <w:pPr>
        <w:spacing w:after="240" w:line="480" w:lineRule="auto"/>
        <w:rPr>
          <w:b/>
          <w:bCs/>
          <w:sz w:val="32"/>
          <w:szCs w:val="32"/>
        </w:rPr>
      </w:pPr>
      <w:r w:rsidRPr="00A67082">
        <w:rPr>
          <w:b/>
          <w:bCs/>
          <w:sz w:val="32"/>
          <w:szCs w:val="32"/>
        </w:rPr>
        <w:t xml:space="preserve">Hatchery type influences the gill microbiome of Atlantic farmed salmon </w:t>
      </w:r>
      <w:r>
        <w:rPr>
          <w:b/>
          <w:bCs/>
          <w:sz w:val="32"/>
          <w:szCs w:val="32"/>
        </w:rPr>
        <w:t>(</w:t>
      </w:r>
      <w:r w:rsidRPr="00DD0883">
        <w:rPr>
          <w:b/>
          <w:bCs/>
          <w:i/>
          <w:iCs/>
          <w:sz w:val="32"/>
          <w:szCs w:val="32"/>
        </w:rPr>
        <w:t xml:space="preserve">Salmo </w:t>
      </w:r>
      <w:proofErr w:type="spellStart"/>
      <w:r w:rsidRPr="00DD0883">
        <w:rPr>
          <w:b/>
          <w:bCs/>
          <w:i/>
          <w:iCs/>
          <w:sz w:val="32"/>
          <w:szCs w:val="32"/>
        </w:rPr>
        <w:t>salar</w:t>
      </w:r>
      <w:proofErr w:type="spellEnd"/>
      <w:r>
        <w:rPr>
          <w:b/>
          <w:bCs/>
          <w:sz w:val="32"/>
          <w:szCs w:val="32"/>
        </w:rPr>
        <w:t xml:space="preserve">) </w:t>
      </w:r>
      <w:r w:rsidRPr="00A67082">
        <w:rPr>
          <w:b/>
          <w:bCs/>
          <w:sz w:val="32"/>
          <w:szCs w:val="32"/>
        </w:rPr>
        <w:t>after transfer to sea</w:t>
      </w:r>
    </w:p>
    <w:p w14:paraId="6354AC92" w14:textId="77777777" w:rsidR="00C020A5" w:rsidRPr="0085058A" w:rsidRDefault="00C020A5" w:rsidP="00C020A5">
      <w:pPr>
        <w:spacing w:after="240" w:line="480" w:lineRule="auto"/>
        <w:jc w:val="both"/>
        <w:rPr>
          <w:rFonts w:cstheme="minorHAnsi"/>
        </w:rPr>
      </w:pPr>
      <w:r w:rsidRPr="0085058A">
        <w:rPr>
          <w:rFonts w:cstheme="minorHAnsi"/>
          <w:b/>
          <w:bCs/>
        </w:rPr>
        <w:t>Authors</w:t>
      </w:r>
      <w:r w:rsidRPr="0085058A">
        <w:rPr>
          <w:rFonts w:cstheme="minorHAnsi"/>
        </w:rPr>
        <w:t>; Kelly J</w:t>
      </w:r>
      <w:r>
        <w:rPr>
          <w:rFonts w:cstheme="minorHAnsi"/>
        </w:rPr>
        <w:t>.</w:t>
      </w:r>
      <w:r w:rsidRPr="0085058A">
        <w:rPr>
          <w:rFonts w:cstheme="minorHAnsi"/>
        </w:rPr>
        <w:t xml:space="preserve"> Katchkin-Stewart</w:t>
      </w:r>
      <w:r w:rsidRPr="0085058A">
        <w:rPr>
          <w:rFonts w:cstheme="minorHAnsi"/>
          <w:vertAlign w:val="superscript"/>
        </w:rPr>
        <w:t>1</w:t>
      </w:r>
      <w:r w:rsidRPr="0085058A">
        <w:rPr>
          <w:rFonts w:cstheme="minorHAnsi"/>
        </w:rPr>
        <w:t>, Annette S. Boerlage</w:t>
      </w:r>
      <w:r w:rsidRPr="0085058A">
        <w:rPr>
          <w:rFonts w:cstheme="minorHAnsi"/>
          <w:vertAlign w:val="superscript"/>
        </w:rPr>
        <w:t>2</w:t>
      </w:r>
      <w:r w:rsidRPr="0085058A">
        <w:rPr>
          <w:rFonts w:cstheme="minorHAnsi"/>
        </w:rPr>
        <w:t>, William Barr</w:t>
      </w:r>
      <w:r w:rsidRPr="0085058A">
        <w:rPr>
          <w:rFonts w:cstheme="minorHAnsi"/>
          <w:vertAlign w:val="superscript"/>
        </w:rPr>
        <w:t>1</w:t>
      </w:r>
      <w:r w:rsidRPr="0085058A">
        <w:rPr>
          <w:rFonts w:cstheme="minorHAnsi"/>
        </w:rPr>
        <w:t>, Umer Z. Ijaz</w:t>
      </w:r>
      <w:r w:rsidRPr="0085058A">
        <w:rPr>
          <w:rFonts w:cstheme="minorHAnsi"/>
          <w:vertAlign w:val="superscript"/>
        </w:rPr>
        <w:t>1</w:t>
      </w:r>
      <w:r w:rsidRPr="0085058A">
        <w:rPr>
          <w:rFonts w:cstheme="minorHAnsi"/>
        </w:rPr>
        <w:t>, Cindy J. Smith</w:t>
      </w:r>
      <w:r w:rsidRPr="0085058A">
        <w:rPr>
          <w:rFonts w:cstheme="minorHAnsi"/>
          <w:vertAlign w:val="superscript"/>
        </w:rPr>
        <w:t>1*</w:t>
      </w:r>
    </w:p>
    <w:p w14:paraId="75350C82" w14:textId="77777777" w:rsidR="00C020A5" w:rsidRPr="0085058A" w:rsidRDefault="00C020A5" w:rsidP="00C020A5">
      <w:pPr>
        <w:spacing w:after="240" w:line="480" w:lineRule="auto"/>
        <w:jc w:val="both"/>
        <w:rPr>
          <w:rFonts w:cstheme="minorHAnsi"/>
          <w:sz w:val="20"/>
          <w:szCs w:val="20"/>
        </w:rPr>
      </w:pPr>
      <w:r w:rsidRPr="0085058A">
        <w:rPr>
          <w:rFonts w:cstheme="minorHAnsi"/>
          <w:b/>
          <w:bCs/>
          <w:sz w:val="20"/>
          <w:szCs w:val="20"/>
        </w:rPr>
        <w:t>Affiliations</w:t>
      </w:r>
      <w:r w:rsidRPr="0085058A">
        <w:rPr>
          <w:rFonts w:cstheme="minorHAnsi"/>
          <w:sz w:val="20"/>
          <w:szCs w:val="20"/>
        </w:rPr>
        <w:t xml:space="preserve">; 1. Infrastructure and Environment, James Watt School of Engineering, University of Glasgow, Glasgow, Scotland, UK. </w:t>
      </w:r>
    </w:p>
    <w:p w14:paraId="2C06707D" w14:textId="31623C05" w:rsidR="00C020A5" w:rsidRPr="00C020A5" w:rsidRDefault="00C020A5" w:rsidP="00C020A5">
      <w:pPr>
        <w:spacing w:after="240" w:line="480" w:lineRule="auto"/>
        <w:jc w:val="both"/>
        <w:rPr>
          <w:rFonts w:cstheme="minorHAnsi"/>
          <w:sz w:val="20"/>
          <w:szCs w:val="20"/>
        </w:rPr>
      </w:pPr>
      <w:r w:rsidRPr="0085058A">
        <w:rPr>
          <w:rFonts w:cstheme="minorHAnsi"/>
          <w:sz w:val="20"/>
          <w:szCs w:val="20"/>
        </w:rPr>
        <w:t xml:space="preserve">2. </w:t>
      </w:r>
      <w:r>
        <w:rPr>
          <w:rFonts w:cstheme="minorHAnsi"/>
          <w:sz w:val="20"/>
          <w:szCs w:val="20"/>
        </w:rPr>
        <w:t>Centre for Epidemiology and Planetary Health (CEPH), SRUC School of Veterinary Medicine</w:t>
      </w:r>
      <w:r w:rsidRPr="0085058A">
        <w:rPr>
          <w:rFonts w:cstheme="minorHAnsi"/>
          <w:sz w:val="20"/>
          <w:szCs w:val="20"/>
        </w:rPr>
        <w:t>, Scotland’s Rural College (SRUC), Inverness, UK</w:t>
      </w:r>
    </w:p>
    <w:p w14:paraId="14DDB962" w14:textId="244956A5" w:rsidR="00824084" w:rsidRDefault="00824084" w:rsidP="00C020A5">
      <w:pPr>
        <w:jc w:val="both"/>
        <w:rPr>
          <w:rFonts w:cstheme="minorHAnsi"/>
        </w:rPr>
      </w:pPr>
      <w:r w:rsidRPr="007B5978">
        <w:rPr>
          <w:b/>
          <w:bCs/>
        </w:rPr>
        <w:t xml:space="preserve">Supplementary </w:t>
      </w:r>
      <w:r>
        <w:rPr>
          <w:b/>
          <w:bCs/>
        </w:rPr>
        <w:t>Table</w:t>
      </w:r>
      <w:r w:rsidRPr="007B5978">
        <w:rPr>
          <w:b/>
          <w:bCs/>
        </w:rPr>
        <w:t xml:space="preserve"> </w:t>
      </w:r>
      <w:r>
        <w:rPr>
          <w:b/>
          <w:bCs/>
        </w:rPr>
        <w:t>1</w:t>
      </w:r>
      <w:r w:rsidRPr="007B5978">
        <w:rPr>
          <w:b/>
          <w:bCs/>
        </w:rPr>
        <w:t xml:space="preserve">. </w:t>
      </w:r>
      <w:r>
        <w:rPr>
          <w:b/>
          <w:bCs/>
        </w:rPr>
        <w:t>Primer sequences.</w:t>
      </w:r>
      <w:r>
        <w:t xml:space="preserve">  Primers adapted from </w:t>
      </w:r>
      <w:proofErr w:type="spellStart"/>
      <w:r w:rsidRPr="00D414FA">
        <w:rPr>
          <w:rFonts w:cstheme="minorHAnsi"/>
        </w:rPr>
        <w:t>Fadrosh</w:t>
      </w:r>
      <w:proofErr w:type="spellEnd"/>
      <w:r w:rsidRPr="00D414FA">
        <w:rPr>
          <w:rFonts w:cstheme="minorHAnsi"/>
        </w:rPr>
        <w:t xml:space="preserve"> et al. (2014)</w:t>
      </w:r>
      <w:r>
        <w:rPr>
          <w:rFonts w:cstheme="minorHAnsi"/>
        </w:rPr>
        <w:t xml:space="preserve">, using primers </w:t>
      </w:r>
      <w:r w:rsidRPr="00D414FA">
        <w:rPr>
          <w:rFonts w:cstheme="minorHAnsi"/>
        </w:rPr>
        <w:t>F27 (AGAGTTTGATCMTGGCTCAG) (Yuan et al., 2012) and R338</w:t>
      </w:r>
      <w:r>
        <w:rPr>
          <w:rFonts w:cstheme="minorHAnsi"/>
        </w:rPr>
        <w:t xml:space="preserve"> </w:t>
      </w:r>
      <w:r w:rsidRPr="00D414FA">
        <w:rPr>
          <w:rFonts w:cstheme="minorHAnsi"/>
        </w:rPr>
        <w:t>(5’ -GCTGCCTCCCGTAGGAGT) (Amann et al., 1990)</w:t>
      </w:r>
    </w:p>
    <w:p w14:paraId="226E725A" w14:textId="77777777" w:rsidR="00C020A5" w:rsidRDefault="00C020A5" w:rsidP="00C020A5">
      <w:pPr>
        <w:jc w:val="both"/>
        <w:rPr>
          <w:rFonts w:cstheme="minorHAnsi"/>
        </w:rPr>
      </w:pPr>
    </w:p>
    <w:tbl>
      <w:tblPr>
        <w:tblStyle w:val="GridTable3-Accent3"/>
        <w:tblW w:w="0" w:type="auto"/>
        <w:tblLayout w:type="fixed"/>
        <w:tblLook w:val="04A0" w:firstRow="1" w:lastRow="0" w:firstColumn="1" w:lastColumn="0" w:noHBand="0" w:noVBand="1"/>
      </w:tblPr>
      <w:tblGrid>
        <w:gridCol w:w="1129"/>
        <w:gridCol w:w="1063"/>
        <w:gridCol w:w="2054"/>
        <w:gridCol w:w="1561"/>
        <w:gridCol w:w="3203"/>
      </w:tblGrid>
      <w:tr w:rsidR="00824084" w:rsidRPr="008953AC" w14:paraId="2266AC4A" w14:textId="77777777" w:rsidTr="00126E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Pr>
          <w:p w14:paraId="191DB321" w14:textId="77777777" w:rsidR="00824084" w:rsidRPr="008953AC" w:rsidRDefault="00824084" w:rsidP="00126E52">
            <w:pPr>
              <w:spacing w:line="276" w:lineRule="auto"/>
              <w:rPr>
                <w:rFonts w:ascii="Trebuchet MS" w:hAnsi="Trebuchet MS"/>
                <w:b w:val="0"/>
                <w:bCs w:val="0"/>
                <w:sz w:val="20"/>
                <w:szCs w:val="20"/>
              </w:rPr>
            </w:pPr>
            <w:r w:rsidRPr="008953AC">
              <w:rPr>
                <w:rFonts w:ascii="Trebuchet MS" w:hAnsi="Trebuchet MS"/>
                <w:b w:val="0"/>
                <w:bCs w:val="0"/>
                <w:sz w:val="20"/>
                <w:szCs w:val="20"/>
              </w:rPr>
              <w:t>Primer name</w:t>
            </w:r>
          </w:p>
        </w:tc>
        <w:tc>
          <w:tcPr>
            <w:tcW w:w="1063" w:type="dxa"/>
          </w:tcPr>
          <w:p w14:paraId="236DBA41"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sz w:val="20"/>
                <w:szCs w:val="20"/>
              </w:rPr>
            </w:pPr>
            <w:r w:rsidRPr="008953AC">
              <w:rPr>
                <w:rFonts w:ascii="Trebuchet MS" w:hAnsi="Trebuchet MS"/>
                <w:b w:val="0"/>
                <w:bCs w:val="0"/>
                <w:sz w:val="20"/>
                <w:szCs w:val="20"/>
              </w:rPr>
              <w:t xml:space="preserve">Sequence linker 1 or 2 </w:t>
            </w:r>
          </w:p>
        </w:tc>
        <w:tc>
          <w:tcPr>
            <w:tcW w:w="2054" w:type="dxa"/>
          </w:tcPr>
          <w:p w14:paraId="438F0B1B"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b w:val="0"/>
                <w:bCs w:val="0"/>
                <w:sz w:val="20"/>
                <w:szCs w:val="20"/>
              </w:rPr>
            </w:pPr>
            <w:r w:rsidRPr="008953AC">
              <w:rPr>
                <w:rFonts w:ascii="Trebuchet MS" w:hAnsi="Trebuchet MS"/>
                <w:b w:val="0"/>
                <w:bCs w:val="0"/>
                <w:sz w:val="20"/>
                <w:szCs w:val="20"/>
              </w:rPr>
              <w:t>Index</w:t>
            </w:r>
          </w:p>
        </w:tc>
        <w:tc>
          <w:tcPr>
            <w:tcW w:w="1561" w:type="dxa"/>
          </w:tcPr>
          <w:p w14:paraId="61A9ED30"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sz w:val="20"/>
                <w:szCs w:val="20"/>
              </w:rPr>
            </w:pPr>
            <w:r w:rsidRPr="008953AC">
              <w:rPr>
                <w:rFonts w:ascii="Trebuchet MS" w:hAnsi="Trebuchet MS"/>
                <w:b w:val="0"/>
                <w:bCs w:val="0"/>
                <w:sz w:val="20"/>
                <w:szCs w:val="20"/>
              </w:rPr>
              <w:t>Heterogeneity</w:t>
            </w:r>
          </w:p>
          <w:p w14:paraId="4EFD373C"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b w:val="0"/>
                <w:bCs w:val="0"/>
                <w:sz w:val="20"/>
                <w:szCs w:val="20"/>
              </w:rPr>
            </w:pPr>
            <w:r w:rsidRPr="008953AC">
              <w:rPr>
                <w:rFonts w:ascii="Trebuchet MS" w:hAnsi="Trebuchet MS"/>
                <w:b w:val="0"/>
                <w:bCs w:val="0"/>
                <w:sz w:val="20"/>
                <w:szCs w:val="20"/>
              </w:rPr>
              <w:t>Spacer</w:t>
            </w:r>
          </w:p>
        </w:tc>
        <w:tc>
          <w:tcPr>
            <w:tcW w:w="3203" w:type="dxa"/>
          </w:tcPr>
          <w:p w14:paraId="633CC8BE"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sz w:val="20"/>
                <w:szCs w:val="20"/>
              </w:rPr>
            </w:pPr>
            <w:r w:rsidRPr="008953AC">
              <w:rPr>
                <w:rFonts w:ascii="Trebuchet MS" w:hAnsi="Trebuchet MS"/>
                <w:b w:val="0"/>
                <w:bCs w:val="0"/>
                <w:sz w:val="20"/>
                <w:szCs w:val="20"/>
              </w:rPr>
              <w:t>Primer</w:t>
            </w:r>
          </w:p>
          <w:p w14:paraId="2DEE19F6" w14:textId="77777777" w:rsidR="00824084" w:rsidRPr="008953AC" w:rsidRDefault="00824084" w:rsidP="00126E52">
            <w:pPr>
              <w:spacing w:line="276" w:lineRule="auto"/>
              <w:cnfStyle w:val="100000000000" w:firstRow="1" w:lastRow="0" w:firstColumn="0" w:lastColumn="0" w:oddVBand="0" w:evenVBand="0" w:oddHBand="0" w:evenHBand="0" w:firstRowFirstColumn="0" w:firstRowLastColumn="0" w:lastRowFirstColumn="0" w:lastRowLastColumn="0"/>
              <w:rPr>
                <w:rFonts w:ascii="Trebuchet MS" w:hAnsi="Trebuchet MS"/>
                <w:b w:val="0"/>
                <w:bCs w:val="0"/>
                <w:sz w:val="20"/>
                <w:szCs w:val="20"/>
              </w:rPr>
            </w:pPr>
            <w:r w:rsidRPr="008953AC">
              <w:rPr>
                <w:rFonts w:ascii="Trebuchet MS" w:hAnsi="Trebuchet MS"/>
                <w:b w:val="0"/>
                <w:bCs w:val="0"/>
                <w:sz w:val="20"/>
                <w:szCs w:val="20"/>
              </w:rPr>
              <w:t>(5’)</w:t>
            </w:r>
          </w:p>
        </w:tc>
      </w:tr>
      <w:tr w:rsidR="00824084" w:rsidRPr="008953AC" w14:paraId="10C947A0"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7EC5604"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F27-01</w:t>
            </w:r>
          </w:p>
        </w:tc>
        <w:tc>
          <w:tcPr>
            <w:tcW w:w="1063" w:type="dxa"/>
          </w:tcPr>
          <w:p w14:paraId="20ACCE11"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206A2A42"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CCTAAACTACGG</w:t>
            </w:r>
          </w:p>
        </w:tc>
        <w:tc>
          <w:tcPr>
            <w:tcW w:w="1561" w:type="dxa"/>
          </w:tcPr>
          <w:p w14:paraId="23E3F5C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i/>
                <w:iCs/>
                <w:sz w:val="20"/>
                <w:szCs w:val="20"/>
              </w:rPr>
            </w:pPr>
            <w:r w:rsidRPr="008953AC">
              <w:rPr>
                <w:rFonts w:ascii="Trebuchet MS" w:hAnsi="Trebuchet MS" w:cs="Calibri"/>
                <w:i/>
                <w:iCs/>
                <w:color w:val="000000"/>
                <w:sz w:val="20"/>
                <w:szCs w:val="20"/>
              </w:rPr>
              <w:t>n/a</w:t>
            </w:r>
          </w:p>
        </w:tc>
        <w:tc>
          <w:tcPr>
            <w:tcW w:w="3203" w:type="dxa"/>
          </w:tcPr>
          <w:p w14:paraId="7B5897E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26B60454"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14CD8797"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F27-02</w:t>
            </w:r>
          </w:p>
        </w:tc>
        <w:tc>
          <w:tcPr>
            <w:tcW w:w="1063" w:type="dxa"/>
          </w:tcPr>
          <w:p w14:paraId="2BD763C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011AA9ED"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TGCAGATCCAAC</w:t>
            </w:r>
          </w:p>
        </w:tc>
        <w:tc>
          <w:tcPr>
            <w:tcW w:w="1561" w:type="dxa"/>
          </w:tcPr>
          <w:p w14:paraId="76F58F29"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i/>
                <w:iCs/>
                <w:sz w:val="20"/>
                <w:szCs w:val="20"/>
              </w:rPr>
            </w:pPr>
            <w:r w:rsidRPr="008953AC">
              <w:rPr>
                <w:rFonts w:ascii="Trebuchet MS" w:hAnsi="Trebuchet MS" w:cs="Calibri"/>
                <w:i/>
                <w:iCs/>
                <w:color w:val="000000"/>
                <w:sz w:val="20"/>
                <w:szCs w:val="20"/>
              </w:rPr>
              <w:t>n/a</w:t>
            </w:r>
          </w:p>
        </w:tc>
        <w:tc>
          <w:tcPr>
            <w:tcW w:w="3203" w:type="dxa"/>
          </w:tcPr>
          <w:p w14:paraId="4581FC3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3D2E4E91"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FD0DA64"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F27-03</w:t>
            </w:r>
          </w:p>
        </w:tc>
        <w:tc>
          <w:tcPr>
            <w:tcW w:w="1063" w:type="dxa"/>
          </w:tcPr>
          <w:p w14:paraId="7A56F9E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75BF03D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CCATCACATAGG</w:t>
            </w:r>
          </w:p>
        </w:tc>
        <w:tc>
          <w:tcPr>
            <w:tcW w:w="1561" w:type="dxa"/>
          </w:tcPr>
          <w:p w14:paraId="3C041E69"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i/>
                <w:iCs/>
                <w:sz w:val="20"/>
                <w:szCs w:val="20"/>
              </w:rPr>
            </w:pPr>
            <w:r w:rsidRPr="008953AC">
              <w:rPr>
                <w:rFonts w:ascii="Trebuchet MS" w:hAnsi="Trebuchet MS" w:cs="Calibri"/>
                <w:i/>
                <w:iCs/>
                <w:color w:val="000000"/>
                <w:sz w:val="20"/>
                <w:szCs w:val="20"/>
              </w:rPr>
              <w:t>n/a</w:t>
            </w:r>
          </w:p>
        </w:tc>
        <w:tc>
          <w:tcPr>
            <w:tcW w:w="3203" w:type="dxa"/>
          </w:tcPr>
          <w:p w14:paraId="050F75FE"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724B4F60"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3488DA7B"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F27-04</w:t>
            </w:r>
          </w:p>
        </w:tc>
        <w:tc>
          <w:tcPr>
            <w:tcW w:w="1063" w:type="dxa"/>
          </w:tcPr>
          <w:p w14:paraId="0132774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08179DEB"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GTGGTATGGGAG</w:t>
            </w:r>
          </w:p>
        </w:tc>
        <w:tc>
          <w:tcPr>
            <w:tcW w:w="1561" w:type="dxa"/>
          </w:tcPr>
          <w:p w14:paraId="0D11E4C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w:t>
            </w:r>
          </w:p>
        </w:tc>
        <w:tc>
          <w:tcPr>
            <w:tcW w:w="3203" w:type="dxa"/>
          </w:tcPr>
          <w:p w14:paraId="0282E30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70ADAC31"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E310C4D"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F27-05</w:t>
            </w:r>
          </w:p>
        </w:tc>
        <w:tc>
          <w:tcPr>
            <w:tcW w:w="1063" w:type="dxa"/>
          </w:tcPr>
          <w:p w14:paraId="4AB1C6DB"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21269414"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ACTTTAAGGGTG</w:t>
            </w:r>
          </w:p>
        </w:tc>
        <w:tc>
          <w:tcPr>
            <w:tcW w:w="1561" w:type="dxa"/>
          </w:tcPr>
          <w:p w14:paraId="600B98E8"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w:t>
            </w:r>
          </w:p>
        </w:tc>
        <w:tc>
          <w:tcPr>
            <w:tcW w:w="3203" w:type="dxa"/>
          </w:tcPr>
          <w:p w14:paraId="37F5EDB9"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30F815BA"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51B3D9C6"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F27-06</w:t>
            </w:r>
          </w:p>
        </w:tc>
        <w:tc>
          <w:tcPr>
            <w:tcW w:w="1063" w:type="dxa"/>
          </w:tcPr>
          <w:p w14:paraId="7BB65213"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1C77983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GAGCAACATCCT</w:t>
            </w:r>
          </w:p>
        </w:tc>
        <w:tc>
          <w:tcPr>
            <w:tcW w:w="1561" w:type="dxa"/>
          </w:tcPr>
          <w:p w14:paraId="3318473C"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w:t>
            </w:r>
          </w:p>
        </w:tc>
        <w:tc>
          <w:tcPr>
            <w:tcW w:w="3203" w:type="dxa"/>
          </w:tcPr>
          <w:p w14:paraId="457191ED"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274B2FED"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866583D"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F27-07</w:t>
            </w:r>
          </w:p>
        </w:tc>
        <w:tc>
          <w:tcPr>
            <w:tcW w:w="1063" w:type="dxa"/>
          </w:tcPr>
          <w:p w14:paraId="4953E391"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324E0F7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TGTTGCGTTTCT</w:t>
            </w:r>
          </w:p>
        </w:tc>
        <w:tc>
          <w:tcPr>
            <w:tcW w:w="1561" w:type="dxa"/>
          </w:tcPr>
          <w:p w14:paraId="77B4F1C5"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w:t>
            </w:r>
          </w:p>
        </w:tc>
        <w:tc>
          <w:tcPr>
            <w:tcW w:w="3203" w:type="dxa"/>
          </w:tcPr>
          <w:p w14:paraId="73ABF7B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4FA3EC3B"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0A7A6819"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F27-08</w:t>
            </w:r>
          </w:p>
        </w:tc>
        <w:tc>
          <w:tcPr>
            <w:tcW w:w="1063" w:type="dxa"/>
          </w:tcPr>
          <w:p w14:paraId="14F8481F"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13F39A37"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ATGTCCGACCAA</w:t>
            </w:r>
          </w:p>
        </w:tc>
        <w:tc>
          <w:tcPr>
            <w:tcW w:w="1561" w:type="dxa"/>
          </w:tcPr>
          <w:p w14:paraId="036FF85D"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w:t>
            </w:r>
          </w:p>
        </w:tc>
        <w:tc>
          <w:tcPr>
            <w:tcW w:w="3203" w:type="dxa"/>
          </w:tcPr>
          <w:p w14:paraId="7997CD17"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4B3EFAAD"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EAA7D75"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F27-09</w:t>
            </w:r>
          </w:p>
        </w:tc>
        <w:tc>
          <w:tcPr>
            <w:tcW w:w="1063" w:type="dxa"/>
          </w:tcPr>
          <w:p w14:paraId="4D9BCC2B"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6CF45F3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AGGTACGCAATT</w:t>
            </w:r>
          </w:p>
        </w:tc>
        <w:tc>
          <w:tcPr>
            <w:tcW w:w="1561" w:type="dxa"/>
          </w:tcPr>
          <w:p w14:paraId="75F5B9C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w:t>
            </w:r>
          </w:p>
        </w:tc>
        <w:tc>
          <w:tcPr>
            <w:tcW w:w="3203" w:type="dxa"/>
          </w:tcPr>
          <w:p w14:paraId="6EE4668C"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2A7E100F"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4A239564"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F27-10</w:t>
            </w:r>
          </w:p>
        </w:tc>
        <w:tc>
          <w:tcPr>
            <w:tcW w:w="1063" w:type="dxa"/>
          </w:tcPr>
          <w:p w14:paraId="5226EF4D"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3AB72BDF"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ACAGCCACCCAT</w:t>
            </w:r>
          </w:p>
        </w:tc>
        <w:tc>
          <w:tcPr>
            <w:tcW w:w="1561" w:type="dxa"/>
          </w:tcPr>
          <w:p w14:paraId="201AEE1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CGA</w:t>
            </w:r>
          </w:p>
        </w:tc>
        <w:tc>
          <w:tcPr>
            <w:tcW w:w="3203" w:type="dxa"/>
          </w:tcPr>
          <w:p w14:paraId="442DC226"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75B4FAD3"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13AEAA3"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F27-11</w:t>
            </w:r>
          </w:p>
        </w:tc>
        <w:tc>
          <w:tcPr>
            <w:tcW w:w="1063" w:type="dxa"/>
          </w:tcPr>
          <w:p w14:paraId="0C484B3B"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4C7ACC02"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TGTCTCGCAAGC</w:t>
            </w:r>
          </w:p>
        </w:tc>
        <w:tc>
          <w:tcPr>
            <w:tcW w:w="1561" w:type="dxa"/>
          </w:tcPr>
          <w:p w14:paraId="1DF13DB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CGA</w:t>
            </w:r>
          </w:p>
        </w:tc>
        <w:tc>
          <w:tcPr>
            <w:tcW w:w="3203" w:type="dxa"/>
          </w:tcPr>
          <w:p w14:paraId="4AD8AEC1"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5D665812"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3B077341"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F27-12</w:t>
            </w:r>
          </w:p>
        </w:tc>
        <w:tc>
          <w:tcPr>
            <w:tcW w:w="1063" w:type="dxa"/>
          </w:tcPr>
          <w:p w14:paraId="27DD4F2B"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7032F43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GAGGAGTAAAGC</w:t>
            </w:r>
          </w:p>
        </w:tc>
        <w:tc>
          <w:tcPr>
            <w:tcW w:w="1561" w:type="dxa"/>
          </w:tcPr>
          <w:p w14:paraId="6DCEF84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CGA</w:t>
            </w:r>
          </w:p>
        </w:tc>
        <w:tc>
          <w:tcPr>
            <w:tcW w:w="3203" w:type="dxa"/>
          </w:tcPr>
          <w:p w14:paraId="3816CA94"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6133841C"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A4D8F3E"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F27-13</w:t>
            </w:r>
          </w:p>
        </w:tc>
        <w:tc>
          <w:tcPr>
            <w:tcW w:w="1063" w:type="dxa"/>
          </w:tcPr>
          <w:p w14:paraId="4C7D1C28"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76AE142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GTTACGTGGTTG</w:t>
            </w:r>
          </w:p>
        </w:tc>
        <w:tc>
          <w:tcPr>
            <w:tcW w:w="1561" w:type="dxa"/>
          </w:tcPr>
          <w:p w14:paraId="0F4906E6"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ATGA</w:t>
            </w:r>
          </w:p>
        </w:tc>
        <w:tc>
          <w:tcPr>
            <w:tcW w:w="3203" w:type="dxa"/>
          </w:tcPr>
          <w:p w14:paraId="7F9A657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6B3D144C"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10600602"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F27-14</w:t>
            </w:r>
          </w:p>
        </w:tc>
        <w:tc>
          <w:tcPr>
            <w:tcW w:w="1063" w:type="dxa"/>
          </w:tcPr>
          <w:p w14:paraId="4ED33A6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1874DD7C"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TACCGCCTCGGA</w:t>
            </w:r>
          </w:p>
        </w:tc>
        <w:tc>
          <w:tcPr>
            <w:tcW w:w="1561" w:type="dxa"/>
          </w:tcPr>
          <w:p w14:paraId="5661A3E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ATGA</w:t>
            </w:r>
          </w:p>
        </w:tc>
        <w:tc>
          <w:tcPr>
            <w:tcW w:w="3203" w:type="dxa"/>
          </w:tcPr>
          <w:p w14:paraId="7AD8D3A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3D4F1D89"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14084E6"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F27-15</w:t>
            </w:r>
          </w:p>
        </w:tc>
        <w:tc>
          <w:tcPr>
            <w:tcW w:w="1063" w:type="dxa"/>
          </w:tcPr>
          <w:p w14:paraId="4337249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1</w:t>
            </w:r>
          </w:p>
        </w:tc>
        <w:tc>
          <w:tcPr>
            <w:tcW w:w="2054" w:type="dxa"/>
          </w:tcPr>
          <w:p w14:paraId="3582FE02"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CGTAAGATGCCT</w:t>
            </w:r>
          </w:p>
        </w:tc>
        <w:tc>
          <w:tcPr>
            <w:tcW w:w="1561" w:type="dxa"/>
          </w:tcPr>
          <w:p w14:paraId="7D576E10"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ATGA</w:t>
            </w:r>
          </w:p>
        </w:tc>
        <w:tc>
          <w:tcPr>
            <w:tcW w:w="3203" w:type="dxa"/>
          </w:tcPr>
          <w:p w14:paraId="1E2645C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AGAGTTTGATCMTGGCTCAG</w:t>
            </w:r>
          </w:p>
        </w:tc>
      </w:tr>
      <w:tr w:rsidR="00824084" w:rsidRPr="008953AC" w14:paraId="3A4B5793"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1F2CE67D"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R338-01</w:t>
            </w:r>
          </w:p>
        </w:tc>
        <w:tc>
          <w:tcPr>
            <w:tcW w:w="1063" w:type="dxa"/>
          </w:tcPr>
          <w:p w14:paraId="18931B76"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5E912D5F"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CCTAAACTACGG</w:t>
            </w:r>
          </w:p>
        </w:tc>
        <w:tc>
          <w:tcPr>
            <w:tcW w:w="1561" w:type="dxa"/>
          </w:tcPr>
          <w:p w14:paraId="02867580" w14:textId="77777777" w:rsidR="00824084" w:rsidRPr="00643C59"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i/>
                <w:iCs/>
                <w:sz w:val="20"/>
                <w:szCs w:val="20"/>
              </w:rPr>
            </w:pPr>
            <w:r w:rsidRPr="00643C59">
              <w:rPr>
                <w:rFonts w:ascii="Trebuchet MS" w:hAnsi="Trebuchet MS" w:cs="Calibri"/>
                <w:i/>
                <w:iCs/>
                <w:color w:val="000000"/>
                <w:sz w:val="20"/>
                <w:szCs w:val="20"/>
              </w:rPr>
              <w:t>n/a</w:t>
            </w:r>
          </w:p>
        </w:tc>
        <w:tc>
          <w:tcPr>
            <w:tcW w:w="3203" w:type="dxa"/>
          </w:tcPr>
          <w:p w14:paraId="7B5656C2"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1D7EFD9E"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76B7FFC"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R338-02</w:t>
            </w:r>
          </w:p>
        </w:tc>
        <w:tc>
          <w:tcPr>
            <w:tcW w:w="1063" w:type="dxa"/>
          </w:tcPr>
          <w:p w14:paraId="7219E1BA"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65F58E16"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TGCAGATCCAAC</w:t>
            </w:r>
          </w:p>
        </w:tc>
        <w:tc>
          <w:tcPr>
            <w:tcW w:w="1561" w:type="dxa"/>
          </w:tcPr>
          <w:p w14:paraId="1858C307" w14:textId="77777777" w:rsidR="00824084" w:rsidRPr="00643C59"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i/>
                <w:iCs/>
                <w:sz w:val="20"/>
                <w:szCs w:val="20"/>
              </w:rPr>
            </w:pPr>
            <w:r w:rsidRPr="00643C59">
              <w:rPr>
                <w:rFonts w:ascii="Trebuchet MS" w:hAnsi="Trebuchet MS" w:cs="Calibri"/>
                <w:i/>
                <w:iCs/>
                <w:color w:val="000000"/>
                <w:sz w:val="20"/>
                <w:szCs w:val="20"/>
              </w:rPr>
              <w:t>n/a</w:t>
            </w:r>
          </w:p>
        </w:tc>
        <w:tc>
          <w:tcPr>
            <w:tcW w:w="3203" w:type="dxa"/>
          </w:tcPr>
          <w:p w14:paraId="203E9FA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573AA9D8"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2BD4623A"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R338-03</w:t>
            </w:r>
          </w:p>
        </w:tc>
        <w:tc>
          <w:tcPr>
            <w:tcW w:w="1063" w:type="dxa"/>
          </w:tcPr>
          <w:p w14:paraId="0DC91E05"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77915C36"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CCATCACATAGG</w:t>
            </w:r>
          </w:p>
        </w:tc>
        <w:tc>
          <w:tcPr>
            <w:tcW w:w="1561" w:type="dxa"/>
          </w:tcPr>
          <w:p w14:paraId="1E8B7EE0" w14:textId="77777777" w:rsidR="00824084" w:rsidRPr="00643C59"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i/>
                <w:iCs/>
                <w:sz w:val="20"/>
                <w:szCs w:val="20"/>
              </w:rPr>
            </w:pPr>
            <w:r w:rsidRPr="00643C59">
              <w:rPr>
                <w:rFonts w:ascii="Trebuchet MS" w:hAnsi="Trebuchet MS" w:cs="Calibri"/>
                <w:i/>
                <w:iCs/>
                <w:color w:val="000000"/>
                <w:sz w:val="20"/>
                <w:szCs w:val="20"/>
              </w:rPr>
              <w:t>n/a</w:t>
            </w:r>
          </w:p>
        </w:tc>
        <w:tc>
          <w:tcPr>
            <w:tcW w:w="3203" w:type="dxa"/>
          </w:tcPr>
          <w:p w14:paraId="688F2992"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3F5A37EA"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0929B37"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R338-04</w:t>
            </w:r>
          </w:p>
        </w:tc>
        <w:tc>
          <w:tcPr>
            <w:tcW w:w="1063" w:type="dxa"/>
          </w:tcPr>
          <w:p w14:paraId="135934FF"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6052CDF6"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GTGGTATGGGAG</w:t>
            </w:r>
          </w:p>
        </w:tc>
        <w:tc>
          <w:tcPr>
            <w:tcW w:w="1561" w:type="dxa"/>
          </w:tcPr>
          <w:p w14:paraId="63B44BF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w:t>
            </w:r>
          </w:p>
        </w:tc>
        <w:tc>
          <w:tcPr>
            <w:tcW w:w="3203" w:type="dxa"/>
          </w:tcPr>
          <w:p w14:paraId="16D3330D"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3EE24BC0"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031FDCB6"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R338-05</w:t>
            </w:r>
          </w:p>
        </w:tc>
        <w:tc>
          <w:tcPr>
            <w:tcW w:w="1063" w:type="dxa"/>
          </w:tcPr>
          <w:p w14:paraId="7862D747"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02E9C299"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ACTTTAAGGGTG</w:t>
            </w:r>
          </w:p>
        </w:tc>
        <w:tc>
          <w:tcPr>
            <w:tcW w:w="1561" w:type="dxa"/>
          </w:tcPr>
          <w:p w14:paraId="5CDB1F1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w:t>
            </w:r>
          </w:p>
        </w:tc>
        <w:tc>
          <w:tcPr>
            <w:tcW w:w="3203" w:type="dxa"/>
          </w:tcPr>
          <w:p w14:paraId="5D451923"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295D595C"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A80DE25"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lastRenderedPageBreak/>
              <w:t>R338-06</w:t>
            </w:r>
          </w:p>
        </w:tc>
        <w:tc>
          <w:tcPr>
            <w:tcW w:w="1063" w:type="dxa"/>
          </w:tcPr>
          <w:p w14:paraId="0CD6D94F"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295B511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GAGCAACATCCT</w:t>
            </w:r>
          </w:p>
        </w:tc>
        <w:tc>
          <w:tcPr>
            <w:tcW w:w="1561" w:type="dxa"/>
          </w:tcPr>
          <w:p w14:paraId="2F42AB56"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w:t>
            </w:r>
          </w:p>
        </w:tc>
        <w:tc>
          <w:tcPr>
            <w:tcW w:w="3203" w:type="dxa"/>
          </w:tcPr>
          <w:p w14:paraId="2BB3BCC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48835C45"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7D39F410"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R338-07</w:t>
            </w:r>
          </w:p>
        </w:tc>
        <w:tc>
          <w:tcPr>
            <w:tcW w:w="1063" w:type="dxa"/>
          </w:tcPr>
          <w:p w14:paraId="3354FB41"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5E37C69A"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TGTTGCGTTTCT</w:t>
            </w:r>
          </w:p>
        </w:tc>
        <w:tc>
          <w:tcPr>
            <w:tcW w:w="1561" w:type="dxa"/>
          </w:tcPr>
          <w:p w14:paraId="1CCAE18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TC</w:t>
            </w:r>
          </w:p>
        </w:tc>
        <w:tc>
          <w:tcPr>
            <w:tcW w:w="3203" w:type="dxa"/>
          </w:tcPr>
          <w:p w14:paraId="2E3BD5BC"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35291E29"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277AE23"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R338-08</w:t>
            </w:r>
          </w:p>
        </w:tc>
        <w:tc>
          <w:tcPr>
            <w:tcW w:w="1063" w:type="dxa"/>
          </w:tcPr>
          <w:p w14:paraId="74606435"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30F129E2"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ATGTCCGACCAA</w:t>
            </w:r>
          </w:p>
        </w:tc>
        <w:tc>
          <w:tcPr>
            <w:tcW w:w="1561" w:type="dxa"/>
          </w:tcPr>
          <w:p w14:paraId="2EE09AD8"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TC</w:t>
            </w:r>
          </w:p>
        </w:tc>
        <w:tc>
          <w:tcPr>
            <w:tcW w:w="3203" w:type="dxa"/>
          </w:tcPr>
          <w:p w14:paraId="79A11ED7"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4ABEF08F"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0576CEB5"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R338-09</w:t>
            </w:r>
          </w:p>
        </w:tc>
        <w:tc>
          <w:tcPr>
            <w:tcW w:w="1063" w:type="dxa"/>
          </w:tcPr>
          <w:p w14:paraId="39E4B7F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167354A2"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AGGTACGCAATT</w:t>
            </w:r>
          </w:p>
        </w:tc>
        <w:tc>
          <w:tcPr>
            <w:tcW w:w="1561" w:type="dxa"/>
          </w:tcPr>
          <w:p w14:paraId="618277A8"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TC</w:t>
            </w:r>
          </w:p>
        </w:tc>
        <w:tc>
          <w:tcPr>
            <w:tcW w:w="3203" w:type="dxa"/>
          </w:tcPr>
          <w:p w14:paraId="653559B2"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7A9B3351"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A1F7132"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R338-10</w:t>
            </w:r>
          </w:p>
        </w:tc>
        <w:tc>
          <w:tcPr>
            <w:tcW w:w="1063" w:type="dxa"/>
          </w:tcPr>
          <w:p w14:paraId="43465D6F"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7D7B5618"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ACAGCCACCCAT</w:t>
            </w:r>
          </w:p>
        </w:tc>
        <w:tc>
          <w:tcPr>
            <w:tcW w:w="1561" w:type="dxa"/>
          </w:tcPr>
          <w:p w14:paraId="7FA2D0B3"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CTA</w:t>
            </w:r>
          </w:p>
        </w:tc>
        <w:tc>
          <w:tcPr>
            <w:tcW w:w="3203" w:type="dxa"/>
          </w:tcPr>
          <w:p w14:paraId="242D5824"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79CD4DC7" w14:textId="77777777" w:rsidTr="00126E52">
        <w:tc>
          <w:tcPr>
            <w:cnfStyle w:val="001000000000" w:firstRow="0" w:lastRow="0" w:firstColumn="1" w:lastColumn="0" w:oddVBand="0" w:evenVBand="0" w:oddHBand="0" w:evenHBand="0" w:firstRowFirstColumn="0" w:firstRowLastColumn="0" w:lastRowFirstColumn="0" w:lastRowLastColumn="0"/>
            <w:tcW w:w="1129" w:type="dxa"/>
          </w:tcPr>
          <w:p w14:paraId="2F0CAD40"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R338-11</w:t>
            </w:r>
          </w:p>
        </w:tc>
        <w:tc>
          <w:tcPr>
            <w:tcW w:w="1063" w:type="dxa"/>
          </w:tcPr>
          <w:p w14:paraId="145F4FA3"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277EDC76"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TGTCTCGCAAGC</w:t>
            </w:r>
          </w:p>
        </w:tc>
        <w:tc>
          <w:tcPr>
            <w:tcW w:w="1561" w:type="dxa"/>
          </w:tcPr>
          <w:p w14:paraId="48DC4FD7"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CTA</w:t>
            </w:r>
          </w:p>
        </w:tc>
        <w:tc>
          <w:tcPr>
            <w:tcW w:w="3203" w:type="dxa"/>
          </w:tcPr>
          <w:p w14:paraId="46EFD50E" w14:textId="77777777" w:rsidR="00824084" w:rsidRPr="008953AC" w:rsidRDefault="00824084" w:rsidP="00126E52">
            <w:pPr>
              <w:spacing w:line="276" w:lineRule="auto"/>
              <w:cnfStyle w:val="000000000000" w:firstRow="0" w:lastRow="0" w:firstColumn="0" w:lastColumn="0" w:oddVBand="0" w:evenVBand="0" w:oddHBand="0"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r w:rsidR="00824084" w:rsidRPr="008953AC" w14:paraId="6E8C3DB9" w14:textId="77777777" w:rsidTr="00126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42DC760" w14:textId="77777777" w:rsidR="00824084" w:rsidRPr="008953AC" w:rsidRDefault="00824084" w:rsidP="00126E52">
            <w:pPr>
              <w:spacing w:line="276" w:lineRule="auto"/>
              <w:rPr>
                <w:rFonts w:ascii="Trebuchet MS" w:hAnsi="Trebuchet MS"/>
                <w:b/>
                <w:bCs/>
                <w:sz w:val="20"/>
                <w:szCs w:val="20"/>
              </w:rPr>
            </w:pPr>
            <w:r w:rsidRPr="008953AC">
              <w:rPr>
                <w:rFonts w:ascii="Trebuchet MS" w:hAnsi="Trebuchet MS" w:cs="Calibri"/>
                <w:color w:val="000000"/>
                <w:sz w:val="20"/>
                <w:szCs w:val="20"/>
              </w:rPr>
              <w:t>R338-12</w:t>
            </w:r>
          </w:p>
        </w:tc>
        <w:tc>
          <w:tcPr>
            <w:tcW w:w="1063" w:type="dxa"/>
          </w:tcPr>
          <w:p w14:paraId="7B467FEB"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b/>
                <w:bCs/>
                <w:sz w:val="20"/>
                <w:szCs w:val="20"/>
              </w:rPr>
              <w:t>2</w:t>
            </w:r>
          </w:p>
        </w:tc>
        <w:tc>
          <w:tcPr>
            <w:tcW w:w="2054" w:type="dxa"/>
          </w:tcPr>
          <w:p w14:paraId="5AA6569A"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GAGGAGTAAAGC</w:t>
            </w:r>
          </w:p>
        </w:tc>
        <w:tc>
          <w:tcPr>
            <w:tcW w:w="1561" w:type="dxa"/>
          </w:tcPr>
          <w:p w14:paraId="3A5531EE"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Trebuchet MS" w:hAnsi="Trebuchet MS" w:cs="Calibri"/>
                <w:color w:val="000000"/>
                <w:sz w:val="20"/>
                <w:szCs w:val="20"/>
              </w:rPr>
              <w:t>CTA</w:t>
            </w:r>
          </w:p>
        </w:tc>
        <w:tc>
          <w:tcPr>
            <w:tcW w:w="3203" w:type="dxa"/>
          </w:tcPr>
          <w:p w14:paraId="71694515" w14:textId="77777777" w:rsidR="00824084" w:rsidRPr="008953AC" w:rsidRDefault="00824084" w:rsidP="00126E52">
            <w:pPr>
              <w:spacing w:line="276" w:lineRule="auto"/>
              <w:cnfStyle w:val="000000100000" w:firstRow="0" w:lastRow="0" w:firstColumn="0" w:lastColumn="0" w:oddVBand="0" w:evenVBand="0" w:oddHBand="1" w:evenHBand="0" w:firstRowFirstColumn="0" w:firstRowLastColumn="0" w:lastRowFirstColumn="0" w:lastRowLastColumn="0"/>
              <w:rPr>
                <w:rFonts w:ascii="Trebuchet MS" w:hAnsi="Trebuchet MS"/>
                <w:b/>
                <w:bCs/>
                <w:sz w:val="20"/>
                <w:szCs w:val="20"/>
              </w:rPr>
            </w:pPr>
            <w:r w:rsidRPr="008953AC">
              <w:rPr>
                <w:rFonts w:ascii="Helvetica" w:eastAsia="Helvetica" w:hAnsi="Helvetica" w:cs="Helvetica"/>
                <w:color w:val="000000" w:themeColor="text1"/>
                <w:sz w:val="20"/>
                <w:szCs w:val="20"/>
              </w:rPr>
              <w:t>GCTGCCTCCCGTAGGAGT</w:t>
            </w:r>
          </w:p>
        </w:tc>
      </w:tr>
    </w:tbl>
    <w:p w14:paraId="1528CF3B" w14:textId="77777777" w:rsidR="00824084" w:rsidRDefault="00824084" w:rsidP="00824084">
      <w:pPr>
        <w:spacing w:line="360" w:lineRule="auto"/>
        <w:rPr>
          <w:rFonts w:ascii="Trebuchet MS" w:hAnsi="Trebuchet MS"/>
          <w:b/>
          <w:bCs/>
          <w:sz w:val="20"/>
          <w:szCs w:val="20"/>
        </w:rPr>
      </w:pPr>
      <w:r>
        <w:rPr>
          <w:rFonts w:ascii="Trebuchet MS" w:hAnsi="Trebuchet MS"/>
          <w:b/>
          <w:bCs/>
          <w:sz w:val="20"/>
          <w:szCs w:val="20"/>
        </w:rPr>
        <w:t xml:space="preserve">Linker sequence 1 (Forward primers) = </w:t>
      </w:r>
      <w:r w:rsidRPr="00F57AA6">
        <w:rPr>
          <w:rFonts w:ascii="Helvetica" w:hAnsi="Helvetica" w:cstheme="minorHAnsi"/>
          <w:sz w:val="20"/>
          <w:szCs w:val="20"/>
        </w:rPr>
        <w:t>5’CAAGCAGAAGACGGCATACGAGATGTGACTGGAGTTCAGACGTGTGCTCTTCCGATCT</w:t>
      </w:r>
    </w:p>
    <w:p w14:paraId="59A2C8FF" w14:textId="77777777" w:rsidR="00824084" w:rsidRDefault="00824084" w:rsidP="00824084">
      <w:pPr>
        <w:spacing w:line="360" w:lineRule="auto"/>
        <w:rPr>
          <w:rFonts w:ascii="Trebuchet MS" w:hAnsi="Trebuchet MS"/>
          <w:b/>
          <w:bCs/>
          <w:sz w:val="20"/>
          <w:szCs w:val="20"/>
        </w:rPr>
      </w:pPr>
      <w:r>
        <w:rPr>
          <w:rFonts w:ascii="Trebuchet MS" w:hAnsi="Trebuchet MS"/>
          <w:b/>
          <w:bCs/>
          <w:sz w:val="20"/>
          <w:szCs w:val="20"/>
        </w:rPr>
        <w:t xml:space="preserve">Linker sequence 2 (Reverse primers) = </w:t>
      </w:r>
      <w:r w:rsidRPr="00F57AA6">
        <w:rPr>
          <w:rFonts w:ascii="Helvetica" w:hAnsi="Helvetica" w:cstheme="minorHAnsi"/>
          <w:sz w:val="20"/>
          <w:szCs w:val="20"/>
        </w:rPr>
        <w:t>5’</w:t>
      </w:r>
      <w:r w:rsidRPr="00F57AA6">
        <w:rPr>
          <w:rFonts w:ascii="Helvetica" w:hAnsi="Helvetica"/>
          <w:sz w:val="20"/>
          <w:szCs w:val="20"/>
        </w:rPr>
        <w:t>A</w:t>
      </w:r>
      <w:r w:rsidRPr="00F57AA6">
        <w:rPr>
          <w:rFonts w:ascii="Helvetica" w:hAnsi="Helvetica" w:cstheme="minorHAnsi"/>
          <w:sz w:val="20"/>
          <w:szCs w:val="20"/>
        </w:rPr>
        <w:t>ATGATACGGCGACCACCGAGATCTACACTCTTTCCCTACACGACGCTCTTCCGATCT</w:t>
      </w:r>
    </w:p>
    <w:p w14:paraId="5505D22D" w14:textId="77777777" w:rsidR="00824084" w:rsidRDefault="00824084" w:rsidP="00824084"/>
    <w:p w14:paraId="5B5CE5A2" w14:textId="77777777" w:rsidR="00824084" w:rsidRDefault="00824084" w:rsidP="00824084"/>
    <w:p w14:paraId="15E2572A" w14:textId="77777777" w:rsidR="00824084" w:rsidRDefault="00824084" w:rsidP="00824084"/>
    <w:p w14:paraId="27369B89" w14:textId="77777777" w:rsidR="00824084" w:rsidRPr="00F0165A" w:rsidRDefault="00824084" w:rsidP="00C020A5">
      <w:pPr>
        <w:jc w:val="both"/>
      </w:pPr>
      <w:r w:rsidRPr="007B5978">
        <w:rPr>
          <w:b/>
          <w:bCs/>
        </w:rPr>
        <w:t xml:space="preserve">Supplementary </w:t>
      </w:r>
      <w:r>
        <w:rPr>
          <w:b/>
          <w:bCs/>
        </w:rPr>
        <w:t>Table</w:t>
      </w:r>
      <w:r w:rsidRPr="007B5978">
        <w:rPr>
          <w:b/>
          <w:bCs/>
        </w:rPr>
        <w:t xml:space="preserve"> </w:t>
      </w:r>
      <w:r>
        <w:rPr>
          <w:b/>
          <w:bCs/>
        </w:rPr>
        <w:t>2</w:t>
      </w:r>
      <w:r w:rsidRPr="007B5978">
        <w:rPr>
          <w:b/>
          <w:bCs/>
        </w:rPr>
        <w:t xml:space="preserve">. </w:t>
      </w:r>
      <w:r>
        <w:rPr>
          <w:b/>
          <w:bCs/>
        </w:rPr>
        <w:t>Universal 16S rRNA gene primers sequences alignment to 18S rRNA gene of Atlantic salmon (</w:t>
      </w:r>
      <w:r w:rsidRPr="00F0165A">
        <w:rPr>
          <w:b/>
          <w:bCs/>
          <w:i/>
          <w:iCs/>
        </w:rPr>
        <w:t xml:space="preserve">Salmo </w:t>
      </w:r>
      <w:proofErr w:type="spellStart"/>
      <w:r w:rsidRPr="00F0165A">
        <w:rPr>
          <w:b/>
          <w:bCs/>
          <w:i/>
          <w:iCs/>
        </w:rPr>
        <w:t>salar</w:t>
      </w:r>
      <w:proofErr w:type="spellEnd"/>
      <w:r>
        <w:rPr>
          <w:b/>
          <w:bCs/>
        </w:rPr>
        <w:t xml:space="preserve">). </w:t>
      </w:r>
      <w:r>
        <w:t>Alignment was performed using ClustalX2 software on mac (Larkin et al., 2007), aligning each primer sequence to the reference 18S rRNA gene sequence (European Nucleotide Archive 2019, Accession; FJ710886).</w:t>
      </w:r>
    </w:p>
    <w:tbl>
      <w:tblPr>
        <w:tblStyle w:val="GridTable3-Accent3"/>
        <w:tblW w:w="9392" w:type="dxa"/>
        <w:tblLook w:val="04A0" w:firstRow="1" w:lastRow="0" w:firstColumn="1" w:lastColumn="0" w:noHBand="0" w:noVBand="1"/>
      </w:tblPr>
      <w:tblGrid>
        <w:gridCol w:w="2212"/>
        <w:gridCol w:w="2659"/>
        <w:gridCol w:w="4521"/>
      </w:tblGrid>
      <w:tr w:rsidR="00824084" w:rsidRPr="00DB3BBA" w14:paraId="705985E8" w14:textId="77777777" w:rsidTr="00126E52">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2212" w:type="dxa"/>
          </w:tcPr>
          <w:p w14:paraId="74F98FDD" w14:textId="77777777" w:rsidR="00824084" w:rsidRPr="00CD1D1B" w:rsidRDefault="00824084" w:rsidP="00126E52">
            <w:pPr>
              <w:jc w:val="center"/>
              <w:rPr>
                <w:rFonts w:ascii="Trebuchet MS" w:hAnsi="Trebuchet MS"/>
                <w:sz w:val="22"/>
                <w:szCs w:val="22"/>
              </w:rPr>
            </w:pPr>
            <w:r w:rsidRPr="00CD1D1B">
              <w:rPr>
                <w:rFonts w:ascii="Trebuchet MS" w:hAnsi="Trebuchet MS"/>
                <w:sz w:val="22"/>
                <w:szCs w:val="22"/>
              </w:rPr>
              <w:t>Primer</w:t>
            </w:r>
          </w:p>
        </w:tc>
        <w:tc>
          <w:tcPr>
            <w:tcW w:w="2659" w:type="dxa"/>
          </w:tcPr>
          <w:p w14:paraId="2510FADC" w14:textId="77777777" w:rsidR="00824084" w:rsidRPr="00CD1D1B" w:rsidRDefault="00824084" w:rsidP="00126E52">
            <w:pPr>
              <w:jc w:val="cente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CD1D1B">
              <w:rPr>
                <w:rFonts w:ascii="Trebuchet MS" w:hAnsi="Trebuchet MS"/>
                <w:sz w:val="22"/>
                <w:szCs w:val="22"/>
              </w:rPr>
              <w:t>% similarity to 18S salmon</w:t>
            </w:r>
          </w:p>
        </w:tc>
        <w:tc>
          <w:tcPr>
            <w:tcW w:w="4521" w:type="dxa"/>
          </w:tcPr>
          <w:p w14:paraId="1774A137" w14:textId="77777777" w:rsidR="00824084" w:rsidRPr="00CD1D1B" w:rsidRDefault="00824084" w:rsidP="00126E52">
            <w:pPr>
              <w:jc w:val="cente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CD1D1B">
              <w:rPr>
                <w:rFonts w:ascii="Trebuchet MS" w:hAnsi="Trebuchet MS"/>
                <w:sz w:val="22"/>
                <w:szCs w:val="22"/>
              </w:rPr>
              <w:t>Reference</w:t>
            </w:r>
          </w:p>
        </w:tc>
      </w:tr>
      <w:tr w:rsidR="00824084" w:rsidRPr="00DB3BBA" w14:paraId="5ED64B9A" w14:textId="77777777" w:rsidTr="00126E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12" w:type="dxa"/>
          </w:tcPr>
          <w:p w14:paraId="357307B3" w14:textId="77777777" w:rsidR="00824084" w:rsidRPr="005F68AA" w:rsidRDefault="00824084" w:rsidP="00126E52">
            <w:pPr>
              <w:jc w:val="center"/>
              <w:rPr>
                <w:rFonts w:ascii="Trebuchet MS" w:hAnsi="Trebuchet MS"/>
                <w:b/>
                <w:bCs/>
                <w:color w:val="000000" w:themeColor="text1"/>
                <w:sz w:val="20"/>
                <w:szCs w:val="20"/>
              </w:rPr>
            </w:pPr>
            <w:r w:rsidRPr="005F68AA">
              <w:rPr>
                <w:rFonts w:ascii="Trebuchet MS" w:hAnsi="Trebuchet MS"/>
                <w:b/>
                <w:bCs/>
                <w:color w:val="000000" w:themeColor="text1"/>
                <w:sz w:val="20"/>
                <w:szCs w:val="20"/>
              </w:rPr>
              <w:t>F27</w:t>
            </w:r>
          </w:p>
        </w:tc>
        <w:tc>
          <w:tcPr>
            <w:tcW w:w="2659" w:type="dxa"/>
          </w:tcPr>
          <w:p w14:paraId="18FB1F98" w14:textId="77777777" w:rsidR="00824084" w:rsidRPr="005F68A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b/>
                <w:bCs/>
                <w:color w:val="000000" w:themeColor="text1"/>
                <w:sz w:val="20"/>
                <w:szCs w:val="20"/>
              </w:rPr>
            </w:pPr>
            <w:r w:rsidRPr="005F68AA">
              <w:rPr>
                <w:rFonts w:ascii="Trebuchet MS" w:hAnsi="Trebuchet MS"/>
                <w:b/>
                <w:bCs/>
                <w:color w:val="000000" w:themeColor="text1"/>
                <w:sz w:val="20"/>
                <w:szCs w:val="20"/>
              </w:rPr>
              <w:t>65%</w:t>
            </w:r>
          </w:p>
        </w:tc>
        <w:tc>
          <w:tcPr>
            <w:tcW w:w="4521" w:type="dxa"/>
          </w:tcPr>
          <w:p w14:paraId="74F7BB38"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{"citationID":"1QdL3VeG","properties":{"formattedCitation":"(Le and Wang, 2020; Yuan et al., 2012)","plainCitation":"(Le and Wang, 2020; Yuan et al., 2012)","dontUpdate":true,"noteIndex":0},"citationItems":[{"id":903,"uris":["http://zotero.org/users/8772235/items/AR8ND2YL"],"itemData":{"id":903,"type":"article-journal","abstract":"Abstract\n            \n              The animal gut microbiota evolves quickly towards a complex community and plays crucial roles in its host’s health and development. Factors such as host genetics and environmental changes are regarded as important for controlling the dynamics of animal gut microbiota. Migratory animals are an important group for studying how these factors influence gut microbiota because they experience strong environmental perturbations during migration. The commercially important grey mullet,\n              Mugil cephalus\n              , is a cosmopolitan species complex that display reproductive migration behaviour. There are three cryptic species of\n              M. cephalus\n              fish distributed across the Northwest Pacific, and their spawning sites overlap in the Taiwan Strait. This extraordinary natural occurrence makes the grey mullet an ideal model organism for exploring the nature of wild animal-gut microbiota relationships and interactions. This study investigates the diversity and structure of the gut microbial community in three cryptic\n              M. cephalus\n              species using 16S rRNA amplicon sequencing. Gut microbial compositions from adult and juvenile fish samples were analysed. Our results indicate that gut microbial communities within the grey mullet share a core microbiome dominated by\n              Proteobacteria, Firmicutes\n              and\n              Actinobacteria\n              . However, the structures of gut microbial communities were more distinct between adult mullet groups than they were between juvenile ones. Intriguingly, we found that adult fish that migrate to different geographical tracts harbour gut microbiota similar to historical records of seawater microflora, along their respective migration routes. This observation provides new insights into the interaction between aquatic animal gut microbial communities and the environments along their hosts’ migratory routes, and thus warrants future study.","container-title":"Scientific Reports","DOI":"10.1038/s41598-020-64570-8","ISSN":"2045-2322","issue":"1","journalAbbreviation":"Sci Rep","language":"en","page":"7547","source":"DOI.org (Crossref)","title":"Structure and membership of gut microbial communities in multiple fish cryptic species under potential migratory effects","volume":"10","author":[{"family":"Le","given":"My Hanh"},{"family":"Wang","given":"Daryi"}],"issued":{"date-parts":[["2020",12]]}}},{"id":754,"uris":["http://zotero.org/users/8772235/items/QIY7K3WA"],"itemData":{"id":754,"type":"article-journal","abstract":"Background: DNA extraction is an essential step in all cultivation-independent approaches to characterize microbial diversity, including that associated with the human body. A fundamental challenge in using these approaches has been to isolate DNA that is representative of the microbial community sampled.\nMethodology/Principal Findings: In this study, we statistically evaluated six commonly used DNA extraction procedures using eleven human-associated bacterial species and a mock community that contained equal numbers of those eleven species. These methods were compared on the basis of DNA yield, DNA shearing, reproducibility, and most importantly representation of microbial diversity. The analysis of 16S rRNA gene sequences from a mock community showed that the observed species abundances were significantly different from the expected species abundances for all six DNA extraction methods used.\nConclusions/Significance: Protocols that included bead beating and/or mutanolysin produced significantly better bacterial community structure representation than methods without both of them. The reproducibility of all six methods was similar, and results from different experimenters and different times were in good agreement. Based on the evaluations done it appears that DNA extraction procedures for bacterial community analysis of human associated samples should include bead beating and/or mutanolysin to effectively lyse cells.","container-title":"PLoS ONE","DOI":"10.1371/journal.pone.0033865","ISSN":"1932-6203","issue":"3","journalAbbreviation":"PLoS ONE","language":"en","page":"e33865","source":"DOI.org (Crossref)","title":"Evaluation of Methods for the Extraction and Purification of DNA from the Human Microbiome","volume":"7","author":[{"family":"Yuan","given":"Sanqing"},{"family":"Cohen","given":"Dora B."},{"family":"Ravel","given":"Jacques"},{"family":"Abdo","given":"Zaid"},{"family":"Forney","given":"Larry J."}],"editor":[{"family":"Gilbert","given":"Jack Anthony"}],"issued":{"date-parts":[["2012",3,23]]}}}],"schema":"https://github.com/citation-style-language/schema/raw/master/csl-citation.json"}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w:t>
            </w:r>
            <w:r>
              <w:rPr>
                <w:rFonts w:ascii="Trebuchet MS" w:hAnsi="Trebuchet MS"/>
                <w:noProof/>
                <w:color w:val="000000" w:themeColor="text1"/>
                <w:sz w:val="20"/>
                <w:szCs w:val="20"/>
              </w:rPr>
              <w:t xml:space="preserve">Lane et al., 1991, </w:t>
            </w:r>
            <w:r w:rsidRPr="00DB3BBA">
              <w:rPr>
                <w:rFonts w:ascii="Trebuchet MS" w:hAnsi="Trebuchet MS"/>
                <w:noProof/>
                <w:color w:val="000000" w:themeColor="text1"/>
                <w:sz w:val="20"/>
                <w:szCs w:val="20"/>
              </w:rPr>
              <w:t>Yuan et al., 2012)</w:t>
            </w:r>
            <w:r w:rsidRPr="00DB3BBA">
              <w:rPr>
                <w:rFonts w:ascii="Trebuchet MS" w:hAnsi="Trebuchet MS"/>
                <w:color w:val="000000" w:themeColor="text1"/>
                <w:sz w:val="20"/>
                <w:szCs w:val="20"/>
              </w:rPr>
              <w:fldChar w:fldCharType="end"/>
            </w:r>
          </w:p>
        </w:tc>
      </w:tr>
      <w:tr w:rsidR="00824084" w:rsidRPr="00DB3BBA" w14:paraId="651EFB28" w14:textId="77777777" w:rsidTr="00126E52">
        <w:trPr>
          <w:trHeight w:val="270"/>
        </w:trPr>
        <w:tc>
          <w:tcPr>
            <w:cnfStyle w:val="001000000000" w:firstRow="0" w:lastRow="0" w:firstColumn="1" w:lastColumn="0" w:oddVBand="0" w:evenVBand="0" w:oddHBand="0" w:evenHBand="0" w:firstRowFirstColumn="0" w:firstRowLastColumn="0" w:lastRowFirstColumn="0" w:lastRowLastColumn="0"/>
            <w:tcW w:w="2212" w:type="dxa"/>
          </w:tcPr>
          <w:p w14:paraId="5E1F4150"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F63</w:t>
            </w:r>
          </w:p>
        </w:tc>
        <w:tc>
          <w:tcPr>
            <w:tcW w:w="2659" w:type="dxa"/>
          </w:tcPr>
          <w:p w14:paraId="70198941"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70%</w:t>
            </w:r>
          </w:p>
        </w:tc>
        <w:tc>
          <w:tcPr>
            <w:tcW w:w="4521" w:type="dxa"/>
          </w:tcPr>
          <w:p w14:paraId="1EB371BC"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{"citationID":"deQqGmkr","properties":{"formattedCitation":"(Beckers et al., 2016; Thijs et al., 2017)","plainCitation":"(Beckers et al., 2016; Thijs et al., 2017)","noteIndex":0},"citationItems":[{"id":907,"uris":["http://zotero.org/users/8772235/items/LRHNZ32L"],"itemData":{"id":907,"type":"article-journal","container-title":"Frontiers in Microbiology","DOI":"10.3389/fmicb.2016.00650","ISSN":"1664-302X","journalAbbreviation":"Front. Microbiol.","language":"en","source":"DOI.org (Crossref)","title":"Performance of 16s rDNA Primer Pairs in the Study of Rhizosphere and Endosphere Bacterial Microbiomes in Metabarcoding Studies","URL":"http://journal.frontiersin.org/Article/10.3389/fmicb.2016.00650/abstract","volume":"7","author":[{"family":"Beckers","given":"Bram"},{"family":"Op De Beeck","given":"Michiel"},{"family":"Thijs","given":"Sofie"},{"family":"Truyens","given":"Sascha"},{"family":"Weyens","given":"Nele"},{"family":"Boerjan","given":"Wout"},{"family":"Vangronsveld","given":"Jaco"}],"accessed":{"date-parts":[["2022",3,18]]},"issued":{"date-parts":[["2016",5,13]]}}},{"id":641,"uris":["http://zotero.org/users/8772235/items/28L22ZI7"],"itemData":{"id":641,"type":"article-journal","abstract":"Bacterial taxonomic community analyses using PCR-ampliﬁcation of the 16S rRNA gene and high-throughput sequencing has become a cornerstone in microbiology research. To reliably detect the members, or operational taxonomic units (OTUs), that make up bacterial communities, taxonomic surveys rely on the use of the most informative PCR primers to amplify the broad range of phylotypes present in up-to-date reference databases. However, primers speciﬁc for the domain Bacteria were often developed some time ago against database versions that are now out of date. Here we evaluated the performance of four bacterial primers for characterizing complex microbial communities in explosives contaminated and non-contaminated forest soil and by in silico evaluation against the current SILVA123 database. Primer pair 341f/785r produced the highest number of bacterial OTUs, phylogenetic richness, Shannon diversity, low non-speciﬁcity and most reproducible results, followed by 967f/1391r and 799f/1193r. Primer pair 68f/518r showed overall low coverage and a bias toward Alphaproteobacteria. In silico, primer pair 341f/785r showed the highest coverage of the domain Bacteria (96.1%) with no obvious bias toward the majority of bacterial species. This suggests the high utility of primer pair 341f/785r for soil and plant-associated bacterial microbiome studies.","container-title":"Frontiers in Microbiology","DOI":"10.3389/fmicb.2017.00494","ISSN":"1664-302X","journalAbbreviation":"Front. Microbiol.","language":"en","source":"DOI.org (Crossref)","title":"Comparative Evaluation of Four Bacteria-Specific Primer Pairs for 16S rRNA Gene Surveys","URL":"http://journal.frontiersin.org/article/10.3389/fmicb.2017.00494/full","volume":"8","author":[{"family":"Thijs","given":"Sofie"},{"family":"Op De Beeck","given":"Michiel"},{"family":"Beckers","given":"Bram"},{"family":"Truyens","given":"Sascha"},{"family":"Stevens","given":"Vincent"},{"family":"Van Hamme","given":"Jonathan D."},{"family":"Weyens","given":"Nele"},{"family":"Vangronsveld","given":"Jaco"}],"accessed":{"date-parts":[["2022",3,10]]},"issued":{"date-parts":[["2017",3,28]]}}}],"schema":"https://github.com/citation-style-language/schema/raw/master/csl-citation.json"}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(Beckers et al., 2016; Thijs et al., 2017)</w:t>
            </w:r>
            <w:r w:rsidRPr="00DB3BBA">
              <w:rPr>
                <w:rFonts w:ascii="Trebuchet MS" w:hAnsi="Trebuchet MS"/>
                <w:color w:val="000000" w:themeColor="text1"/>
                <w:sz w:val="20"/>
                <w:szCs w:val="20"/>
              </w:rPr>
              <w:fldChar w:fldCharType="end"/>
            </w:r>
          </w:p>
        </w:tc>
      </w:tr>
      <w:tr w:rsidR="00824084" w:rsidRPr="00DB3BBA" w14:paraId="243BAD11" w14:textId="77777777" w:rsidTr="00126E5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12" w:type="dxa"/>
          </w:tcPr>
          <w:p w14:paraId="709620C5" w14:textId="77777777" w:rsidR="00824084" w:rsidRPr="005F68AA" w:rsidRDefault="00824084" w:rsidP="00126E52">
            <w:pPr>
              <w:jc w:val="center"/>
              <w:rPr>
                <w:rFonts w:ascii="Trebuchet MS" w:hAnsi="Trebuchet MS"/>
                <w:b/>
                <w:bCs/>
                <w:color w:val="000000" w:themeColor="text1"/>
                <w:sz w:val="20"/>
                <w:szCs w:val="20"/>
              </w:rPr>
            </w:pPr>
            <w:r w:rsidRPr="005F68AA">
              <w:rPr>
                <w:rFonts w:ascii="Trebuchet MS" w:hAnsi="Trebuchet MS"/>
                <w:b/>
                <w:bCs/>
                <w:color w:val="000000" w:themeColor="text1"/>
                <w:sz w:val="20"/>
                <w:szCs w:val="20"/>
              </w:rPr>
              <w:t>R338</w:t>
            </w:r>
          </w:p>
        </w:tc>
        <w:tc>
          <w:tcPr>
            <w:tcW w:w="2659" w:type="dxa"/>
          </w:tcPr>
          <w:p w14:paraId="4A740D57" w14:textId="77777777" w:rsidR="00824084" w:rsidRPr="005F68A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b/>
                <w:bCs/>
                <w:color w:val="000000" w:themeColor="text1"/>
                <w:sz w:val="20"/>
                <w:szCs w:val="20"/>
              </w:rPr>
            </w:pPr>
            <w:r w:rsidRPr="005F68AA">
              <w:rPr>
                <w:rFonts w:ascii="Trebuchet MS" w:hAnsi="Trebuchet MS"/>
                <w:b/>
                <w:bCs/>
                <w:color w:val="000000" w:themeColor="text1"/>
                <w:sz w:val="20"/>
                <w:szCs w:val="20"/>
              </w:rPr>
              <w:t>72%</w:t>
            </w:r>
          </w:p>
        </w:tc>
        <w:tc>
          <w:tcPr>
            <w:tcW w:w="4521" w:type="dxa"/>
          </w:tcPr>
          <w:p w14:paraId="6130B279"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{"citationID":"yUtyXyyk","properties":{"formattedCitation":"(Amann et al., 1990; Salter et al., 2014)","plainCitation":"(Amann et al., 1990; Salter et al., 2014)","noteIndex":0},"citationItems":[{"id":752,"uris":["http://zotero.org/users/8772235/items/AU46MER7"],"itemData":{"id":752,"type":"article-journal","abstract":"Fluorescent oligonucleotide hybridization probes were used to label bacterial cells for analysis by flow cytometry. The probes, complementary to short sequence elements within the 16S rRNA common to phylogenetically coherent assemblages of microorganisms, were labeled with tetramethylrhodamine and hybridized to suspensions of fixed cells. Flow cytometry was used to resolve individual target and nontarget bacteria (1 to 5 microns) via probe-conferred fluorescence. Target cells were quantified in an excess of nontarget cells. The intensity of fluorescence was increased additively by the combined use of two or three fluorescent probes complementary to different regions of the same 16S rRNA.","container-title":"Applied and Environmental Microbiology","DOI":"10.1128/aem.56.6.1919-1925.1990","ISSN":"0099-2240, 1098-5336","issue":"6","journalAbbreviation":"Appl Environ Microbiol","language":"en","page":"1919-1925","source":"DOI.org (Crossref)","title":"Combination of 16S rRNA-targeted oligonucleotide probes with flow cytometry for analyzing mixed microbial populations","volume":"56","author":[{"family":"Amann","given":"R I"},{"family":"Binder","given":"B J"},{"family":"Olson","given":"R J"},{"family":"Chisholm","given":"S W"},{"family":"Devereux","given":"R"},{"family":"Stahl","given":"D A"}],"issued":{"date-parts":[["1990",6]]}}},{"id":837,"uris":["http://zotero.org/users/8772235/items/9G6YTUX6"],"itemData":{"id":837,"type":"article-journal","abstract":"Background: The study of microbial communities has been revolutionised in recent years by the widespread adoption of culture independent analytical techniques such as 16S rRNA gene sequencing and metagenomics. One potential confounder of these sequence-based approaches is the presence of contamination in DNA extraction kits and other laboratory reagents.\nResults: In this study we demonstrate that contaminating DNA is ubiquitous in commonly used DNA extraction kits and other laboratory reagents, varies greatly in composition between different kits and kit batches, and that this contamination critically impacts results obtained from samples containing a low microbial biomass. Contamination impacts both PCR-based 16S rRNA gene surveys and shotgun metagenomics. We provide an extensive list of potential contaminating genera, and guidelines on how to mitigate the effects of contamination.\nConclusions: These results suggest that caution should be advised when applying sequence-based techniques to the study of microbiota present in low biomass environments. Concurrent sequencing of negative control samples is strongly advised.","container-title":"BMC Biology","DOI":"10.1186/s12915-014-0087-z","ISSN":"1741-7007","issue":"1","journalAbbreviation":"BMC Biol","language":"en","page":"87","source":"DOI.org (Crossref)","title":"Reagent and laboratory contamination can critically impact sequence-based microbiome analyses","volume":"12","author":[{"family":"Salter","given":"Susannah J"},{"family":"Cox","given":"Michael J"},{"family":"Turek","given":"Elena M"},{"family":"Calus","given":"Szymon T"},{"family":"Cookson","given":"William O"},{"family":"Moffatt","given":"Miriam F"},{"family":"Turner","given":"Paul"},{"family":"Parkhill","given":"Julian"},{"family":"Loman","given":"Nicholas J"},{"family":"Walker","given":"Alan W"}],"issued":{"date-parts":[["2014",12]]}}}],"schema":"https://github.com/citation-style-language/schema/raw/master/csl-citation.json"}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(Amann et al., 1990; Salter et al., 2014)</w:t>
            </w:r>
            <w:r w:rsidRPr="00DB3BBA">
              <w:rPr>
                <w:rFonts w:ascii="Trebuchet MS" w:hAnsi="Trebuchet MS"/>
                <w:color w:val="000000" w:themeColor="text1"/>
                <w:sz w:val="20"/>
                <w:szCs w:val="20"/>
              </w:rPr>
              <w:fldChar w:fldCharType="end"/>
            </w:r>
          </w:p>
        </w:tc>
      </w:tr>
      <w:tr w:rsidR="00824084" w:rsidRPr="00DB3BBA" w14:paraId="772D5909" w14:textId="77777777" w:rsidTr="00126E52">
        <w:trPr>
          <w:trHeight w:val="540"/>
        </w:trPr>
        <w:tc>
          <w:tcPr>
            <w:cnfStyle w:val="001000000000" w:firstRow="0" w:lastRow="0" w:firstColumn="1" w:lastColumn="0" w:oddVBand="0" w:evenVBand="0" w:oddHBand="0" w:evenHBand="0" w:firstRowFirstColumn="0" w:firstRowLastColumn="0" w:lastRowFirstColumn="0" w:lastRowLastColumn="0"/>
            <w:tcW w:w="2212" w:type="dxa"/>
          </w:tcPr>
          <w:p w14:paraId="206B283D" w14:textId="77777777" w:rsidR="00824084" w:rsidRPr="00DB3BBA" w:rsidRDefault="00824084" w:rsidP="00126E52">
            <w:pPr>
              <w:jc w:val="center"/>
              <w:rPr>
                <w:rFonts w:ascii="Trebuchet MS" w:hAnsi="Trebuchet MS"/>
                <w:color w:val="000000" w:themeColor="text1"/>
                <w:sz w:val="20"/>
                <w:szCs w:val="20"/>
              </w:rPr>
            </w:pPr>
            <w:r w:rsidRPr="00DB3BBA">
              <w:rPr>
                <w:rFonts w:ascii="Trebuchet MS" w:hAnsi="Trebuchet MS"/>
                <w:color w:val="000000" w:themeColor="text1"/>
                <w:sz w:val="20"/>
                <w:szCs w:val="20"/>
              </w:rPr>
              <w:t>F341</w:t>
            </w:r>
          </w:p>
        </w:tc>
        <w:tc>
          <w:tcPr>
            <w:tcW w:w="2659" w:type="dxa"/>
          </w:tcPr>
          <w:p w14:paraId="49F37571"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color w:val="000000" w:themeColor="text1"/>
                <w:sz w:val="20"/>
                <w:szCs w:val="20"/>
              </w:rPr>
            </w:pPr>
            <w:r w:rsidRPr="00DB3BBA">
              <w:rPr>
                <w:rFonts w:ascii="Trebuchet MS" w:hAnsi="Trebuchet MS" w:cs="Arial"/>
                <w:color w:val="000000" w:themeColor="text1"/>
                <w:sz w:val="20"/>
                <w:szCs w:val="20"/>
              </w:rPr>
              <w:t>77%</w:t>
            </w:r>
          </w:p>
        </w:tc>
        <w:tc>
          <w:tcPr>
            <w:tcW w:w="4521" w:type="dxa"/>
          </w:tcPr>
          <w:p w14:paraId="1BED3C41"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s="Arial"/>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{"citationID":"GZBXEcc7","properties":{"formattedCitation":"(Dehler et al., 2017; Minniti et al., 2017; Takahashi et al., 2014)","plainCitation":"(Dehler et al., 2017; Minniti et al., 2017; Takahashi et al., 2014)","noteIndex":0},"citationItems":[{"id":545,"uris":["http://zotero.org/users/8772235/items/PYCRV2VE"],"itemData":{"id":545,"type":"article-journal","container-title":"Scientific Reports","DOI":"10.1038/s41598-017-13249-8","ISSN":"2045-2322","issue":"1","journalAbbreviation":"Sci Rep","language":"en","page":"13877","source":"DOI.org (Crossref)","title":"Seawater transfer alters the intestinal microbiota profiles of Atlantic salmon (Salmo salar L.)","volume":"7","author":[{"family":"Dehler","given":"Carola E."},{"family":"Secombes","given":"Christopher J."},{"family":"Martin","given":"Samuel A. M."}],"issued":{"date-parts":[["2017",12]]}}},{"id":561,"uris":["http://zotero.org/users/8772235/items/8DQD6QTP"],"itemData":{"id":561,"type":"article-journal","abstract":"The skin of the teleost is a ﬂexible and scaled structure that protects the ﬁsh toward the external environment. The outermost surface of the skin is coated with mucus, which is believed to be colonized by a diverse bacterial community (commensal and/or opportunistic). Little is known about such communities and their role in ﬁsh welfare. In aquaculture, ﬁsh seem to be more susceptible to pathogens compared to wild ﬁsh. Indeed common ﬁsh farming practices may play important roles in promoting their vulnerability, possibly by causing changes to their microbiomes. In the present study, 16S rRNA gene amplicon sequencing was employed to analyze the composition of the farmed Salmo salar skin-mucus microbiome before and after netting and transfer. The composition of the bacterial community present in the rearing water was also investigated in order to evaluate its correlation with the community present on the ﬁsh skin. Our results reveal variability of the skin-mucus microbiome among the biological replicates before ﬁsh handling. On the contrary, after ﬁsh handling, the skin-mucus community exhibited structural similarity among the biological replicates and signiﬁcant changes were observed in the bacterial composition compared to the ﬁsh analyzed prior to netting and transfer. Limited correlation was revealed between the skin-mucus microbiome and the bacterial community present in the rearing water. Finally, analysis of skin-mucus bacterial biomasses indicated low abundance for some samples, highlighting the need of caution when interpreting community data due to the possible contamination of water-residing bacteria.","container-title":"Frontiers in Microbiology","DOI":"10.3389/fmicb.2017.02043","ISSN":"1664-302X","journalAbbreviation":"Front. Microbiol.","language":"en","page":"2043","source":"DOI.org (Crossref)","title":"The Skin-Mucus Microbial Community of Farmed Atlantic Salmon (Salmo salar)","volume":"8","author":[{"family":"Minniti","given":"Giusi"},{"family":"Hagen","given":"Live Heldal"},{"family":"Porcellato","given":"Davide"},{"family":"Jørgensen","given":"Sven Martin"},{"family":"Pope","given":"Phillip B."},{"family":"Vaaje-Kolstad","given":"Gustav"}],"issued":{"date-parts":[["2017",10,20]]}}},{"id":909,"uris":["http://zotero.org/users/8772235/items/AAI93M36"],"itemData":{"id":909,"type":"article-journal","abstract":"For the analysis of microbial community structure based on 16S rDNA sequence diversity, sensitive and robust PCR amplification of 16S rDNA is a critical step. To obtain accurate microbial composition data, PCR amplification must be free of bias; however, amplifying all 16S rDNA species with equal efficiency from a sample containing a large variety of microorganisms remains challenging. Here, we designed a universal primer based on the V3-V4 hypervariable region of prokaryotic 16S rDNA for the simultaneous detection of Bacteria and Archaea in fecal samples from crossbred pigs (Landrace6Large white6Duroc) using an Illumina MiSeq next-generation sequencer. In-silico analysis showed that the newly designed universal prokaryotic primers matched approximately 98.0% of Bacteria and 94.6% of Archaea rRNA gene sequences in the Ribosomal Database Project database. For each sequencing reaction performed with the prokaryotic universal primer, an average of 69,330 (620,482) reads were obtained, of which archaeal rRNA genes comprised approximately 1.2% to 3.2% of all prokaryotic reads. In addition, the detection frequency of Bacteria belonging to the phylum Verrucomicrobia, including members of the classes Verrucomicrobiae and Opitutae, was higher in the NGS analysis using the prokaryotic universal primer than that performed with the bacterial universal primer. Importantly, this new prokaryotic universal primer set had markedly lower bias than that of most previously designed universal primers. Our findings demonstrate that the prokaryotic universal primer set designed in the present study will permit the simultaneous detection of Bacteria and Archaea, and will therefore allow for a more comprehensive understanding of microbial community structures in environmental samples.","container-title":"PLoS ONE","DOI":"10.1371/journal.pone.0105592","ISSN":"1932-6203","issue":"8","journalAbbreviation":"PLoS ONE","language":"en","page":"e105592","source":"DOI.org (Crossref)","title":"Development of a Prokaryotic Universal Primer for Simultaneous Analysis of Bacteria and Archaea Using Next-Generation Sequencing","volume":"9","author":[{"family":"Takahashi","given":"Shunsuke"},{"family":"Tomita","given":"Junko"},{"family":"Nishioka","given":"Kaori"},{"family":"Hisada","given":"Takayoshi"},{"family":"Nishijima","given":"Miyuki"}],"editor":[{"family":"Bourtzis","given":"Kostas"}],"issued":{"date-parts":[["2014",8,21]]}}}],"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(Dehler et al., 2017; Minniti et al., 2017; Takahashi et al., 2014)</w:t>
            </w:r>
            <w:r w:rsidRPr="00DB3BBA">
              <w:rPr>
                <w:rFonts w:ascii="Trebuchet MS" w:hAnsi="Trebuchet MS"/>
                <w:color w:val="000000" w:themeColor="text1"/>
                <w:sz w:val="20"/>
                <w:szCs w:val="20"/>
              </w:rPr>
              <w:fldChar w:fldCharType="end"/>
            </w:r>
          </w:p>
        </w:tc>
      </w:tr>
      <w:tr w:rsidR="00824084" w:rsidRPr="00DB3BBA" w14:paraId="0CD7A602" w14:textId="77777777" w:rsidTr="00126E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12" w:type="dxa"/>
          </w:tcPr>
          <w:p w14:paraId="21BD9CCA"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F515</w:t>
            </w:r>
          </w:p>
        </w:tc>
        <w:tc>
          <w:tcPr>
            <w:tcW w:w="2659" w:type="dxa"/>
          </w:tcPr>
          <w:p w14:paraId="0234C83B" w14:textId="77777777" w:rsidR="00824084" w:rsidRPr="00DB3BB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100%</w:t>
            </w:r>
          </w:p>
        </w:tc>
        <w:tc>
          <w:tcPr>
            <w:tcW w:w="4521" w:type="dxa"/>
          </w:tcPr>
          <w:p w14:paraId="3DF2208D"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s="Arial"/>
                <w:color w:val="000000" w:themeColor="text1"/>
                <w:sz w:val="20"/>
                <w:szCs w:val="20"/>
              </w:rPr>
              <w:t>Earth Microbiome</w:t>
            </w:r>
            <w:r>
              <w:rPr>
                <w:rFonts w:ascii="Trebuchet MS" w:hAnsi="Trebuchet MS" w:cs="Arial"/>
                <w:color w:val="000000" w:themeColor="text1"/>
                <w:sz w:val="20"/>
                <w:szCs w:val="20"/>
              </w:rPr>
              <w:t xml:space="preserve"> </w:t>
            </w:r>
            <w:r w:rsidRPr="00DB3BBA">
              <w:rPr>
                <w:rFonts w:ascii="Trebuchet MS" w:hAnsi="Trebuchet MS" w:cs="Arial"/>
                <w:color w:val="000000" w:themeColor="text1"/>
                <w:sz w:val="20"/>
                <w:szCs w:val="20"/>
              </w:rPr>
              <w:fldChar w:fldCharType="begin"/>
            </w:r>
            <w:r>
              <w:rPr>
                <w:rFonts w:ascii="Trebuchet MS" w:hAnsi="Trebuchet MS" w:cs="Arial"/>
                <w:color w:val="000000" w:themeColor="text1"/>
                <w:sz w:val="20"/>
                <w:szCs w:val="20"/>
              </w:rPr>
              <w:instrText xml:space="preserve"> ADDIN ZOTERO_ITEM CSL_CITATION {"citationID":"qcJwfR4o","properties":{"formattedCitation":"(Parada et al., 2016)","plainCitation":"(Parada et al., 2016)","noteIndex":0},"citationItems":[{"id":833,"uris":["http://zotero.org/users/8772235/items/8WB83WTX"],"itemData":{"id":833,"type":"article-journal","abstract":"Microbial community analysis via high-throughput sequencing of ampliﬁed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 TAA) and 926R (5′-CCGYCAATTYMTTTRAGTTT) yield more accurate estimates of mock community abundances, produce longer amplicons that can differentiate taxa unresolvable with 515F-C/806R, and amplify eukaryotic 18S rRNA. Mock communities ampliﬁed with 515F-Y/926R yielded closer observed community composition versus expected (r2 = 0.95) compared with 515F-Y/806R (r2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 0.5). Unexpectedly, biases with 515F-Y/806R against SAR11 in ﬁeld samples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4–10fold) were stronger than in mock communities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2fold). Correcting a mismatch to Thaumarchaea in the 515F-C increased their apparent abundance in ﬁeld samples, but not as much as using 926R rather than 806R. With plankton samples rich in eukaryotic DNA (&gt; 1 μm size fraction), 18S sequences averaged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17% of all sequences. A single mismatch can strongly bias ampliﬁcation, but even perfectly matched primers can exhibit preferential ampliﬁcation. We show that beyond in silico predictions, testing with mock communities and ﬁeld samples is important in primer selection.","container-title":"Environmental Microbiology","DOI":"10.1111/1462-2920.13023","ISSN":"14622912","issue":"5","journalAbbreviation":"Environ Microbiol","language":"en","page":"1403-1414","source":"DOI.org (Crossref)","title":"Every base matters: assessing small subunit rRNA primers for marine microbiomes with mock communities, time series and global field samples: Primers for marine microbiome studies","title-short":"Every base matters","volume":"18","author":[{"family":"Parada","given":"Alma E."},{"family":"Needham","given":"David M."},{"family":"Fuhrman","given":"Jed A."}],"issued":{"date-parts":[["2016",5]]}}}],"schema":"https://github.com/citation-style-language/schema/raw/master/csl-citation.json"} </w:instrText>
            </w:r>
            <w:r w:rsidRPr="00DB3BBA">
              <w:rPr>
                <w:rFonts w:ascii="Trebuchet MS" w:hAnsi="Trebuchet MS" w:cs="Arial"/>
                <w:color w:val="000000" w:themeColor="text1"/>
                <w:sz w:val="20"/>
                <w:szCs w:val="20"/>
              </w:rPr>
              <w:fldChar w:fldCharType="separate"/>
            </w:r>
            <w:r w:rsidRPr="00DB3BBA">
              <w:rPr>
                <w:rFonts w:ascii="Trebuchet MS" w:hAnsi="Trebuchet MS" w:cs="Arial"/>
                <w:noProof/>
                <w:color w:val="000000" w:themeColor="text1"/>
                <w:sz w:val="20"/>
                <w:szCs w:val="20"/>
              </w:rPr>
              <w:t>(Parada et al., 2016)</w:t>
            </w:r>
            <w:r w:rsidRPr="00DB3BBA">
              <w:rPr>
                <w:rFonts w:ascii="Trebuchet MS" w:hAnsi="Trebuchet MS" w:cs="Arial"/>
                <w:color w:val="000000" w:themeColor="text1"/>
                <w:sz w:val="20"/>
                <w:szCs w:val="20"/>
              </w:rPr>
              <w:fldChar w:fldCharType="end"/>
            </w:r>
          </w:p>
        </w:tc>
      </w:tr>
      <w:tr w:rsidR="00824084" w:rsidRPr="00DB3BBA" w14:paraId="01FC58E3" w14:textId="77777777" w:rsidTr="00126E52">
        <w:trPr>
          <w:trHeight w:val="270"/>
        </w:trPr>
        <w:tc>
          <w:tcPr>
            <w:cnfStyle w:val="001000000000" w:firstRow="0" w:lastRow="0" w:firstColumn="1" w:lastColumn="0" w:oddVBand="0" w:evenVBand="0" w:oddHBand="0" w:evenHBand="0" w:firstRowFirstColumn="0" w:firstRowLastColumn="0" w:lastRowFirstColumn="0" w:lastRowLastColumn="0"/>
            <w:tcW w:w="2212" w:type="dxa"/>
          </w:tcPr>
          <w:p w14:paraId="48084A9B" w14:textId="77777777" w:rsidR="00824084" w:rsidRPr="00DB3BBA" w:rsidRDefault="00824084" w:rsidP="00126E52">
            <w:pPr>
              <w:jc w:val="center"/>
              <w:rPr>
                <w:rFonts w:ascii="Trebuchet MS" w:hAnsi="Trebuchet MS"/>
                <w:color w:val="000000" w:themeColor="text1"/>
                <w:sz w:val="20"/>
                <w:szCs w:val="20"/>
              </w:rPr>
            </w:pPr>
            <w:r w:rsidRPr="00DB3BBA">
              <w:rPr>
                <w:rFonts w:ascii="Trebuchet MS" w:hAnsi="Trebuchet MS"/>
                <w:color w:val="000000" w:themeColor="text1"/>
                <w:sz w:val="20"/>
                <w:szCs w:val="20"/>
              </w:rPr>
              <w:t>R518</w:t>
            </w:r>
          </w:p>
        </w:tc>
        <w:tc>
          <w:tcPr>
            <w:tcW w:w="2659" w:type="dxa"/>
          </w:tcPr>
          <w:p w14:paraId="0122F8C6"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100%</w:t>
            </w:r>
          </w:p>
        </w:tc>
        <w:tc>
          <w:tcPr>
            <w:tcW w:w="4521" w:type="dxa"/>
          </w:tcPr>
          <w:p w14:paraId="35AE7CF3"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s="Arial"/>
                <w:color w:val="000000" w:themeColor="text1"/>
                <w:sz w:val="20"/>
                <w:szCs w:val="20"/>
              </w:rPr>
              <w:fldChar w:fldCharType="begin"/>
            </w:r>
            <w:r>
              <w:rPr>
                <w:rFonts w:ascii="Trebuchet MS" w:hAnsi="Trebuchet MS" w:cs="Arial"/>
                <w:color w:val="000000" w:themeColor="text1"/>
                <w:sz w:val="20"/>
                <w:szCs w:val="20"/>
              </w:rPr>
              <w:instrText xml:space="preserve"> ADDIN ZOTERO_ITEM CSL_CITATION {"citationID":"02toye9b","properties":{"formattedCitation":"(Thijs et al., 2017)","plainCitation":"(Thijs et al., 2017)","noteIndex":0},"citationItems":[{"id":641,"uris":["http://zotero.org/users/8772235/items/28L22ZI7"],"itemData":{"id":641,"type":"article-journal","abstract":"Bacterial taxonomic community analyses using PCR-ampliﬁcation of the 16S rRNA gene and high-throughput sequencing has become a cornerstone in microbiology research. To reliably detect the members, or operational taxonomic units (OTUs), that make up bacterial communities, taxonomic surveys rely on the use of the most informative PCR primers to amplify the broad range of phylotypes present in up-to-date reference databases. However, primers speciﬁc for the domain Bacteria were often developed some time ago against database versions that are now out of date. Here we evaluated the performance of four bacterial primers for characterizing complex microbial communities in explosives contaminated and non-contaminated forest soil and by in silico evaluation against the current SILVA123 database. Primer pair 341f/785r produced the highest number of bacterial OTUs, phylogenetic richness, Shannon diversity, low non-speciﬁcity and most reproducible results, followed by 967f/1391r and 799f/1193r. Primer pair 68f/518r showed overall low coverage and a bias toward Alphaproteobacteria. In silico, primer pair 341f/785r showed the highest coverage of the domain Bacteria (96.1%) with no obvious bias toward the majority of bacterial species. This suggests the high utility of primer pair 341f/785r for soil and plant-associated bacterial microbiome studies.","container-title":"Frontiers in Microbiology","DOI":"10.3389/fmicb.2017.00494","ISSN":"1664-302X","journalAbbreviation":"Front. Microbiol.","language":"en","source":"DOI.org (Crossref)","title":"Comparative Evaluation of Four Bacteria-Specific Primer Pairs for 16S rRNA Gene Surveys","URL":"http://journal.frontiersin.org/article/10.3389/fmicb.2017.00494/full","volume":"8","author":[{"family":"Thijs","given":"Sofie"},{"family":"Op De Beeck","given":"Michiel"},{"family":"Beckers","given":"Bram"},{"family":"Truyens","given":"Sascha"},{"family":"Stevens","given":"Vincent"},{"family":"Van Hamme","given":"Jonathan D."},{"family":"Weyens","given":"Nele"},{"family":"Vangronsveld","given":"Jaco"}],"accessed":{"date-parts":[["2022",3,10]]},"issued":{"date-parts":[["2017",3,28]]}}}],"schema":"https://github.com/citation-style-language/schema/raw/master/csl-citation.json"} </w:instrText>
            </w:r>
            <w:r w:rsidRPr="00DB3BBA">
              <w:rPr>
                <w:rFonts w:ascii="Trebuchet MS" w:hAnsi="Trebuchet MS" w:cs="Arial"/>
                <w:color w:val="000000" w:themeColor="text1"/>
                <w:sz w:val="20"/>
                <w:szCs w:val="20"/>
              </w:rPr>
              <w:fldChar w:fldCharType="separate"/>
            </w:r>
            <w:r w:rsidRPr="00DB3BBA">
              <w:rPr>
                <w:rFonts w:ascii="Trebuchet MS" w:hAnsi="Trebuchet MS" w:cs="Arial"/>
                <w:noProof/>
                <w:color w:val="000000" w:themeColor="text1"/>
                <w:sz w:val="20"/>
                <w:szCs w:val="20"/>
              </w:rPr>
              <w:t>(Thijs et al., 2017)</w:t>
            </w:r>
            <w:r w:rsidRPr="00DB3BBA">
              <w:rPr>
                <w:rFonts w:ascii="Trebuchet MS" w:hAnsi="Trebuchet MS" w:cs="Arial"/>
                <w:color w:val="000000" w:themeColor="text1"/>
                <w:sz w:val="20"/>
                <w:szCs w:val="20"/>
              </w:rPr>
              <w:fldChar w:fldCharType="end"/>
            </w:r>
          </w:p>
        </w:tc>
      </w:tr>
      <w:tr w:rsidR="00824084" w:rsidRPr="00DB3BBA" w14:paraId="29DE9EC2" w14:textId="77777777" w:rsidTr="00126E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12" w:type="dxa"/>
          </w:tcPr>
          <w:p w14:paraId="48EABCE7"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R534</w:t>
            </w:r>
          </w:p>
        </w:tc>
        <w:tc>
          <w:tcPr>
            <w:tcW w:w="2659" w:type="dxa"/>
          </w:tcPr>
          <w:p w14:paraId="705DCBD9" w14:textId="77777777" w:rsidR="00824084" w:rsidRPr="00DB3BB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100%</w:t>
            </w:r>
          </w:p>
        </w:tc>
        <w:tc>
          <w:tcPr>
            <w:tcW w:w="4521" w:type="dxa"/>
          </w:tcPr>
          <w:p w14:paraId="5962442F"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{"citationID":"gKXiSBB2","properties":{"formattedCitation":"(Walker et al., 2015)","plainCitation":"(Walker et al., 2015)","noteIndex":0},"citationItems":[{"id":762,"uris":["http://zotero.org/users/8772235/items/C9529RQA"],"itemData":{"id":762,"type":"article-journal","abstract":"Background: Characterisation of the bacterial composition of the gut microbiota is increasingly carried out with a view to establish the role of different bacterial species in causation or prevention of disease. It is thus essential that the methods used to determine the microbial composition are robust. Here, several widely used molecular techniques were compared to establish the optimal methods to assess the bacterial composition in faecal samples from babies, before weaning.\nResults: The bacterial community profile detected in the faeces of infants is highly dependent on the methodology used. Bifidobacteria were the most abundant bacteria detected at 6 weeks in faeces from two initially breast-fed babies using fluorescent in situ hybridisation (FISH), in agreement with data from previous culture-based studies. Using the 16S rRNA gene sequencing approach, however, we found that the detection of bifidobacteria in particular crucially depended on the optimisation of the DNA extraction method, and the choice of primers used to amplify the V1–V3 regions of 16S rRNA genes prior to subsequent sequence analysis. Bifidobacteria were only well represented among amplified 16S rRNA gene sequences when mechanical disruption (bead-beating) procedures for DNA extraction were employed together with optimised “universal” PCR primers. These primers incorporate degenerate bases at positions where mismatches to bifidobacteria and other bacterial taxa occur. The use of a DNA extraction kit with no bead-beating step resulted in a complete absence of bifidobacteria in the sequence data, even when using the optimised primers.\nConclusions: This work emphasises the importance of sample processing methodology to downstream sequencing results and illustrates the value of employing multiple approaches for determining microbiota composition.","container-title":"Microbiome","DOI":"10.1186/s40168-015-0087-4","ISSN":"2049-2618","issue":"1","journalAbbreviation":"Microbiome","language":"en","page":"26","source":"DOI.org (Crossref)","title":"16S rRNA gene-based profiling of the human infant gut microbiota is strongly influenced by sample processing and PCR primer choice","volume":"3","author":[{"family":"Walker","given":"Alan W."},{"family":"Martin","given":"Jennifer C."},{"family":"Scott","given":"Paul"},{"family":"Parkhill","given":"Julian"},{"family":"Flint","given":"Harry J."},{"family":"Scott","given":"Karen P."}],"issued":{"date-parts":[["2015",12]]}}}],"schema":"https://github.com/citation-style-language/schema/raw/master/csl-citation.json"}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(Walker et al., 2015)</w:t>
            </w:r>
            <w:r w:rsidRPr="00DB3BBA">
              <w:rPr>
                <w:rFonts w:ascii="Trebuchet MS" w:hAnsi="Trebuchet MS"/>
                <w:color w:val="000000" w:themeColor="text1"/>
                <w:sz w:val="20"/>
                <w:szCs w:val="20"/>
              </w:rPr>
              <w:fldChar w:fldCharType="end"/>
            </w:r>
          </w:p>
        </w:tc>
      </w:tr>
      <w:tr w:rsidR="00824084" w:rsidRPr="00DB3BBA" w14:paraId="65D6EA84" w14:textId="77777777" w:rsidTr="00126E52">
        <w:trPr>
          <w:trHeight w:val="270"/>
        </w:trPr>
        <w:tc>
          <w:tcPr>
            <w:cnfStyle w:val="001000000000" w:firstRow="0" w:lastRow="0" w:firstColumn="1" w:lastColumn="0" w:oddVBand="0" w:evenVBand="0" w:oddHBand="0" w:evenHBand="0" w:firstRowFirstColumn="0" w:firstRowLastColumn="0" w:lastRowFirstColumn="0" w:lastRowLastColumn="0"/>
            <w:tcW w:w="2212" w:type="dxa"/>
          </w:tcPr>
          <w:p w14:paraId="5C7D5097"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R785</w:t>
            </w:r>
          </w:p>
        </w:tc>
        <w:tc>
          <w:tcPr>
            <w:tcW w:w="2659" w:type="dxa"/>
          </w:tcPr>
          <w:p w14:paraId="4E89A212"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s="Arial"/>
                <w:color w:val="000000" w:themeColor="text1"/>
                <w:sz w:val="20"/>
                <w:szCs w:val="20"/>
              </w:rPr>
            </w:pPr>
            <w:r w:rsidRPr="00DB3BBA">
              <w:rPr>
                <w:rFonts w:ascii="Trebuchet MS" w:hAnsi="Trebuchet MS" w:cs="Arial"/>
                <w:color w:val="000000" w:themeColor="text1"/>
                <w:sz w:val="20"/>
                <w:szCs w:val="20"/>
              </w:rPr>
              <w:t>83%</w:t>
            </w:r>
          </w:p>
        </w:tc>
        <w:tc>
          <w:tcPr>
            <w:tcW w:w="4521" w:type="dxa"/>
          </w:tcPr>
          <w:p w14:paraId="111B77FD"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s="Arial"/>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{"citationID":"m0YADMQn","properties":{"formattedCitation":"(Llewellyn et al., 2017)","plainCitation":"(Llewellyn et al., 2017)","noteIndex":0},"citationItems":[{"id":718,"uris":["http://zotero.org/users/8772235/items/U7TKK4QG"],"itemData":{"id":718,"type":"article-journal","container-title":"Scientific Reports","DOI":"10.1038/srep43465","ISSN":"2045-2322","issue":"1","journalAbbreviation":"Sci Rep","language":"en","page":"43465","source":"DOI.org (Crossref)","title":"Parasitism perturbs the mucosal microbiome of Atlantic Salmon","volume":"7","author":[{"family":"Llewellyn","given":"M. S."},{"family":"Leadbeater","given":"S."},{"family":"Garcia","given":"C."},{"family":"Sylvain","given":"F.-E."},{"family":"Custodio","given":"M."},{"family":"Ang","given":"K. P."},{"family":"Powell","given":"F."},{"family":"Carvalho","given":"G. R."},{"family":"Creer","given":"S."},{"family":"Elliot","given":"J."},{"family":"Derome","given":"N."}],"issued":{"date-parts":[["2017",4]]}}}],"schema":"https://github.com/citation-style-language/schema/raw/master/csl-citation.json"}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(Llewellyn et al., 2017)</w:t>
            </w:r>
            <w:r w:rsidRPr="00DB3BBA">
              <w:rPr>
                <w:rFonts w:ascii="Trebuchet MS" w:hAnsi="Trebuchet MS"/>
                <w:color w:val="000000" w:themeColor="text1"/>
                <w:sz w:val="20"/>
                <w:szCs w:val="20"/>
              </w:rPr>
              <w:fldChar w:fldCharType="end"/>
            </w:r>
          </w:p>
        </w:tc>
      </w:tr>
      <w:tr w:rsidR="00824084" w:rsidRPr="00DB3BBA" w14:paraId="7FB66F51" w14:textId="77777777" w:rsidTr="00126E5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12" w:type="dxa"/>
          </w:tcPr>
          <w:p w14:paraId="00EFC058"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R806</w:t>
            </w:r>
          </w:p>
        </w:tc>
        <w:tc>
          <w:tcPr>
            <w:tcW w:w="2659" w:type="dxa"/>
          </w:tcPr>
          <w:p w14:paraId="08B2A326" w14:textId="77777777" w:rsidR="00824084" w:rsidRPr="00DB3BB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85%</w:t>
            </w:r>
          </w:p>
        </w:tc>
        <w:tc>
          <w:tcPr>
            <w:tcW w:w="4521" w:type="dxa"/>
          </w:tcPr>
          <w:p w14:paraId="48299E9B"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s="Arial"/>
                <w:color w:val="000000" w:themeColor="text1"/>
                <w:sz w:val="20"/>
                <w:szCs w:val="20"/>
              </w:rPr>
              <w:t xml:space="preserve">Earth Microbiome </w:t>
            </w:r>
            <w:r w:rsidRPr="00DB3BBA">
              <w:rPr>
                <w:rFonts w:ascii="Trebuchet MS" w:hAnsi="Trebuchet MS" w:cs="Arial"/>
                <w:color w:val="000000" w:themeColor="text1"/>
                <w:sz w:val="20"/>
                <w:szCs w:val="20"/>
              </w:rPr>
              <w:fldChar w:fldCharType="begin"/>
            </w:r>
            <w:r>
              <w:rPr>
                <w:rFonts w:ascii="Trebuchet MS" w:hAnsi="Trebuchet MS" w:cs="Arial"/>
                <w:color w:val="000000" w:themeColor="text1"/>
                <w:sz w:val="20"/>
                <w:szCs w:val="20"/>
              </w:rPr>
              <w:instrText xml:space="preserve"> ADDIN ZOTERO_ITEM CSL_CITATION {"citationID":"bC4bSXJ4","properties":{"formattedCitation":"(Parada et al., 2016)","plainCitation":"(Parada et al., 2016)","noteIndex":0},"citationItems":[{"id":833,"uris":["http://zotero.org/users/8772235/items/8WB83WTX"],"itemData":{"id":833,"type":"article-journal","abstract":"Microbial community analysis via high-throughput sequencing of ampliﬁed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 TAA) and 926R (5′-CCGYCAATTYMTTTRAGTTT) yield more accurate estimates of mock community abundances, produce longer amplicons that can differentiate taxa unresolvable with 515F-C/806R, and amplify eukaryotic 18S rRNA. Mock communities ampliﬁed with 515F-Y/926R yielded closer observed community composition versus expected (r2 = 0.95) compared with 515F-Y/806R (r2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 0.5). Unexpectedly, biases with 515F-Y/806R against SAR11 in ﬁeld samples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4–10fold) were stronger than in mock communities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2fold). Correcting a mismatch to Thaumarchaea in the 515F-C increased their apparent abundance in ﬁeld samples, but not as much as using 926R rather than 806R. With plankton samples rich in eukaryotic DNA (&gt; 1 μm size fraction), 18S sequences averaged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17% of all sequences. A single mismatch can strongly bias ampliﬁcation, but even perfectly matched primers can exhibit preferential ampliﬁcation. We show that beyond in silico predictions, testing with mock communities and ﬁeld samples is important in primer selection.","container-title":"Environmental Microbiology","DOI":"10.1111/1462-2920.13023","ISSN":"14622912","issue":"5","journalAbbreviation":"Environ Microbiol","language":"en","page":"1403-1414","source":"DOI.org (Crossref)","title":"Every base matters: assessing small subunit rRNA primers for marine microbiomes with mock communities, time series and global field samples: Primers for marine microbiome studies","title-short":"Every base matters","volume":"18","author":[{"family":"Parada","given":"Alma E."},{"family":"Needham","given":"David M."},{"family":"Fuhrman","given":"Jed A."}],"issued":{"date-parts":[["2016",5]]}}}],"schema":"https://github.com/citation-style-language/schema/raw/master/csl-citation.json"} </w:instrText>
            </w:r>
            <w:r w:rsidRPr="00DB3BBA">
              <w:rPr>
                <w:rFonts w:ascii="Trebuchet MS" w:hAnsi="Trebuchet MS" w:cs="Arial"/>
                <w:color w:val="000000" w:themeColor="text1"/>
                <w:sz w:val="20"/>
                <w:szCs w:val="20"/>
              </w:rPr>
              <w:fldChar w:fldCharType="separate"/>
            </w:r>
            <w:r w:rsidRPr="00DB3BBA">
              <w:rPr>
                <w:rFonts w:ascii="Trebuchet MS" w:hAnsi="Trebuchet MS" w:cs="Arial"/>
                <w:noProof/>
                <w:color w:val="000000" w:themeColor="text1"/>
                <w:sz w:val="20"/>
                <w:szCs w:val="20"/>
              </w:rPr>
              <w:t>(Parada et al., 2016)</w:t>
            </w:r>
            <w:r w:rsidRPr="00DB3BBA">
              <w:rPr>
                <w:rFonts w:ascii="Trebuchet MS" w:hAnsi="Trebuchet MS" w:cs="Arial"/>
                <w:color w:val="000000" w:themeColor="text1"/>
                <w:sz w:val="20"/>
                <w:szCs w:val="20"/>
              </w:rPr>
              <w:fldChar w:fldCharType="end"/>
            </w:r>
          </w:p>
        </w:tc>
      </w:tr>
      <w:tr w:rsidR="00824084" w:rsidRPr="00DB3BBA" w14:paraId="3B0FE901" w14:textId="77777777" w:rsidTr="00126E52">
        <w:trPr>
          <w:trHeight w:val="270"/>
        </w:trPr>
        <w:tc>
          <w:tcPr>
            <w:cnfStyle w:val="001000000000" w:firstRow="0" w:lastRow="0" w:firstColumn="1" w:lastColumn="0" w:oddVBand="0" w:evenVBand="0" w:oddHBand="0" w:evenHBand="0" w:firstRowFirstColumn="0" w:firstRowLastColumn="0" w:lastRowFirstColumn="0" w:lastRowLastColumn="0"/>
            <w:tcW w:w="2212" w:type="dxa"/>
          </w:tcPr>
          <w:p w14:paraId="14D97834"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R926</w:t>
            </w:r>
          </w:p>
        </w:tc>
        <w:tc>
          <w:tcPr>
            <w:tcW w:w="2659" w:type="dxa"/>
          </w:tcPr>
          <w:p w14:paraId="75E52D71"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100%</w:t>
            </w:r>
          </w:p>
        </w:tc>
        <w:tc>
          <w:tcPr>
            <w:tcW w:w="4521" w:type="dxa"/>
          </w:tcPr>
          <w:p w14:paraId="740D3DFC"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s="Arial"/>
                <w:color w:val="000000" w:themeColor="text1"/>
                <w:sz w:val="20"/>
                <w:szCs w:val="20"/>
              </w:rPr>
              <w:t xml:space="preserve">Earth Microbiome </w:t>
            </w:r>
            <w:r w:rsidRPr="00DB3BBA">
              <w:rPr>
                <w:rFonts w:ascii="Trebuchet MS" w:hAnsi="Trebuchet MS" w:cs="Arial"/>
                <w:color w:val="000000" w:themeColor="text1"/>
                <w:sz w:val="20"/>
                <w:szCs w:val="20"/>
              </w:rPr>
              <w:fldChar w:fldCharType="begin"/>
            </w:r>
            <w:r>
              <w:rPr>
                <w:rFonts w:ascii="Trebuchet MS" w:hAnsi="Trebuchet MS" w:cs="Arial"/>
                <w:color w:val="000000" w:themeColor="text1"/>
                <w:sz w:val="20"/>
                <w:szCs w:val="20"/>
              </w:rPr>
              <w:instrText xml:space="preserve"> ADDIN ZOTERO_ITEM CSL_CITATION {"citationID":"DqkTVItM","properties":{"formattedCitation":"(Parada et al., 2016)","plainCitation":"(Parada et al., 2016)","noteIndex":0},"citationItems":[{"id":833,"uris":["http://zotero.org/users/8772235/items/8WB83WTX"],"itemData":{"id":833,"type":"article-journal","abstract":"Microbial community analysis via high-throughput sequencing of ampliﬁed 16S rRNA genes is an essential microbiology tool. We found the popular primer pair 515F (515F-C) and 806R greatly underestimated (e.g. SAR11) or overestimated (e.g. Gammaproteobacteria) common marine taxa. We evaluated marine samples and mock communities (containing 11 or 27 marine 16S clones), showing alternative primers 515F-Y (5′-GTGYCAGCMGCCGCGG TAA) and 926R (5′-CCGYCAATTYMTTTRAGTTT) yield more accurate estimates of mock community abundances, produce longer amplicons that can differentiate taxa unresolvable with 515F-C/806R, and amplify eukaryotic 18S rRNA. Mock communities ampliﬁed with 515F-Y/926R yielded closer observed community composition versus expected (r2 = 0.95) compared with 515F-Y/806R (r2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 0.5). Unexpectedly, biases with 515F-Y/806R against SAR11 in ﬁeld samples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4–10fold) were stronger than in mock communities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2fold). Correcting a mismatch to Thaumarchaea in the 515F-C increased their apparent abundance in ﬁeld samples, but not as much as using 926R rather than 806R. With plankton samples rich in eukaryotic DNA (&gt; 1 μm size fraction), 18S sequences averaged </w:instrText>
            </w:r>
            <w:r>
              <w:rPr>
                <w:rFonts w:ascii="Cambria Math" w:hAnsi="Cambria Math" w:cs="Cambria Math"/>
                <w:color w:val="000000" w:themeColor="text1"/>
                <w:sz w:val="20"/>
                <w:szCs w:val="20"/>
              </w:rPr>
              <w:instrText>∼</w:instrText>
            </w:r>
            <w:r>
              <w:rPr>
                <w:rFonts w:ascii="Trebuchet MS" w:hAnsi="Trebuchet MS" w:cs="Arial"/>
                <w:color w:val="000000" w:themeColor="text1"/>
                <w:sz w:val="20"/>
                <w:szCs w:val="20"/>
              </w:rPr>
              <w:instrText xml:space="preserve">17% of all sequences. A single mismatch can strongly bias ampliﬁcation, but even perfectly matched primers can exhibit preferential ampliﬁcation. We show that beyond in silico predictions, testing with mock communities and ﬁeld samples is important in primer selection.","container-title":"Environmental Microbiology","DOI":"10.1111/1462-2920.13023","ISSN":"14622912","issue":"5","journalAbbreviation":"Environ Microbiol","language":"en","page":"1403-1414","source":"DOI.org (Crossref)","title":"Every base matters: assessing small subunit rRNA primers for marine microbiomes with mock communities, time series and global field samples: Primers for marine microbiome studies","title-short":"Every base matters","volume":"18","author":[{"family":"Parada","given":"Alma E."},{"family":"Needham","given":"David M."},{"family":"Fuhrman","given":"Jed A."}],"issued":{"date-parts":[["2016",5]]}}}],"schema":"https://github.com/citation-style-language/schema/raw/master/csl-citation.json"} </w:instrText>
            </w:r>
            <w:r w:rsidRPr="00DB3BBA">
              <w:rPr>
                <w:rFonts w:ascii="Trebuchet MS" w:hAnsi="Trebuchet MS" w:cs="Arial"/>
                <w:color w:val="000000" w:themeColor="text1"/>
                <w:sz w:val="20"/>
                <w:szCs w:val="20"/>
              </w:rPr>
              <w:fldChar w:fldCharType="separate"/>
            </w:r>
            <w:r w:rsidRPr="00DB3BBA">
              <w:rPr>
                <w:rFonts w:ascii="Trebuchet MS" w:hAnsi="Trebuchet MS" w:cs="Arial"/>
                <w:noProof/>
                <w:color w:val="000000" w:themeColor="text1"/>
                <w:sz w:val="20"/>
                <w:szCs w:val="20"/>
              </w:rPr>
              <w:t>(Parada et al., 2016)</w:t>
            </w:r>
            <w:r w:rsidRPr="00DB3BBA">
              <w:rPr>
                <w:rFonts w:ascii="Trebuchet MS" w:hAnsi="Trebuchet MS" w:cs="Arial"/>
                <w:color w:val="000000" w:themeColor="text1"/>
                <w:sz w:val="20"/>
                <w:szCs w:val="20"/>
              </w:rPr>
              <w:fldChar w:fldCharType="end"/>
            </w:r>
          </w:p>
        </w:tc>
      </w:tr>
      <w:tr w:rsidR="00824084" w:rsidRPr="00DB3BBA" w14:paraId="70781733" w14:textId="77777777" w:rsidTr="00126E5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12" w:type="dxa"/>
          </w:tcPr>
          <w:p w14:paraId="6C6A99F6"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F1369</w:t>
            </w:r>
          </w:p>
        </w:tc>
        <w:tc>
          <w:tcPr>
            <w:tcW w:w="2659" w:type="dxa"/>
          </w:tcPr>
          <w:p w14:paraId="50A160F6" w14:textId="77777777" w:rsidR="00824084" w:rsidRPr="00DB3BB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60%</w:t>
            </w:r>
          </w:p>
        </w:tc>
        <w:tc>
          <w:tcPr>
            <w:tcW w:w="4521" w:type="dxa"/>
          </w:tcPr>
          <w:p w14:paraId="5A119B1A"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fldChar w:fldCharType="begin"/>
            </w:r>
            <w:r>
              <w:rPr>
                <w:rFonts w:ascii="Trebuchet MS" w:hAnsi="Trebuchet MS"/>
                <w:color w:val="000000" w:themeColor="text1"/>
                <w:sz w:val="20"/>
                <w:szCs w:val="20"/>
              </w:rPr>
              <w:instrText xml:space="preserve"> ADDIN ZOTERO_ITEM CSL_CITATION {"citationID":"lZ5E6HCN","properties":{"formattedCitation":"(Suzuki et al., 2000)","plainCitation":"(Suzuki et al., 2000)","noteIndex":0},"citationItems":[{"id":913,"uris":["http://zotero.org/users/8772235/items/BMW7ZMQ4"],"itemData":{"id":913,"type":"article-journal","abstract":"ABSTRACT\n            \n              Few techniques are currently available for quantifying specific prokaryotic taxa in environmental samples. Quantification of specific genotypes has relied mainly on oligonucleotide hybridization to extracted rRNA or intact rRNA in whole cells. However, low abundance and cellular rRNA content limit the application of these techniques in aquatic environments. In this study, we applied a newly developed quantitative PCR assay (5′-nuclease assay, also known as TaqMan) to quantify specific small-subunit (SSU) rRNA genes (rDNAs) from uncultivated planktonic prokaryotes in Monterey Bay. Primer and probe combinations for quantification of SSU rDNAs at the domain and group levels were developed and tested for specificity and quantitative reliability. We examined the spatial and temporal variations of SSU rDNAs from\n              Synechococcus\n              plus\n              Prochlorococcus\n              and marine\n              Archaea\n              and compared the results of the quantitative PCR assays to those obtained by alternative methods. The 5′-nuclease assays reliably quantified rDNAs over at least 4 orders of magnitude and accurately measured the proportions of genes in artificial mixtures. The spatial and temporal distributions of planktonic microbial groups measured by the 5′-nuclease assays were similar to the distributions estimated by quantitative oligonucleotide probe hybridization, whole-cell hybridization assays, and flow cytometry.","container-title":"Applied and Environmental Microbiology","DOI":"10.1128/AEM.66.11.4605-4614.2000","ISSN":"0099-2240, 1098-5336","issue":"11","journalAbbreviation":"Appl Environ Microbiol","language":"en","page":"4605-4614","source":"DOI.org (Crossref)","title":"Quantitative Analysis of Small-Subunit rRNA Genes in Mixed Microbial Populations via 5′-Nuclease Assays","volume":"66","author":[{"family":"Suzuki","given":"Marcelino T."},{"family":"Taylor","given":"Lance T."},{"family":"DeLong","given":"Edward F."}],"issued":{"date-parts":[["2000",11]]}}}],"schema":"https://github.com/citation-style-language/schema/raw/master/csl-citation.json"} </w:instrText>
            </w:r>
            <w:r w:rsidRPr="00DB3BBA">
              <w:rPr>
                <w:rFonts w:ascii="Trebuchet MS" w:hAnsi="Trebuchet MS"/>
                <w:color w:val="000000" w:themeColor="text1"/>
                <w:sz w:val="20"/>
                <w:szCs w:val="20"/>
              </w:rPr>
              <w:fldChar w:fldCharType="separate"/>
            </w:r>
            <w:r w:rsidRPr="00DB3BBA">
              <w:rPr>
                <w:rFonts w:ascii="Trebuchet MS" w:hAnsi="Trebuchet MS"/>
                <w:noProof/>
                <w:color w:val="000000" w:themeColor="text1"/>
                <w:sz w:val="20"/>
                <w:szCs w:val="20"/>
              </w:rPr>
              <w:t>(Suzuki et al., 2000)</w:t>
            </w:r>
            <w:r w:rsidRPr="00DB3BBA">
              <w:rPr>
                <w:rFonts w:ascii="Trebuchet MS" w:hAnsi="Trebuchet MS"/>
                <w:color w:val="000000" w:themeColor="text1"/>
                <w:sz w:val="20"/>
                <w:szCs w:val="20"/>
              </w:rPr>
              <w:fldChar w:fldCharType="end"/>
            </w:r>
          </w:p>
        </w:tc>
      </w:tr>
      <w:tr w:rsidR="00824084" w:rsidRPr="00DB3BBA" w14:paraId="08C1DE1A" w14:textId="77777777" w:rsidTr="00126E52">
        <w:trPr>
          <w:trHeight w:val="270"/>
        </w:trPr>
        <w:tc>
          <w:tcPr>
            <w:cnfStyle w:val="001000000000" w:firstRow="0" w:lastRow="0" w:firstColumn="1" w:lastColumn="0" w:oddVBand="0" w:evenVBand="0" w:oddHBand="0" w:evenHBand="0" w:firstRowFirstColumn="0" w:firstRowLastColumn="0" w:lastRowFirstColumn="0" w:lastRowLastColumn="0"/>
            <w:tcW w:w="2212" w:type="dxa"/>
          </w:tcPr>
          <w:p w14:paraId="4A1EE8CD"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Probe1389</w:t>
            </w:r>
          </w:p>
        </w:tc>
        <w:tc>
          <w:tcPr>
            <w:tcW w:w="2659" w:type="dxa"/>
          </w:tcPr>
          <w:p w14:paraId="1ED5E242" w14:textId="77777777" w:rsidR="00824084" w:rsidRPr="00DB3BBA" w:rsidRDefault="00824084" w:rsidP="00126E52">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95%</w:t>
            </w:r>
          </w:p>
        </w:tc>
        <w:tc>
          <w:tcPr>
            <w:tcW w:w="4521" w:type="dxa"/>
          </w:tcPr>
          <w:p w14:paraId="0E55B307" w14:textId="77777777" w:rsidR="00824084" w:rsidRPr="00DB3BBA" w:rsidRDefault="00824084" w:rsidP="00126E52">
            <w:pPr>
              <w:cnfStyle w:val="000000000000" w:firstRow="0" w:lastRow="0" w:firstColumn="0" w:lastColumn="0" w:oddVBand="0" w:evenVBand="0" w:oddHBand="0"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noProof/>
                <w:color w:val="000000" w:themeColor="text1"/>
                <w:sz w:val="20"/>
                <w:szCs w:val="20"/>
              </w:rPr>
              <w:t>(Suzuki et al., 2000)</w:t>
            </w:r>
          </w:p>
        </w:tc>
      </w:tr>
      <w:tr w:rsidR="00824084" w:rsidRPr="00DB3BBA" w14:paraId="123DEA6F" w14:textId="77777777" w:rsidTr="00126E5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212" w:type="dxa"/>
          </w:tcPr>
          <w:p w14:paraId="107234A9" w14:textId="77777777" w:rsidR="00824084" w:rsidRPr="00DB3BBA" w:rsidRDefault="00824084" w:rsidP="00126E52">
            <w:pPr>
              <w:jc w:val="center"/>
              <w:rPr>
                <w:rFonts w:ascii="Trebuchet MS" w:hAnsi="Trebuchet MS"/>
                <w:b/>
                <w:bCs/>
                <w:color w:val="000000" w:themeColor="text1"/>
                <w:sz w:val="20"/>
                <w:szCs w:val="20"/>
              </w:rPr>
            </w:pPr>
            <w:r w:rsidRPr="00DB3BBA">
              <w:rPr>
                <w:rFonts w:ascii="Trebuchet MS" w:hAnsi="Trebuchet MS"/>
                <w:color w:val="000000" w:themeColor="text1"/>
                <w:sz w:val="20"/>
                <w:szCs w:val="20"/>
              </w:rPr>
              <w:t>R1492</w:t>
            </w:r>
          </w:p>
        </w:tc>
        <w:tc>
          <w:tcPr>
            <w:tcW w:w="2659" w:type="dxa"/>
          </w:tcPr>
          <w:p w14:paraId="085AE721" w14:textId="77777777" w:rsidR="00824084" w:rsidRPr="00DB3BBA" w:rsidRDefault="00824084" w:rsidP="00126E52">
            <w:pPr>
              <w:jc w:val="cente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color w:val="000000" w:themeColor="text1"/>
                <w:sz w:val="20"/>
                <w:szCs w:val="20"/>
              </w:rPr>
              <w:t>47%</w:t>
            </w:r>
          </w:p>
        </w:tc>
        <w:tc>
          <w:tcPr>
            <w:tcW w:w="4521" w:type="dxa"/>
          </w:tcPr>
          <w:p w14:paraId="22618527" w14:textId="77777777" w:rsidR="00824084" w:rsidRPr="00DB3BBA" w:rsidRDefault="00824084" w:rsidP="00126E52">
            <w:pPr>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 w:val="20"/>
                <w:szCs w:val="20"/>
              </w:rPr>
            </w:pPr>
            <w:r w:rsidRPr="00DB3BBA">
              <w:rPr>
                <w:rFonts w:ascii="Trebuchet MS" w:hAnsi="Trebuchet MS"/>
                <w:noProof/>
                <w:color w:val="000000" w:themeColor="text1"/>
                <w:sz w:val="20"/>
                <w:szCs w:val="20"/>
              </w:rPr>
              <w:t>(Suzuki et al., 2000)</w:t>
            </w:r>
          </w:p>
        </w:tc>
      </w:tr>
    </w:tbl>
    <w:p w14:paraId="6C575FD1" w14:textId="77777777" w:rsidR="00824084" w:rsidRDefault="00824084" w:rsidP="00824084"/>
    <w:p w14:paraId="6F03B74E" w14:textId="77777777" w:rsidR="00824084" w:rsidRDefault="00824084" w:rsidP="00824084"/>
    <w:p w14:paraId="7C9C1834"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0B598040"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594CDA8A" w14:textId="77777777" w:rsidR="004571CD" w:rsidRDefault="004571CD" w:rsidP="00824084">
      <w:pPr>
        <w:pStyle w:val="NormalWeb"/>
        <w:spacing w:before="0" w:beforeAutospacing="0" w:after="0" w:afterAutospacing="0" w:line="480" w:lineRule="auto"/>
        <w:jc w:val="both"/>
        <w:rPr>
          <w:rFonts w:asciiTheme="minorHAnsi" w:hAnsiTheme="minorHAnsi" w:cstheme="minorHAnsi"/>
        </w:rPr>
      </w:pPr>
    </w:p>
    <w:p w14:paraId="2D9B6A9E" w14:textId="77777777" w:rsidR="004571CD" w:rsidRDefault="004571CD" w:rsidP="00824084">
      <w:pPr>
        <w:pStyle w:val="NormalWeb"/>
        <w:spacing w:before="0" w:beforeAutospacing="0" w:after="0" w:afterAutospacing="0" w:line="480" w:lineRule="auto"/>
        <w:jc w:val="both"/>
        <w:rPr>
          <w:rFonts w:asciiTheme="minorHAnsi" w:hAnsiTheme="minorHAnsi" w:cstheme="minorHAnsi"/>
        </w:rPr>
      </w:pPr>
    </w:p>
    <w:p w14:paraId="45AC0DDE"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3D5C5ABE" w14:textId="77777777" w:rsidR="00824084" w:rsidRDefault="00824084" w:rsidP="00824084">
      <w:r w:rsidRPr="00403D67">
        <w:rPr>
          <w:noProof/>
        </w:rPr>
        <w:lastRenderedPageBreak/>
        <w:drawing>
          <wp:inline distT="0" distB="0" distL="0" distR="0" wp14:anchorId="6F64F54A" wp14:editId="0F23080E">
            <wp:extent cx="5710136" cy="3135894"/>
            <wp:effectExtent l="0" t="0" r="5080" b="1270"/>
            <wp:docPr id="3" name="Picture 3" descr="A diagram of a dna extr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dna extraction&#10;&#10;Description automatically generated"/>
                    <pic:cNvPicPr/>
                  </pic:nvPicPr>
                  <pic:blipFill>
                    <a:blip r:embed="rId6"/>
                    <a:stretch>
                      <a:fillRect/>
                    </a:stretch>
                  </pic:blipFill>
                  <pic:spPr>
                    <a:xfrm>
                      <a:off x="0" y="0"/>
                      <a:ext cx="5723071" cy="3142998"/>
                    </a:xfrm>
                    <a:prstGeom prst="rect">
                      <a:avLst/>
                    </a:prstGeom>
                  </pic:spPr>
                </pic:pic>
              </a:graphicData>
            </a:graphic>
          </wp:inline>
        </w:drawing>
      </w:r>
    </w:p>
    <w:p w14:paraId="1B120D42" w14:textId="77777777" w:rsidR="00824084" w:rsidRPr="00C020A5" w:rsidRDefault="00824084" w:rsidP="00C020A5">
      <w:pPr>
        <w:pStyle w:val="NormalWeb"/>
        <w:spacing w:line="276" w:lineRule="auto"/>
        <w:jc w:val="both"/>
        <w:rPr>
          <w:rFonts w:asciiTheme="minorHAnsi" w:hAnsiTheme="minorHAnsi" w:cstheme="minorHAnsi"/>
        </w:rPr>
      </w:pPr>
      <w:r w:rsidRPr="00C020A5">
        <w:rPr>
          <w:rFonts w:asciiTheme="minorHAnsi" w:hAnsiTheme="minorHAnsi" w:cstheme="minorHAnsi"/>
          <w:b/>
          <w:bCs/>
        </w:rPr>
        <w:t>Supplementary Figure 1. Preparation of mucosal gill swabs for DNA extraction</w:t>
      </w:r>
      <w:r w:rsidRPr="00C020A5">
        <w:rPr>
          <w:rFonts w:asciiTheme="minorHAnsi" w:hAnsiTheme="minorHAnsi" w:cstheme="minorHAnsi"/>
        </w:rPr>
        <w:t xml:space="preserve">. </w:t>
      </w:r>
      <w:r w:rsidRPr="00C020A5">
        <w:rPr>
          <w:rFonts w:asciiTheme="minorHAnsi" w:hAnsiTheme="minorHAnsi" w:cstheme="minorHAnsi"/>
          <w:b/>
          <w:bCs/>
        </w:rPr>
        <w:t>A)</w:t>
      </w:r>
      <w:r w:rsidRPr="00C020A5">
        <w:rPr>
          <w:rFonts w:asciiTheme="minorHAnsi" w:hAnsiTheme="minorHAnsi" w:cstheme="minorHAnsi"/>
        </w:rPr>
        <w:t xml:space="preserve"> </w:t>
      </w:r>
      <w:proofErr w:type="spellStart"/>
      <w:r w:rsidRPr="00C020A5">
        <w:rPr>
          <w:rFonts w:asciiTheme="minorHAnsi" w:hAnsiTheme="minorHAnsi" w:cstheme="minorHAnsi"/>
        </w:rPr>
        <w:t>eNAT</w:t>
      </w:r>
      <w:proofErr w:type="spellEnd"/>
      <w:r w:rsidRPr="00C020A5">
        <w:rPr>
          <w:rFonts w:asciiTheme="minorHAnsi" w:hAnsiTheme="minorHAnsi" w:cstheme="minorHAnsi"/>
        </w:rPr>
        <w:t xml:space="preserve"> swabs are defrosted on ice (A), then transferred to a sonication bath for 2 minutes are 40kHz (B). The swabs were centrifuged for a minute at 3000rpm, and the supernatant transferred to a sterile 1.5ml Eppendorf tube (S1, step C). Following this, 800μL of PBS was added to the empty tube (D), pressing the head of the swab against the sides of the tube to detach any remaining cells. The tube was then vortexed at 1200rpm for 10seconds, quickly centrifuged then the supernatant was transferred to a sterile 1.5ml Eppendorf tube (S2, step E). The swab heads were then cut from their plastic stems (F) and transferred to sterile 1.5mL tubes containing cut pipette tips and spun for 1 minute at max speed to collect the remaining supernatant, adding this to the applicable existing supernatant tube (S2, step G), repeating till the swab is dry. The two collected tubes (S1 and S2) were then centrifuged at 12,000g for 20 minutes at 4oC to create a pellet of the bacterial cells (H). The supernatant of these two tubes were transferred to sterile 2.0mL tubes (S3 &amp; S4, step I), leaving the pelleted cells behind in their respective tubes (S1 &amp; S2, step I). </w:t>
      </w:r>
      <w:r w:rsidRPr="00C020A5">
        <w:rPr>
          <w:rFonts w:asciiTheme="minorHAnsi" w:hAnsiTheme="minorHAnsi" w:cstheme="minorHAnsi"/>
          <w:b/>
          <w:bCs/>
        </w:rPr>
        <w:t>B)</w:t>
      </w:r>
      <w:r w:rsidRPr="00C020A5">
        <w:rPr>
          <w:rFonts w:asciiTheme="minorHAnsi" w:hAnsiTheme="minorHAnsi" w:cstheme="minorHAnsi"/>
        </w:rPr>
        <w:t xml:space="preserve"> Pellets from tubes 1 &amp; 2 are combined and resuspended in the lysis buffer, then DNA extraction is carried out using the </w:t>
      </w:r>
      <w:proofErr w:type="spellStart"/>
      <w:r w:rsidRPr="00C020A5">
        <w:rPr>
          <w:rFonts w:asciiTheme="minorHAnsi" w:hAnsiTheme="minorHAnsi" w:cstheme="minorHAnsi"/>
        </w:rPr>
        <w:t>QIAamp</w:t>
      </w:r>
      <w:proofErr w:type="spellEnd"/>
      <w:r w:rsidRPr="00C020A5">
        <w:rPr>
          <w:rFonts w:asciiTheme="minorHAnsi" w:hAnsiTheme="minorHAnsi" w:cstheme="minorHAnsi"/>
        </w:rPr>
        <w:t xml:space="preserve"> Mini kit (DNA-1). DNA in S3 &amp; S4 is precipitated using an isopropanol method (Green &amp; Sambrook 2016) creating DNA-2 and DNA-3 elution’s. The three extract tubes are then combined, dehydrated using the </w:t>
      </w:r>
      <w:proofErr w:type="spellStart"/>
      <w:r w:rsidRPr="00C020A5">
        <w:rPr>
          <w:rFonts w:asciiTheme="minorHAnsi" w:hAnsiTheme="minorHAnsi" w:cstheme="minorHAnsi"/>
        </w:rPr>
        <w:t>Effendorf</w:t>
      </w:r>
      <w:proofErr w:type="spellEnd"/>
      <w:r w:rsidRPr="00C020A5">
        <w:rPr>
          <w:rFonts w:asciiTheme="minorHAnsi" w:hAnsiTheme="minorHAnsi" w:cstheme="minorHAnsi"/>
        </w:rPr>
        <w:t xml:space="preserve"> Concentrator plus (UK) by running the V-AQ mode at 45oC and resuspended in 40μL of DNase free water. </w:t>
      </w:r>
    </w:p>
    <w:p w14:paraId="1E93557A"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1542DB27"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40900720"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706E2320" w14:textId="77777777" w:rsidR="00824084" w:rsidRPr="00D7212E" w:rsidRDefault="00824084" w:rsidP="00824084">
      <w:pPr>
        <w:pStyle w:val="NormalWeb"/>
        <w:spacing w:before="0" w:beforeAutospacing="0" w:after="0" w:afterAutospacing="0"/>
        <w:rPr>
          <w:rFonts w:asciiTheme="minorHAnsi" w:hAnsiTheme="minorHAnsi" w:cstheme="minorHAnsi"/>
        </w:rPr>
      </w:pPr>
      <w:r w:rsidRPr="00D7212E">
        <w:rPr>
          <w:rFonts w:asciiTheme="minorHAnsi" w:hAnsiTheme="minorHAnsi" w:cstheme="minorHAnsi"/>
          <w:b/>
          <w:bCs/>
        </w:rPr>
        <w:lastRenderedPageBreak/>
        <w:t>Supplementary Figure 2.</w:t>
      </w:r>
      <w:r w:rsidRPr="00D7212E">
        <w:rPr>
          <w:rFonts w:asciiTheme="minorHAnsi" w:hAnsiTheme="minorHAnsi" w:cstheme="minorHAnsi"/>
        </w:rPr>
        <w:t xml:space="preserve">  </w:t>
      </w:r>
      <w:r w:rsidRPr="00D7212E">
        <w:rPr>
          <w:rFonts w:asciiTheme="minorHAnsi" w:hAnsiTheme="minorHAnsi" w:cstheme="minorHAnsi"/>
          <w:b/>
          <w:bCs/>
        </w:rPr>
        <w:t>Most abundant Phylum of farmed Atlantic salmon.</w:t>
      </w:r>
      <w:r w:rsidRPr="00D7212E">
        <w:rPr>
          <w:rFonts w:asciiTheme="minorHAnsi" w:hAnsiTheme="minorHAnsi" w:cstheme="minorHAnsi"/>
        </w:rPr>
        <w:t xml:space="preserve">  Each bar represents an individual salmon gill microbiome, plotting fish 5-8 from unit A, then fish 5-8 from unit B in series. Samples grouped by site, with each column representing an individual fish. </w:t>
      </w:r>
    </w:p>
    <w:p w14:paraId="4C466DEC" w14:textId="77777777" w:rsidR="00824084" w:rsidRDefault="00824084" w:rsidP="00824084">
      <w:pPr>
        <w:rPr>
          <w:rFonts w:cstheme="minorHAnsi"/>
        </w:rPr>
      </w:pPr>
      <w:r w:rsidRPr="00D7212E">
        <w:rPr>
          <w:rFonts w:cstheme="minorHAnsi"/>
          <w:noProof/>
        </w:rPr>
        <w:drawing>
          <wp:inline distT="0" distB="0" distL="0" distR="0" wp14:anchorId="4DF8B16A" wp14:editId="58BB0F6A">
            <wp:extent cx="3987209" cy="5284255"/>
            <wp:effectExtent l="0" t="0" r="635"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ell phone&#10;&#10;Description automatically generated"/>
                    <pic:cNvPicPr/>
                  </pic:nvPicPr>
                  <pic:blipFill>
                    <a:blip r:embed="rId7"/>
                    <a:stretch>
                      <a:fillRect/>
                    </a:stretch>
                  </pic:blipFill>
                  <pic:spPr>
                    <a:xfrm>
                      <a:off x="0" y="0"/>
                      <a:ext cx="4007509" cy="5311158"/>
                    </a:xfrm>
                    <a:prstGeom prst="rect">
                      <a:avLst/>
                    </a:prstGeom>
                  </pic:spPr>
                </pic:pic>
              </a:graphicData>
            </a:graphic>
          </wp:inline>
        </w:drawing>
      </w:r>
    </w:p>
    <w:p w14:paraId="44F3D4C5" w14:textId="77777777" w:rsidR="00824084" w:rsidRDefault="00824084" w:rsidP="00824084">
      <w:pPr>
        <w:rPr>
          <w:rFonts w:cstheme="minorHAnsi"/>
        </w:rPr>
      </w:pPr>
    </w:p>
    <w:p w14:paraId="593661D5" w14:textId="77777777" w:rsidR="00824084" w:rsidRDefault="00824084" w:rsidP="00824084">
      <w:pPr>
        <w:rPr>
          <w:rFonts w:cstheme="minorHAnsi"/>
        </w:rPr>
      </w:pPr>
    </w:p>
    <w:p w14:paraId="1654012C" w14:textId="77777777" w:rsidR="00824084" w:rsidRDefault="00824084" w:rsidP="00824084">
      <w:pPr>
        <w:rPr>
          <w:rFonts w:cstheme="minorHAnsi"/>
        </w:rPr>
      </w:pPr>
    </w:p>
    <w:p w14:paraId="2FBDB1D4" w14:textId="77777777" w:rsidR="00824084" w:rsidRDefault="00824084" w:rsidP="00824084">
      <w:pPr>
        <w:rPr>
          <w:rFonts w:cstheme="minorHAnsi"/>
        </w:rPr>
      </w:pPr>
    </w:p>
    <w:p w14:paraId="1B5BD860" w14:textId="77777777" w:rsidR="00824084" w:rsidRDefault="00824084" w:rsidP="00824084"/>
    <w:p w14:paraId="2D88A3DB" w14:textId="77777777" w:rsidR="00824084" w:rsidRDefault="00824084" w:rsidP="00824084"/>
    <w:p w14:paraId="6E02DF40" w14:textId="77777777" w:rsidR="00824084" w:rsidRDefault="00824084" w:rsidP="00824084"/>
    <w:p w14:paraId="7F3B7A28" w14:textId="77777777" w:rsidR="00824084" w:rsidRDefault="00824084" w:rsidP="00824084">
      <w:pPr>
        <w:rPr>
          <w:rFonts w:cstheme="minorHAnsi"/>
        </w:rPr>
      </w:pPr>
    </w:p>
    <w:p w14:paraId="27CA3D8E" w14:textId="77777777" w:rsidR="00824084" w:rsidRDefault="00824084" w:rsidP="00824084">
      <w:pPr>
        <w:rPr>
          <w:rFonts w:cstheme="minorHAnsi"/>
        </w:rPr>
      </w:pPr>
    </w:p>
    <w:p w14:paraId="14A82F27" w14:textId="77777777" w:rsidR="00824084" w:rsidRDefault="00824084" w:rsidP="00824084">
      <w:pPr>
        <w:rPr>
          <w:rFonts w:cstheme="minorHAnsi"/>
        </w:rPr>
      </w:pPr>
    </w:p>
    <w:p w14:paraId="1325B859" w14:textId="77777777" w:rsidR="00824084" w:rsidRDefault="00824084" w:rsidP="00824084">
      <w:pPr>
        <w:rPr>
          <w:rFonts w:cstheme="minorHAnsi"/>
        </w:rPr>
      </w:pPr>
    </w:p>
    <w:p w14:paraId="291DE542" w14:textId="77777777" w:rsidR="00824084" w:rsidRDefault="00824084" w:rsidP="00824084">
      <w:pPr>
        <w:rPr>
          <w:rFonts w:cstheme="minorHAnsi"/>
        </w:rPr>
      </w:pPr>
    </w:p>
    <w:p w14:paraId="7AF0CDEB" w14:textId="77777777" w:rsidR="00824084" w:rsidRDefault="00824084" w:rsidP="00824084">
      <w:pPr>
        <w:rPr>
          <w:rFonts w:cstheme="minorHAnsi"/>
        </w:rPr>
      </w:pPr>
    </w:p>
    <w:p w14:paraId="0318B260" w14:textId="77777777" w:rsidR="00824084" w:rsidRDefault="00824084" w:rsidP="00824084">
      <w:pPr>
        <w:rPr>
          <w:rFonts w:cstheme="minorHAnsi"/>
        </w:rPr>
      </w:pPr>
    </w:p>
    <w:p w14:paraId="657FC60B" w14:textId="77777777" w:rsidR="00824084" w:rsidRDefault="00824084" w:rsidP="00824084">
      <w:pPr>
        <w:rPr>
          <w:rFonts w:cstheme="minorHAnsi"/>
        </w:rPr>
      </w:pPr>
    </w:p>
    <w:p w14:paraId="71DD848A" w14:textId="77777777" w:rsidR="00824084" w:rsidRPr="008111AA" w:rsidRDefault="00824084" w:rsidP="00C020A5">
      <w:pPr>
        <w:pStyle w:val="NormalWeb"/>
        <w:spacing w:before="0" w:beforeAutospacing="0" w:after="0" w:afterAutospacing="0"/>
        <w:jc w:val="both"/>
        <w:rPr>
          <w:rFonts w:asciiTheme="minorHAnsi" w:hAnsiTheme="minorHAnsi" w:cstheme="minorBidi"/>
        </w:rPr>
      </w:pPr>
      <w:r w:rsidRPr="4BD655D9">
        <w:rPr>
          <w:rFonts w:asciiTheme="minorHAnsi" w:hAnsiTheme="minorHAnsi" w:cstheme="minorBidi"/>
          <w:b/>
          <w:bCs/>
        </w:rPr>
        <w:lastRenderedPageBreak/>
        <w:t>Supplementary Figure 3.</w:t>
      </w:r>
      <w:r w:rsidRPr="4BD655D9">
        <w:rPr>
          <w:rFonts w:asciiTheme="minorHAnsi" w:hAnsiTheme="minorHAnsi" w:cstheme="minorBidi"/>
        </w:rPr>
        <w:t xml:space="preserve">  </w:t>
      </w:r>
      <w:r w:rsidRPr="4BD655D9">
        <w:rPr>
          <w:rFonts w:asciiTheme="minorHAnsi" w:hAnsiTheme="minorHAnsi" w:cstheme="minorBidi"/>
          <w:b/>
          <w:bCs/>
        </w:rPr>
        <w:t>Core microbiome (85% min. prevalence) heat maps of freshwater and seawater mucosal gill microbiomes at genus and ASV level for relative abundances.</w:t>
      </w:r>
      <w:r w:rsidRPr="4BD655D9">
        <w:rPr>
          <w:rFonts w:asciiTheme="minorHAnsi" w:hAnsiTheme="minorHAnsi" w:cstheme="minorBidi"/>
        </w:rPr>
        <w:t xml:space="preserve"> </w:t>
      </w:r>
      <w:r w:rsidRPr="4BD655D9">
        <w:rPr>
          <w:rFonts w:asciiTheme="minorHAnsi" w:hAnsiTheme="minorHAnsi" w:cstheme="minorBidi"/>
          <w:b/>
          <w:bCs/>
        </w:rPr>
        <w:t>A)</w:t>
      </w:r>
      <w:r w:rsidRPr="4BD655D9">
        <w:rPr>
          <w:rFonts w:asciiTheme="minorHAnsi" w:hAnsiTheme="minorHAnsi" w:cstheme="minorBidi"/>
        </w:rPr>
        <w:t xml:space="preserve"> Core microbiome of all salmon gills at genus level </w:t>
      </w:r>
      <w:r w:rsidRPr="4BD655D9">
        <w:rPr>
          <w:rFonts w:asciiTheme="minorHAnsi" w:hAnsiTheme="minorHAnsi" w:cstheme="minorBidi"/>
          <w:b/>
          <w:bCs/>
        </w:rPr>
        <w:t>B)</w:t>
      </w:r>
      <w:r w:rsidRPr="4BD655D9">
        <w:rPr>
          <w:rFonts w:asciiTheme="minorHAnsi" w:hAnsiTheme="minorHAnsi" w:cstheme="minorBidi"/>
        </w:rPr>
        <w:t xml:space="preserve"> Core microbiome of freshwater only salmon gills at genus level </w:t>
      </w:r>
      <w:r w:rsidRPr="4BD655D9">
        <w:rPr>
          <w:rFonts w:asciiTheme="minorHAnsi" w:hAnsiTheme="minorHAnsi" w:cstheme="minorBidi"/>
          <w:b/>
          <w:bCs/>
        </w:rPr>
        <w:t>C)</w:t>
      </w:r>
      <w:r w:rsidRPr="4BD655D9">
        <w:rPr>
          <w:rFonts w:asciiTheme="minorHAnsi" w:hAnsiTheme="minorHAnsi" w:cstheme="minorBidi"/>
        </w:rPr>
        <w:t xml:space="preserve"> Core microbiome of Seawater salmon gills at genus level </w:t>
      </w:r>
      <w:r w:rsidRPr="4BD655D9">
        <w:rPr>
          <w:rFonts w:asciiTheme="minorHAnsi" w:hAnsiTheme="minorHAnsi" w:cstheme="minorBidi"/>
          <w:b/>
          <w:bCs/>
        </w:rPr>
        <w:t>D)</w:t>
      </w:r>
      <w:r w:rsidRPr="4BD655D9">
        <w:rPr>
          <w:rFonts w:asciiTheme="minorHAnsi" w:hAnsiTheme="minorHAnsi" w:cstheme="minorBidi"/>
        </w:rPr>
        <w:t xml:space="preserve"> Core microbiome of seawater salmon gills at ASV level.  </w:t>
      </w:r>
    </w:p>
    <w:p w14:paraId="5A328C3B" w14:textId="77777777" w:rsidR="00824084" w:rsidRPr="008111AA" w:rsidRDefault="00824084" w:rsidP="00824084">
      <w:pPr>
        <w:pStyle w:val="NormalWeb"/>
        <w:spacing w:before="0" w:beforeAutospacing="0" w:after="0" w:afterAutospacing="0"/>
        <w:rPr>
          <w:rFonts w:asciiTheme="minorHAnsi" w:hAnsiTheme="minorHAnsi" w:cstheme="minorHAnsi"/>
        </w:rPr>
      </w:pPr>
      <w:r w:rsidRPr="00DD0C08">
        <w:rPr>
          <w:rFonts w:asciiTheme="minorHAnsi" w:hAnsiTheme="minorHAnsi" w:cstheme="minorHAnsi"/>
          <w:noProof/>
        </w:rPr>
        <w:drawing>
          <wp:inline distT="0" distB="0" distL="0" distR="0" wp14:anchorId="1B4B4288" wp14:editId="314419E6">
            <wp:extent cx="5727700" cy="2686050"/>
            <wp:effectExtent l="0" t="0" r="0" b="6350"/>
            <wp:docPr id="10" name="Picture 10" descr="A comparison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mparison of different colored bars&#10;&#10;Description automatically generated"/>
                    <pic:cNvPicPr/>
                  </pic:nvPicPr>
                  <pic:blipFill>
                    <a:blip r:embed="rId8"/>
                    <a:stretch>
                      <a:fillRect/>
                    </a:stretch>
                  </pic:blipFill>
                  <pic:spPr>
                    <a:xfrm>
                      <a:off x="0" y="0"/>
                      <a:ext cx="5727700" cy="2686050"/>
                    </a:xfrm>
                    <a:prstGeom prst="rect">
                      <a:avLst/>
                    </a:prstGeom>
                  </pic:spPr>
                </pic:pic>
              </a:graphicData>
            </a:graphic>
          </wp:inline>
        </w:drawing>
      </w:r>
      <w:r w:rsidRPr="00DD0C08">
        <w:rPr>
          <w:noProof/>
        </w:rPr>
        <w:t xml:space="preserve"> </w:t>
      </w:r>
      <w:r w:rsidRPr="00DD0C08">
        <w:rPr>
          <w:rFonts w:asciiTheme="minorHAnsi" w:hAnsiTheme="minorHAnsi" w:cstheme="minorHAnsi"/>
          <w:noProof/>
        </w:rPr>
        <w:drawing>
          <wp:inline distT="0" distB="0" distL="0" distR="0" wp14:anchorId="1CA252C4" wp14:editId="1A4DE440">
            <wp:extent cx="5727700" cy="3440430"/>
            <wp:effectExtent l="0" t="0" r="0" b="1270"/>
            <wp:docPr id="11" name="Picture 1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hart&#10;&#10;Description automatically generated"/>
                    <pic:cNvPicPr/>
                  </pic:nvPicPr>
                  <pic:blipFill>
                    <a:blip r:embed="rId9"/>
                    <a:stretch>
                      <a:fillRect/>
                    </a:stretch>
                  </pic:blipFill>
                  <pic:spPr>
                    <a:xfrm>
                      <a:off x="0" y="0"/>
                      <a:ext cx="5727700" cy="3440430"/>
                    </a:xfrm>
                    <a:prstGeom prst="rect">
                      <a:avLst/>
                    </a:prstGeom>
                  </pic:spPr>
                </pic:pic>
              </a:graphicData>
            </a:graphic>
          </wp:inline>
        </w:drawing>
      </w:r>
    </w:p>
    <w:p w14:paraId="603A9510" w14:textId="77777777" w:rsidR="00824084" w:rsidRPr="008111AA" w:rsidRDefault="00824084" w:rsidP="00824084">
      <w:pPr>
        <w:pStyle w:val="NormalWeb"/>
        <w:spacing w:before="0" w:beforeAutospacing="0" w:after="0" w:afterAutospacing="0"/>
        <w:rPr>
          <w:rFonts w:asciiTheme="minorHAnsi" w:hAnsiTheme="minorHAnsi" w:cstheme="minorHAnsi"/>
        </w:rPr>
      </w:pPr>
    </w:p>
    <w:p w14:paraId="42757AA7" w14:textId="77777777" w:rsidR="00824084" w:rsidRDefault="00824084" w:rsidP="00824084">
      <w:pPr>
        <w:pStyle w:val="NormalWeb"/>
        <w:spacing w:before="0" w:beforeAutospacing="0" w:after="0" w:afterAutospacing="0"/>
        <w:rPr>
          <w:rFonts w:cstheme="minorHAnsi"/>
          <w:sz w:val="20"/>
          <w:szCs w:val="20"/>
        </w:rPr>
      </w:pPr>
    </w:p>
    <w:p w14:paraId="2FEF2B77" w14:textId="77777777" w:rsidR="00824084" w:rsidRDefault="00824084" w:rsidP="00824084">
      <w:pPr>
        <w:pStyle w:val="NormalWeb"/>
        <w:spacing w:before="0" w:beforeAutospacing="0" w:after="0" w:afterAutospacing="0"/>
        <w:rPr>
          <w:rFonts w:cstheme="minorHAnsi"/>
          <w:sz w:val="20"/>
          <w:szCs w:val="20"/>
        </w:rPr>
      </w:pPr>
    </w:p>
    <w:p w14:paraId="0563430F" w14:textId="77777777" w:rsidR="00824084" w:rsidRDefault="00824084" w:rsidP="00824084">
      <w:pPr>
        <w:pStyle w:val="NormalWeb"/>
        <w:spacing w:before="0" w:beforeAutospacing="0" w:after="0" w:afterAutospacing="0"/>
        <w:rPr>
          <w:rFonts w:cstheme="minorHAnsi"/>
          <w:sz w:val="20"/>
          <w:szCs w:val="20"/>
        </w:rPr>
      </w:pPr>
    </w:p>
    <w:p w14:paraId="4C104D39" w14:textId="77777777" w:rsidR="00824084" w:rsidRDefault="00824084" w:rsidP="00824084">
      <w:pPr>
        <w:pStyle w:val="NormalWeb"/>
        <w:spacing w:before="0" w:beforeAutospacing="0" w:after="0" w:afterAutospacing="0"/>
        <w:rPr>
          <w:rFonts w:cstheme="minorHAnsi"/>
          <w:sz w:val="20"/>
          <w:szCs w:val="20"/>
        </w:rPr>
      </w:pPr>
    </w:p>
    <w:p w14:paraId="286F5515" w14:textId="77777777" w:rsidR="00824084" w:rsidRDefault="00824084" w:rsidP="00824084">
      <w:pPr>
        <w:pStyle w:val="NormalWeb"/>
        <w:spacing w:before="0" w:beforeAutospacing="0" w:after="0" w:afterAutospacing="0"/>
        <w:rPr>
          <w:rFonts w:cstheme="minorHAnsi"/>
          <w:sz w:val="20"/>
          <w:szCs w:val="20"/>
        </w:rPr>
      </w:pPr>
    </w:p>
    <w:p w14:paraId="521FC425" w14:textId="77777777" w:rsidR="00824084" w:rsidRDefault="00824084" w:rsidP="00824084">
      <w:pPr>
        <w:pStyle w:val="NormalWeb"/>
        <w:spacing w:before="0" w:beforeAutospacing="0" w:after="0" w:afterAutospacing="0"/>
        <w:rPr>
          <w:rFonts w:cstheme="minorHAnsi"/>
          <w:sz w:val="20"/>
          <w:szCs w:val="20"/>
        </w:rPr>
      </w:pPr>
    </w:p>
    <w:p w14:paraId="27B49E27" w14:textId="77777777" w:rsidR="00824084" w:rsidRDefault="00824084" w:rsidP="00824084">
      <w:pPr>
        <w:pStyle w:val="NormalWeb"/>
        <w:spacing w:before="0" w:beforeAutospacing="0" w:after="0" w:afterAutospacing="0"/>
        <w:rPr>
          <w:rFonts w:cstheme="minorHAnsi"/>
          <w:sz w:val="20"/>
          <w:szCs w:val="20"/>
        </w:rPr>
      </w:pPr>
    </w:p>
    <w:p w14:paraId="5724086C" w14:textId="77777777" w:rsidR="00824084" w:rsidRDefault="00824084" w:rsidP="00824084">
      <w:pPr>
        <w:pStyle w:val="NormalWeb"/>
        <w:spacing w:before="0" w:beforeAutospacing="0" w:after="0" w:afterAutospacing="0"/>
        <w:rPr>
          <w:rFonts w:cstheme="minorHAnsi"/>
          <w:sz w:val="20"/>
          <w:szCs w:val="20"/>
        </w:rPr>
      </w:pPr>
    </w:p>
    <w:p w14:paraId="1C63F14D" w14:textId="77777777" w:rsidR="00824084" w:rsidRDefault="00824084" w:rsidP="00824084">
      <w:pPr>
        <w:pStyle w:val="NormalWeb"/>
        <w:spacing w:before="0" w:beforeAutospacing="0" w:after="0" w:afterAutospacing="0"/>
        <w:rPr>
          <w:rFonts w:cstheme="minorHAnsi"/>
          <w:sz w:val="20"/>
          <w:szCs w:val="20"/>
        </w:rPr>
      </w:pPr>
    </w:p>
    <w:p w14:paraId="412CD730" w14:textId="77777777" w:rsidR="00824084" w:rsidRPr="00221DD9" w:rsidRDefault="00824084" w:rsidP="00C020A5">
      <w:pPr>
        <w:pStyle w:val="NormalWeb"/>
        <w:spacing w:before="0" w:beforeAutospacing="0" w:after="0" w:afterAutospacing="0"/>
        <w:jc w:val="both"/>
        <w:rPr>
          <w:rFonts w:asciiTheme="minorHAnsi" w:hAnsiTheme="minorHAnsi" w:cstheme="minorBidi"/>
        </w:rPr>
      </w:pPr>
      <w:r w:rsidRPr="4BD655D9">
        <w:rPr>
          <w:rFonts w:asciiTheme="minorHAnsi" w:hAnsiTheme="minorHAnsi" w:cstheme="minorBidi"/>
          <w:b/>
          <w:bCs/>
        </w:rPr>
        <w:lastRenderedPageBreak/>
        <w:t>Supplementary Figure 4.</w:t>
      </w:r>
      <w:r w:rsidRPr="4BD655D9">
        <w:rPr>
          <w:rFonts w:asciiTheme="minorHAnsi" w:hAnsiTheme="minorHAnsi" w:cstheme="minorBidi"/>
        </w:rPr>
        <w:t xml:space="preserve">  </w:t>
      </w:r>
      <w:r w:rsidRPr="4BD655D9">
        <w:rPr>
          <w:rFonts w:asciiTheme="minorHAnsi" w:hAnsiTheme="minorHAnsi" w:cstheme="minorBidi"/>
          <w:b/>
          <w:bCs/>
        </w:rPr>
        <w:t>Core microbiome (85% min. prevalence) heat maps of freshwater mucosal gill microbiomes at genus and ASV level for relative abundances, grouped by hatchery types.</w:t>
      </w:r>
      <w:r w:rsidRPr="4BD655D9">
        <w:rPr>
          <w:rFonts w:asciiTheme="minorHAnsi" w:hAnsiTheme="minorHAnsi" w:cstheme="minorBidi"/>
        </w:rPr>
        <w:t xml:space="preserve"> </w:t>
      </w:r>
      <w:r w:rsidRPr="4BD655D9">
        <w:rPr>
          <w:rFonts w:asciiTheme="minorHAnsi" w:hAnsiTheme="minorHAnsi" w:cstheme="minorBidi"/>
          <w:b/>
          <w:bCs/>
        </w:rPr>
        <w:t>A)</w:t>
      </w:r>
      <w:r w:rsidRPr="4BD655D9">
        <w:rPr>
          <w:rFonts w:asciiTheme="minorHAnsi" w:hAnsiTheme="minorHAnsi" w:cstheme="minorBidi"/>
        </w:rPr>
        <w:t xml:space="preserve"> Core microbiome of all RAS hatchery gills at genus level </w:t>
      </w:r>
      <w:r w:rsidRPr="4BD655D9">
        <w:rPr>
          <w:rFonts w:asciiTheme="minorHAnsi" w:hAnsiTheme="minorHAnsi" w:cstheme="minorBidi"/>
          <w:b/>
          <w:bCs/>
        </w:rPr>
        <w:t>B)</w:t>
      </w:r>
      <w:r w:rsidRPr="4BD655D9">
        <w:rPr>
          <w:rFonts w:asciiTheme="minorHAnsi" w:hAnsiTheme="minorHAnsi" w:cstheme="minorBidi"/>
        </w:rPr>
        <w:t xml:space="preserve"> Core microbiome of Loch and FT hatchery gills at genus level </w:t>
      </w:r>
      <w:r w:rsidRPr="4BD655D9">
        <w:rPr>
          <w:rFonts w:asciiTheme="minorHAnsi" w:hAnsiTheme="minorHAnsi" w:cstheme="minorBidi"/>
          <w:b/>
          <w:bCs/>
        </w:rPr>
        <w:t>C)</w:t>
      </w:r>
      <w:r w:rsidRPr="4BD655D9">
        <w:rPr>
          <w:rFonts w:asciiTheme="minorHAnsi" w:hAnsiTheme="minorHAnsi" w:cstheme="minorBidi"/>
        </w:rPr>
        <w:t xml:space="preserve"> Core microbiome of Loch and FT hatchery gills at ASV level </w:t>
      </w:r>
    </w:p>
    <w:p w14:paraId="70481976" w14:textId="77777777" w:rsidR="00824084" w:rsidRDefault="00824084" w:rsidP="00824084">
      <w:pPr>
        <w:pStyle w:val="NormalWeb"/>
        <w:spacing w:before="0" w:beforeAutospacing="0" w:after="0" w:afterAutospacing="0"/>
        <w:rPr>
          <w:rFonts w:cstheme="minorHAnsi"/>
          <w:sz w:val="20"/>
          <w:szCs w:val="20"/>
        </w:rPr>
      </w:pPr>
    </w:p>
    <w:p w14:paraId="1905B995" w14:textId="77777777" w:rsidR="00824084" w:rsidRDefault="00824084" w:rsidP="00824084">
      <w:pPr>
        <w:pStyle w:val="NormalWeb"/>
        <w:spacing w:before="0" w:beforeAutospacing="0" w:after="0" w:afterAutospacing="0"/>
        <w:rPr>
          <w:rFonts w:cstheme="minorHAnsi"/>
          <w:sz w:val="20"/>
          <w:szCs w:val="20"/>
        </w:rPr>
      </w:pPr>
      <w:r w:rsidRPr="00DD0C08">
        <w:rPr>
          <w:rFonts w:cstheme="minorHAnsi"/>
          <w:noProof/>
          <w:sz w:val="20"/>
          <w:szCs w:val="20"/>
        </w:rPr>
        <w:drawing>
          <wp:inline distT="0" distB="0" distL="0" distR="0" wp14:anchorId="393A23D2" wp14:editId="067D0E74">
            <wp:extent cx="5727700" cy="3639820"/>
            <wp:effectExtent l="0" t="0" r="0" b="5080"/>
            <wp:docPr id="12" name="Picture 1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 screen&#10;&#10;Description automatically generated"/>
                    <pic:cNvPicPr/>
                  </pic:nvPicPr>
                  <pic:blipFill>
                    <a:blip r:embed="rId10"/>
                    <a:stretch>
                      <a:fillRect/>
                    </a:stretch>
                  </pic:blipFill>
                  <pic:spPr>
                    <a:xfrm>
                      <a:off x="0" y="0"/>
                      <a:ext cx="5727700" cy="3639820"/>
                    </a:xfrm>
                    <a:prstGeom prst="rect">
                      <a:avLst/>
                    </a:prstGeom>
                  </pic:spPr>
                </pic:pic>
              </a:graphicData>
            </a:graphic>
          </wp:inline>
        </w:drawing>
      </w:r>
    </w:p>
    <w:p w14:paraId="67D8AD74" w14:textId="642C69EB" w:rsidR="00824084" w:rsidRDefault="00824084" w:rsidP="005C6EBA">
      <w:pPr>
        <w:pStyle w:val="NormalWeb"/>
        <w:spacing w:before="0" w:beforeAutospacing="0" w:after="0" w:afterAutospacing="0"/>
        <w:rPr>
          <w:rFonts w:asciiTheme="minorHAnsi" w:hAnsiTheme="minorHAnsi" w:cstheme="minorHAnsi"/>
        </w:rPr>
      </w:pPr>
      <w:r w:rsidRPr="00DD0C08">
        <w:rPr>
          <w:rFonts w:asciiTheme="minorHAnsi" w:hAnsiTheme="minorHAnsi" w:cstheme="minorHAnsi"/>
          <w:noProof/>
        </w:rPr>
        <w:drawing>
          <wp:inline distT="0" distB="0" distL="0" distR="0" wp14:anchorId="06A01F7B" wp14:editId="47E47305">
            <wp:extent cx="5727700" cy="3250565"/>
            <wp:effectExtent l="0" t="0" r="0" b="635"/>
            <wp:docPr id="13" name="Picture 13" descr="A chart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hart of different colors&#10;&#10;Description automatically generated with medium confidence"/>
                    <pic:cNvPicPr/>
                  </pic:nvPicPr>
                  <pic:blipFill>
                    <a:blip r:embed="rId11"/>
                    <a:stretch>
                      <a:fillRect/>
                    </a:stretch>
                  </pic:blipFill>
                  <pic:spPr>
                    <a:xfrm>
                      <a:off x="0" y="0"/>
                      <a:ext cx="5727700" cy="3250565"/>
                    </a:xfrm>
                    <a:prstGeom prst="rect">
                      <a:avLst/>
                    </a:prstGeom>
                  </pic:spPr>
                </pic:pic>
              </a:graphicData>
            </a:graphic>
          </wp:inline>
        </w:drawing>
      </w:r>
    </w:p>
    <w:p w14:paraId="7B18FB5C" w14:textId="77777777" w:rsidR="00824084" w:rsidRDefault="00824084" w:rsidP="005C6EBA">
      <w:pPr>
        <w:pStyle w:val="NormalWeb"/>
        <w:spacing w:before="0" w:beforeAutospacing="0" w:after="0" w:afterAutospacing="0"/>
        <w:jc w:val="both"/>
        <w:rPr>
          <w:rFonts w:asciiTheme="minorHAnsi" w:hAnsiTheme="minorHAnsi" w:cstheme="minorBidi"/>
        </w:rPr>
      </w:pPr>
      <w:r w:rsidRPr="00C020A5">
        <w:rPr>
          <w:rFonts w:asciiTheme="minorHAnsi" w:hAnsiTheme="minorHAnsi" w:cstheme="minorBidi"/>
          <w:b/>
          <w:bCs/>
        </w:rPr>
        <w:t xml:space="preserve">Supplementary Figure 5.  </w:t>
      </w:r>
      <w:proofErr w:type="gramStart"/>
      <w:r w:rsidRPr="00C020A5">
        <w:rPr>
          <w:rFonts w:asciiTheme="minorHAnsi" w:hAnsiTheme="minorHAnsi" w:cstheme="minorBidi"/>
          <w:b/>
          <w:bCs/>
        </w:rPr>
        <w:t>Twenty five</w:t>
      </w:r>
      <w:proofErr w:type="gramEnd"/>
      <w:r w:rsidRPr="00C020A5">
        <w:rPr>
          <w:rFonts w:asciiTheme="minorHAnsi" w:hAnsiTheme="minorHAnsi" w:cstheme="minorBidi"/>
          <w:b/>
          <w:bCs/>
        </w:rPr>
        <w:t xml:space="preserve"> most abundant genera of rearing unit surface water for all S1 sampling locations.</w:t>
      </w:r>
      <w:r w:rsidRPr="00C020A5">
        <w:rPr>
          <w:rFonts w:asciiTheme="minorHAnsi" w:hAnsiTheme="minorHAnsi" w:cstheme="minorBidi"/>
        </w:rPr>
        <w:t xml:space="preserve">  Each colour represents an </w:t>
      </w:r>
      <w:proofErr w:type="gramStart"/>
      <w:r w:rsidRPr="00C020A5">
        <w:rPr>
          <w:rFonts w:asciiTheme="minorHAnsi" w:hAnsiTheme="minorHAnsi" w:cstheme="minorBidi"/>
        </w:rPr>
        <w:t>individual genera</w:t>
      </w:r>
      <w:proofErr w:type="gramEnd"/>
      <w:r w:rsidRPr="00C020A5">
        <w:rPr>
          <w:rFonts w:asciiTheme="minorHAnsi" w:hAnsiTheme="minorHAnsi" w:cstheme="minorBidi"/>
        </w:rPr>
        <w:t xml:space="preserve">, apart from yellow which represents other taxa.  Each column represents an individual sample, going Glass fibre, </w:t>
      </w:r>
      <w:proofErr w:type="spellStart"/>
      <w:r w:rsidRPr="00C020A5">
        <w:rPr>
          <w:rFonts w:asciiTheme="minorHAnsi" w:hAnsiTheme="minorHAnsi" w:cstheme="minorBidi"/>
        </w:rPr>
        <w:t>Sterivex</w:t>
      </w:r>
      <w:proofErr w:type="spellEnd"/>
      <w:r w:rsidRPr="00C020A5">
        <w:rPr>
          <w:rFonts w:asciiTheme="minorHAnsi" w:hAnsiTheme="minorHAnsi" w:cstheme="minorBidi"/>
        </w:rPr>
        <w:t xml:space="preserve">, Glass fibre, </w:t>
      </w:r>
      <w:proofErr w:type="spellStart"/>
      <w:r w:rsidRPr="00C020A5">
        <w:rPr>
          <w:rFonts w:asciiTheme="minorHAnsi" w:hAnsiTheme="minorHAnsi" w:cstheme="minorBidi"/>
        </w:rPr>
        <w:t>Sterivex</w:t>
      </w:r>
      <w:proofErr w:type="spellEnd"/>
      <w:r w:rsidRPr="00C020A5">
        <w:rPr>
          <w:rFonts w:asciiTheme="minorHAnsi" w:hAnsiTheme="minorHAnsi" w:cstheme="minorBidi"/>
        </w:rPr>
        <w:t xml:space="preserve"> for each location. </w:t>
      </w:r>
    </w:p>
    <w:p w14:paraId="3F424A76" w14:textId="77777777" w:rsidR="005C6EBA" w:rsidRPr="00C020A5" w:rsidRDefault="005C6EBA" w:rsidP="005C6EBA">
      <w:pPr>
        <w:pStyle w:val="NormalWeb"/>
        <w:spacing w:before="0" w:beforeAutospacing="0" w:after="0" w:afterAutospacing="0"/>
        <w:jc w:val="both"/>
        <w:rPr>
          <w:rFonts w:asciiTheme="minorHAnsi" w:hAnsiTheme="minorHAnsi" w:cstheme="minorBidi"/>
        </w:rPr>
      </w:pPr>
    </w:p>
    <w:p w14:paraId="086FDFAD" w14:textId="77777777" w:rsidR="00824084" w:rsidRDefault="00824084" w:rsidP="00824084">
      <w:pPr>
        <w:pStyle w:val="NormalWeb"/>
        <w:spacing w:before="0" w:beforeAutospacing="0" w:after="0" w:afterAutospacing="0"/>
        <w:rPr>
          <w:rFonts w:asciiTheme="minorHAnsi" w:hAnsiTheme="minorHAnsi" w:cstheme="minorHAnsi"/>
        </w:rPr>
      </w:pPr>
      <w:r w:rsidRPr="00E026D2">
        <w:rPr>
          <w:rFonts w:asciiTheme="minorHAnsi" w:hAnsiTheme="minorHAnsi" w:cstheme="minorHAnsi"/>
          <w:noProof/>
        </w:rPr>
        <w:drawing>
          <wp:anchor distT="0" distB="0" distL="114300" distR="114300" simplePos="0" relativeHeight="251659264" behindDoc="1" locked="0" layoutInCell="1" allowOverlap="1" wp14:anchorId="221D6FA5" wp14:editId="5E50C4D6">
            <wp:simplePos x="0" y="0"/>
            <wp:positionH relativeFrom="column">
              <wp:posOffset>1222744</wp:posOffset>
            </wp:positionH>
            <wp:positionV relativeFrom="paragraph">
              <wp:posOffset>3357777</wp:posOffset>
            </wp:positionV>
            <wp:extent cx="3343172" cy="4199860"/>
            <wp:effectExtent l="0" t="0" r="0" b="4445"/>
            <wp:wrapTight wrapText="bothSides">
              <wp:wrapPolygon edited="0">
                <wp:start x="0" y="0"/>
                <wp:lineTo x="0" y="21558"/>
                <wp:lineTo x="21502" y="21558"/>
                <wp:lineTo x="21502" y="0"/>
                <wp:lineTo x="0" y="0"/>
              </wp:wrapPolygon>
            </wp:wrapTight>
            <wp:docPr id="16" name="Picture 16" descr="A tabl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table with different colored squar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43172" cy="4199860"/>
                    </a:xfrm>
                    <a:prstGeom prst="rect">
                      <a:avLst/>
                    </a:prstGeom>
                  </pic:spPr>
                </pic:pic>
              </a:graphicData>
            </a:graphic>
            <wp14:sizeRelH relativeFrom="page">
              <wp14:pctWidth>0</wp14:pctWidth>
            </wp14:sizeRelH>
            <wp14:sizeRelV relativeFrom="page">
              <wp14:pctHeight>0</wp14:pctHeight>
            </wp14:sizeRelV>
          </wp:anchor>
        </w:drawing>
      </w:r>
      <w:r w:rsidRPr="00E026D2">
        <w:rPr>
          <w:rFonts w:asciiTheme="minorHAnsi" w:hAnsiTheme="minorHAnsi" w:cstheme="minorHAnsi"/>
          <w:noProof/>
        </w:rPr>
        <w:drawing>
          <wp:inline distT="0" distB="0" distL="0" distR="0" wp14:anchorId="5B9C32E9" wp14:editId="125A0770">
            <wp:extent cx="5727700" cy="3357245"/>
            <wp:effectExtent l="0" t="0" r="0" b="0"/>
            <wp:docPr id="15" name="Picture 15" descr="A chart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hart of different colored squares&#10;&#10;Description automatically generated with medium confidence"/>
                    <pic:cNvPicPr/>
                  </pic:nvPicPr>
                  <pic:blipFill>
                    <a:blip r:embed="rId13"/>
                    <a:stretch>
                      <a:fillRect/>
                    </a:stretch>
                  </pic:blipFill>
                  <pic:spPr>
                    <a:xfrm>
                      <a:off x="0" y="0"/>
                      <a:ext cx="5727700" cy="3357245"/>
                    </a:xfrm>
                    <a:prstGeom prst="rect">
                      <a:avLst/>
                    </a:prstGeom>
                  </pic:spPr>
                </pic:pic>
              </a:graphicData>
            </a:graphic>
          </wp:inline>
        </w:drawing>
      </w:r>
    </w:p>
    <w:p w14:paraId="46E4AEDD" w14:textId="77777777" w:rsidR="00824084" w:rsidRPr="00D7212E" w:rsidRDefault="00824084" w:rsidP="00824084">
      <w:pPr>
        <w:pStyle w:val="NormalWeb"/>
        <w:spacing w:before="0" w:beforeAutospacing="0" w:after="0" w:afterAutospacing="0"/>
        <w:rPr>
          <w:rFonts w:asciiTheme="minorHAnsi" w:hAnsiTheme="minorHAnsi" w:cstheme="minorBidi"/>
        </w:rPr>
      </w:pPr>
    </w:p>
    <w:p w14:paraId="4E1524E8" w14:textId="77777777" w:rsidR="00824084" w:rsidRDefault="00824084" w:rsidP="00824084">
      <w:pPr>
        <w:pStyle w:val="NormalWeb"/>
        <w:spacing w:before="0" w:beforeAutospacing="0" w:after="0" w:afterAutospacing="0" w:line="480" w:lineRule="auto"/>
        <w:jc w:val="both"/>
        <w:rPr>
          <w:rFonts w:asciiTheme="minorHAnsi" w:hAnsiTheme="minorHAnsi" w:cstheme="minorHAnsi"/>
        </w:rPr>
      </w:pPr>
    </w:p>
    <w:p w14:paraId="1C35C335" w14:textId="77777777" w:rsidR="00824084" w:rsidRPr="0003360E" w:rsidRDefault="00824084" w:rsidP="00824084">
      <w:pPr>
        <w:pStyle w:val="NormalWeb"/>
        <w:spacing w:before="0" w:beforeAutospacing="0" w:after="0" w:afterAutospacing="0" w:line="480" w:lineRule="auto"/>
        <w:jc w:val="both"/>
        <w:rPr>
          <w:rFonts w:asciiTheme="minorHAnsi" w:hAnsiTheme="minorHAnsi" w:cstheme="minorHAnsi"/>
        </w:rPr>
      </w:pPr>
    </w:p>
    <w:p w14:paraId="558E8372" w14:textId="77777777" w:rsidR="006A5771" w:rsidRDefault="006A5771"/>
    <w:sectPr w:rsidR="006A5771" w:rsidSect="00824084">
      <w:footerReference w:type="even" r:id="rId14"/>
      <w:footerReference w:type="default" r:id="rId15"/>
      <w:pgSz w:w="11900" w:h="16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B9B5E" w14:textId="77777777" w:rsidR="00487BCF" w:rsidRDefault="00487BCF">
      <w:r>
        <w:separator/>
      </w:r>
    </w:p>
  </w:endnote>
  <w:endnote w:type="continuationSeparator" w:id="0">
    <w:p w14:paraId="074BB14B" w14:textId="77777777" w:rsidR="00487BCF" w:rsidRDefault="0048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88649585"/>
      <w:docPartObj>
        <w:docPartGallery w:val="Page Numbers (Bottom of Page)"/>
        <w:docPartUnique/>
      </w:docPartObj>
    </w:sdtPr>
    <w:sdtEndPr>
      <w:rPr>
        <w:rStyle w:val="PageNumber"/>
      </w:rPr>
    </w:sdtEndPr>
    <w:sdtContent>
      <w:p w14:paraId="6F9E15D2" w14:textId="77777777" w:rsidR="002B38F4" w:rsidRDefault="00487BCF" w:rsidP="00FC6D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B8178C" w14:textId="77777777" w:rsidR="002B38F4" w:rsidRDefault="002B38F4" w:rsidP="00D06B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3984435"/>
      <w:docPartObj>
        <w:docPartGallery w:val="Page Numbers (Bottom of Page)"/>
        <w:docPartUnique/>
      </w:docPartObj>
    </w:sdtPr>
    <w:sdtEndPr>
      <w:rPr>
        <w:rStyle w:val="PageNumber"/>
      </w:rPr>
    </w:sdtEndPr>
    <w:sdtContent>
      <w:p w14:paraId="2710B585" w14:textId="77777777" w:rsidR="002B38F4" w:rsidRDefault="00487BCF" w:rsidP="00FC6D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106FAE" w14:textId="77777777" w:rsidR="002B38F4" w:rsidRDefault="002B38F4" w:rsidP="00D06B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9CBFB" w14:textId="77777777" w:rsidR="00487BCF" w:rsidRDefault="00487BCF">
      <w:r>
        <w:separator/>
      </w:r>
    </w:p>
  </w:footnote>
  <w:footnote w:type="continuationSeparator" w:id="0">
    <w:p w14:paraId="7CEB73F2" w14:textId="77777777" w:rsidR="00487BCF" w:rsidRDefault="00487B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084"/>
    <w:rsid w:val="00036C12"/>
    <w:rsid w:val="002B38F4"/>
    <w:rsid w:val="004571CD"/>
    <w:rsid w:val="00487BCF"/>
    <w:rsid w:val="005C6EBA"/>
    <w:rsid w:val="006A5771"/>
    <w:rsid w:val="00824084"/>
    <w:rsid w:val="00912E48"/>
    <w:rsid w:val="00947541"/>
    <w:rsid w:val="009B0B77"/>
    <w:rsid w:val="009D2D50"/>
    <w:rsid w:val="00A006BB"/>
    <w:rsid w:val="00AF6A3C"/>
    <w:rsid w:val="00B34446"/>
    <w:rsid w:val="00C020A5"/>
    <w:rsid w:val="00E301FA"/>
    <w:rsid w:val="00E94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72DA"/>
  <w15:chartTrackingRefBased/>
  <w15:docId w15:val="{D4092A9F-9596-C040-8474-48F8316E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084"/>
    <w:rPr>
      <w:kern w:val="0"/>
      <w14:ligatures w14:val="none"/>
    </w:rPr>
  </w:style>
  <w:style w:type="paragraph" w:styleId="Heading1">
    <w:name w:val="heading 1"/>
    <w:basedOn w:val="Normal"/>
    <w:next w:val="Normal"/>
    <w:link w:val="Heading1Char"/>
    <w:uiPriority w:val="9"/>
    <w:qFormat/>
    <w:rsid w:val="0082408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2408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2408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2408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2408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24084"/>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24084"/>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24084"/>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24084"/>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084"/>
    <w:rPr>
      <w:rFonts w:eastAsiaTheme="majorEastAsia" w:cstheme="majorBidi"/>
      <w:color w:val="272727" w:themeColor="text1" w:themeTint="D8"/>
    </w:rPr>
  </w:style>
  <w:style w:type="paragraph" w:styleId="Title">
    <w:name w:val="Title"/>
    <w:basedOn w:val="Normal"/>
    <w:next w:val="Normal"/>
    <w:link w:val="TitleChar"/>
    <w:uiPriority w:val="10"/>
    <w:qFormat/>
    <w:rsid w:val="0082408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24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084"/>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24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084"/>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24084"/>
    <w:rPr>
      <w:i/>
      <w:iCs/>
      <w:color w:val="404040" w:themeColor="text1" w:themeTint="BF"/>
    </w:rPr>
  </w:style>
  <w:style w:type="paragraph" w:styleId="ListParagraph">
    <w:name w:val="List Paragraph"/>
    <w:basedOn w:val="Normal"/>
    <w:uiPriority w:val="34"/>
    <w:qFormat/>
    <w:rsid w:val="00824084"/>
    <w:pPr>
      <w:ind w:left="720"/>
      <w:contextualSpacing/>
    </w:pPr>
    <w:rPr>
      <w:kern w:val="2"/>
      <w14:ligatures w14:val="standardContextual"/>
    </w:rPr>
  </w:style>
  <w:style w:type="character" w:styleId="IntenseEmphasis">
    <w:name w:val="Intense Emphasis"/>
    <w:basedOn w:val="DefaultParagraphFont"/>
    <w:uiPriority w:val="21"/>
    <w:qFormat/>
    <w:rsid w:val="00824084"/>
    <w:rPr>
      <w:i/>
      <w:iCs/>
      <w:color w:val="0F4761" w:themeColor="accent1" w:themeShade="BF"/>
    </w:rPr>
  </w:style>
  <w:style w:type="paragraph" w:styleId="IntenseQuote">
    <w:name w:val="Intense Quote"/>
    <w:basedOn w:val="Normal"/>
    <w:next w:val="Normal"/>
    <w:link w:val="IntenseQuoteChar"/>
    <w:uiPriority w:val="30"/>
    <w:qFormat/>
    <w:rsid w:val="00824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24084"/>
    <w:rPr>
      <w:i/>
      <w:iCs/>
      <w:color w:val="0F4761" w:themeColor="accent1" w:themeShade="BF"/>
    </w:rPr>
  </w:style>
  <w:style w:type="character" w:styleId="IntenseReference">
    <w:name w:val="Intense Reference"/>
    <w:basedOn w:val="DefaultParagraphFont"/>
    <w:uiPriority w:val="32"/>
    <w:qFormat/>
    <w:rsid w:val="00824084"/>
    <w:rPr>
      <w:b/>
      <w:bCs/>
      <w:smallCaps/>
      <w:color w:val="0F4761" w:themeColor="accent1" w:themeShade="BF"/>
      <w:spacing w:val="5"/>
    </w:rPr>
  </w:style>
  <w:style w:type="paragraph" w:styleId="NormalWeb">
    <w:name w:val="Normal (Web)"/>
    <w:basedOn w:val="Normal"/>
    <w:uiPriority w:val="99"/>
    <w:unhideWhenUsed/>
    <w:rsid w:val="00824084"/>
    <w:pPr>
      <w:spacing w:before="100" w:beforeAutospacing="1" w:after="100" w:afterAutospacing="1"/>
    </w:pPr>
    <w:rPr>
      <w:rFonts w:ascii="Times New Roman" w:eastAsia="Times New Roman" w:hAnsi="Times New Roman" w:cs="Times New Roman"/>
      <w:lang w:eastAsia="en-GB"/>
    </w:rPr>
  </w:style>
  <w:style w:type="table" w:styleId="GridTable3-Accent3">
    <w:name w:val="Grid Table 3 Accent 3"/>
    <w:basedOn w:val="TableNormal"/>
    <w:uiPriority w:val="48"/>
    <w:rsid w:val="00824084"/>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paragraph" w:styleId="Footer">
    <w:name w:val="footer"/>
    <w:basedOn w:val="Normal"/>
    <w:link w:val="FooterChar"/>
    <w:uiPriority w:val="99"/>
    <w:unhideWhenUsed/>
    <w:rsid w:val="00824084"/>
    <w:pPr>
      <w:tabs>
        <w:tab w:val="center" w:pos="4513"/>
        <w:tab w:val="right" w:pos="9026"/>
      </w:tabs>
    </w:pPr>
  </w:style>
  <w:style w:type="character" w:customStyle="1" w:styleId="FooterChar">
    <w:name w:val="Footer Char"/>
    <w:basedOn w:val="DefaultParagraphFont"/>
    <w:link w:val="Footer"/>
    <w:uiPriority w:val="99"/>
    <w:rsid w:val="00824084"/>
    <w:rPr>
      <w:kern w:val="0"/>
      <w14:ligatures w14:val="none"/>
    </w:rPr>
  </w:style>
  <w:style w:type="character" w:styleId="PageNumber">
    <w:name w:val="page number"/>
    <w:basedOn w:val="DefaultParagraphFont"/>
    <w:uiPriority w:val="99"/>
    <w:semiHidden/>
    <w:unhideWhenUsed/>
    <w:rsid w:val="00824084"/>
  </w:style>
  <w:style w:type="character" w:styleId="LineNumber">
    <w:name w:val="line number"/>
    <w:basedOn w:val="DefaultParagraphFont"/>
    <w:uiPriority w:val="99"/>
    <w:semiHidden/>
    <w:unhideWhenUsed/>
    <w:rsid w:val="00824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6129</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Smith</dc:creator>
  <cp:keywords/>
  <dc:description/>
  <cp:lastModifiedBy>Cindy Smith</cp:lastModifiedBy>
  <cp:revision>5</cp:revision>
  <dcterms:created xsi:type="dcterms:W3CDTF">2024-07-17T15:04:00Z</dcterms:created>
  <dcterms:modified xsi:type="dcterms:W3CDTF">2024-07-17T15:17:00Z</dcterms:modified>
</cp:coreProperties>
</file>