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062C03" w14:textId="77777777" w:rsidR="00411BE6" w:rsidRPr="005C405B" w:rsidRDefault="00411BE6" w:rsidP="00411BE6">
      <w:pPr>
        <w:tabs>
          <w:tab w:val="center" w:pos="1618"/>
        </w:tabs>
        <w:ind w:leftChars="200" w:left="1083" w:hangingChars="300" w:hanging="663"/>
        <w:rPr>
          <w:rFonts w:ascii="Times New Roman" w:hAnsi="Times New Roman" w:cs="Times New Roman"/>
          <w:b/>
          <w:bCs/>
          <w:sz w:val="22"/>
        </w:rPr>
      </w:pPr>
      <w:r w:rsidRPr="005C405B">
        <w:rPr>
          <w:rFonts w:ascii="Times New Roman" w:hAnsi="Times New Roman" w:cs="Times New Roman"/>
          <w:b/>
          <w:bCs/>
          <w:sz w:val="22"/>
        </w:rPr>
        <w:t>Table 1: The characteristics of patients undergoing modified abdominal wall reservoir placement.</w:t>
      </w:r>
    </w:p>
    <w:p w14:paraId="40D3311A" w14:textId="77777777" w:rsidR="00411BE6" w:rsidRDefault="00411BE6" w:rsidP="00411BE6">
      <w:pPr>
        <w:ind w:leftChars="200" w:left="1050" w:hangingChars="300" w:hanging="630"/>
        <w:rPr>
          <w:rFonts w:ascii="Times New Roman" w:hAnsi="Times New Roman" w:cs="Times New Roman"/>
          <w:b/>
          <w:bCs/>
          <w:sz w:val="22"/>
        </w:rPr>
      </w:pPr>
      <w:r w:rsidRPr="005C405B">
        <w:rPr>
          <w:rFonts w:ascii="Times New Roman" w:hAnsi="Times New Roman" w:cs="Times New Roman"/>
          <w:noProof/>
        </w:rPr>
        <w:drawing>
          <wp:inline distT="0" distB="0" distL="0" distR="0" wp14:anchorId="3BAB1FA4" wp14:editId="2EE9BC68">
            <wp:extent cx="3578847" cy="1795456"/>
            <wp:effectExtent l="0" t="0" r="0" b="0"/>
            <wp:docPr id="2932843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28436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5196" cy="1803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C405B" w:rsidDel="00A37D2A">
        <w:rPr>
          <w:rFonts w:ascii="Times New Roman" w:hAnsi="Times New Roman" w:cs="Times New Roman"/>
          <w:noProof/>
        </w:rPr>
        <w:t xml:space="preserve"> </w:t>
      </w:r>
    </w:p>
    <w:p w14:paraId="010F8D43" w14:textId="77777777" w:rsidR="00411BE6" w:rsidRDefault="00411BE6" w:rsidP="00411BE6">
      <w:pPr>
        <w:ind w:leftChars="200" w:left="1083" w:hangingChars="300" w:hanging="663"/>
        <w:rPr>
          <w:rFonts w:ascii="Times New Roman" w:hAnsi="Times New Roman" w:cs="Times New Roman"/>
          <w:b/>
          <w:bCs/>
          <w:sz w:val="22"/>
        </w:rPr>
      </w:pPr>
    </w:p>
    <w:p w14:paraId="4CAAFC82" w14:textId="77777777" w:rsidR="00411BE6" w:rsidRDefault="00411BE6" w:rsidP="00411BE6">
      <w:pPr>
        <w:ind w:leftChars="200" w:left="1083" w:hangingChars="300" w:hanging="663"/>
        <w:rPr>
          <w:rFonts w:ascii="Times New Roman" w:hAnsi="Times New Roman" w:cs="Times New Roman"/>
          <w:b/>
          <w:bCs/>
          <w:sz w:val="22"/>
        </w:rPr>
      </w:pPr>
    </w:p>
    <w:p w14:paraId="56A5F7C5" w14:textId="77777777" w:rsidR="00411BE6" w:rsidRPr="005C405B" w:rsidRDefault="00411BE6" w:rsidP="00411BE6">
      <w:pPr>
        <w:ind w:leftChars="200" w:left="1083" w:hangingChars="300" w:hanging="663"/>
        <w:rPr>
          <w:rFonts w:ascii="Times New Roman" w:hAnsi="Times New Roman" w:cs="Times New Roman"/>
          <w:b/>
          <w:bCs/>
          <w:sz w:val="22"/>
        </w:rPr>
      </w:pPr>
      <w:r w:rsidRPr="005C405B">
        <w:rPr>
          <w:rFonts w:ascii="Times New Roman" w:hAnsi="Times New Roman" w:cs="Times New Roman"/>
          <w:b/>
          <w:bCs/>
          <w:sz w:val="22"/>
        </w:rPr>
        <w:t>Table 2. The satisfaction of patients and their partners after PPI procedures, as assessed with the Bhojwani’s</w:t>
      </w:r>
      <w:r w:rsidRPr="005C405B">
        <w:rPr>
          <w:rFonts w:ascii="Times New Roman" w:hAnsi="Times New Roman" w:cs="Times New Roman"/>
          <w:sz w:val="22"/>
        </w:rPr>
        <w:t xml:space="preserve"> </w:t>
      </w:r>
      <w:r w:rsidRPr="005C405B">
        <w:rPr>
          <w:rFonts w:ascii="Times New Roman" w:hAnsi="Times New Roman" w:cs="Times New Roman"/>
          <w:b/>
          <w:bCs/>
          <w:sz w:val="22"/>
        </w:rPr>
        <w:t xml:space="preserve"> score. </w:t>
      </w:r>
    </w:p>
    <w:p w14:paraId="381F1F20" w14:textId="77777777" w:rsidR="00411BE6" w:rsidRPr="00C279B2" w:rsidRDefault="00411BE6" w:rsidP="00411BE6">
      <w:pPr>
        <w:ind w:firstLineChars="200" w:firstLine="420"/>
        <w:rPr>
          <w:rFonts w:ascii="Times New Roman" w:hAnsi="Times New Roman" w:cs="Times New Roman"/>
          <w:sz w:val="24"/>
          <w:szCs w:val="24"/>
        </w:rPr>
      </w:pPr>
      <w:r w:rsidRPr="005C405B">
        <w:rPr>
          <w:rFonts w:ascii="Times New Roman" w:hAnsi="Times New Roman" w:cs="Times New Roman"/>
          <w:noProof/>
        </w:rPr>
        <w:drawing>
          <wp:inline distT="0" distB="0" distL="0" distR="0" wp14:anchorId="57EDB5DA" wp14:editId="55663E64">
            <wp:extent cx="3806354" cy="1976041"/>
            <wp:effectExtent l="0" t="0" r="0" b="0"/>
            <wp:docPr id="3665754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57546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38364" cy="199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C405B">
        <w:rPr>
          <w:rFonts w:ascii="Times New Roman" w:hAnsi="Times New Roman" w:cs="Times New Roman"/>
          <w:noProof/>
        </w:rPr>
        <w:t xml:space="preserve"> </w:t>
      </w:r>
    </w:p>
    <w:p w14:paraId="1CF9F14F" w14:textId="77777777" w:rsidR="00411BE6" w:rsidRPr="00C279B2" w:rsidRDefault="00411BE6" w:rsidP="00411BE6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0CFF43D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BE6"/>
    <w:rsid w:val="000C76F0"/>
    <w:rsid w:val="00411BE6"/>
    <w:rsid w:val="00E8638D"/>
    <w:rsid w:val="00EB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0504D"/>
  <w15:chartTrackingRefBased/>
  <w15:docId w15:val="{8A90775B-A094-4BFF-B37E-9A5AC1DF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BE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1BE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1BE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1BE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BE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BE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BE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BE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BE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BE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1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1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B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B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B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B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B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B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1BE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1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BE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1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1BE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1B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1BE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1B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BE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B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1B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2024-08-20T17:37:00Z</dcterms:created>
  <dcterms:modified xsi:type="dcterms:W3CDTF">2024-08-20T17:37:00Z</dcterms:modified>
</cp:coreProperties>
</file>