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55A49" w14:textId="0881E34F" w:rsidR="00511C28" w:rsidRPr="009B7812" w:rsidRDefault="00511C28" w:rsidP="00AB34C5">
      <w:pPr>
        <w:pStyle w:val="BATitle"/>
        <w:jc w:val="left"/>
        <w:rPr>
          <w:b/>
          <w:bCs/>
          <w:sz w:val="36"/>
          <w:szCs w:val="16"/>
          <w:lang w:eastAsia="zh-CN"/>
        </w:rPr>
      </w:pPr>
      <w:r w:rsidRPr="009B7812">
        <w:rPr>
          <w:rFonts w:hint="eastAsia"/>
          <w:b/>
          <w:bCs/>
          <w:sz w:val="36"/>
          <w:szCs w:val="16"/>
          <w:lang w:eastAsia="zh-CN"/>
        </w:rPr>
        <w:t>Su</w:t>
      </w:r>
      <w:r w:rsidRPr="009B7812">
        <w:rPr>
          <w:b/>
          <w:bCs/>
          <w:sz w:val="36"/>
          <w:szCs w:val="16"/>
          <w:lang w:eastAsia="zh-CN"/>
        </w:rPr>
        <w:t>pporting Information</w:t>
      </w:r>
    </w:p>
    <w:p w14:paraId="3B3918B3" w14:textId="221A50B7" w:rsidR="009246AD" w:rsidRDefault="009D386D" w:rsidP="00AB34C5">
      <w:pPr>
        <w:pStyle w:val="BATitle"/>
        <w:jc w:val="left"/>
      </w:pPr>
      <w:r w:rsidRPr="009D386D">
        <w:t xml:space="preserve">Ultrafast </w:t>
      </w:r>
      <w:r w:rsidR="00305343">
        <w:rPr>
          <w:rFonts w:hint="eastAsia"/>
          <w:lang w:eastAsia="zh-CN"/>
        </w:rPr>
        <w:t>P</w:t>
      </w:r>
      <w:r w:rsidRPr="009D386D">
        <w:t xml:space="preserve">olymerase </w:t>
      </w:r>
      <w:r w:rsidR="00305343">
        <w:rPr>
          <w:rFonts w:hint="eastAsia"/>
          <w:lang w:eastAsia="zh-CN"/>
        </w:rPr>
        <w:t>C</w:t>
      </w:r>
      <w:r w:rsidRPr="009D386D">
        <w:t xml:space="preserve">hain </w:t>
      </w:r>
      <w:r w:rsidR="00305343">
        <w:rPr>
          <w:rFonts w:hint="eastAsia"/>
          <w:lang w:eastAsia="zh-CN"/>
        </w:rPr>
        <w:t>R</w:t>
      </w:r>
      <w:r w:rsidRPr="009D386D">
        <w:t>eaction on MEMS Microheater</w:t>
      </w:r>
    </w:p>
    <w:p w14:paraId="51FE7F34" w14:textId="77777777" w:rsidR="00E02588" w:rsidRDefault="00E02588" w:rsidP="00E02588">
      <w:pPr>
        <w:adjustRightInd w:val="0"/>
        <w:spacing w:line="360" w:lineRule="auto"/>
        <w:textAlignment w:val="baseline"/>
        <w:rPr>
          <w:rFonts w:ascii="Times New Roman" w:hAnsi="Times New Roman"/>
          <w:color w:val="000000" w:themeColor="text1"/>
          <w:lang w:val="de-DE" w:eastAsia="zh-CN"/>
        </w:rPr>
      </w:pPr>
      <w:r>
        <w:rPr>
          <w:rFonts w:ascii="Times New Roman" w:hAnsi="Times New Roman" w:hint="eastAsia"/>
          <w:color w:val="000000" w:themeColor="text1"/>
          <w:lang w:val="de-DE" w:eastAsia="zh-CN"/>
        </w:rPr>
        <w:t>Hongjun Liu</w:t>
      </w:r>
      <w:r w:rsidRPr="00E657C3">
        <w:rPr>
          <w:rFonts w:ascii="Times New Roman" w:hAnsi="Times New Roman"/>
          <w:color w:val="000000" w:themeColor="text1"/>
          <w:vertAlign w:val="superscript"/>
          <w:lang w:val="de-DE"/>
        </w:rPr>
        <w:t>1,</w:t>
      </w:r>
      <w:r>
        <w:rPr>
          <w:vertAlign w:val="superscript"/>
        </w:rPr>
        <w:t>†</w:t>
      </w:r>
      <w:r>
        <w:rPr>
          <w:rFonts w:ascii="Times New Roman" w:hAnsi="Times New Roman" w:hint="eastAsia"/>
          <w:color w:val="000000" w:themeColor="text1"/>
          <w:lang w:val="de-DE" w:eastAsia="zh-CN"/>
        </w:rPr>
        <w:t>, Yu Liu</w:t>
      </w:r>
      <w:r w:rsidRPr="00E657C3">
        <w:rPr>
          <w:rFonts w:ascii="Times New Roman" w:hAnsi="Times New Roman"/>
          <w:color w:val="000000" w:themeColor="text1"/>
          <w:vertAlign w:val="superscript"/>
          <w:lang w:val="de-DE"/>
        </w:rPr>
        <w:t>1,</w:t>
      </w:r>
      <w:r>
        <w:rPr>
          <w:rFonts w:ascii="Times New Roman" w:hAnsi="Times New Roman" w:hint="eastAsia"/>
          <w:color w:val="000000" w:themeColor="text1"/>
          <w:vertAlign w:val="superscript"/>
          <w:lang w:val="de-DE" w:eastAsia="zh-CN"/>
        </w:rPr>
        <w:t>2,</w:t>
      </w:r>
      <w:r>
        <w:rPr>
          <w:vertAlign w:val="superscript"/>
        </w:rPr>
        <w:t>†</w:t>
      </w:r>
      <w:r>
        <w:rPr>
          <w:rFonts w:ascii="Times New Roman" w:hAnsi="Times New Roman" w:hint="eastAsia"/>
          <w:color w:val="000000" w:themeColor="text1"/>
          <w:lang w:val="de-DE" w:eastAsia="zh-CN"/>
        </w:rPr>
        <w:t>, Rongyue Liu</w:t>
      </w:r>
      <w:r w:rsidRPr="00E657C3">
        <w:rPr>
          <w:rFonts w:ascii="Times New Roman" w:hAnsi="Times New Roman"/>
          <w:color w:val="000000" w:themeColor="text1"/>
          <w:vertAlign w:val="superscript"/>
          <w:lang w:val="de-DE"/>
        </w:rPr>
        <w:t>1</w:t>
      </w:r>
      <w:r>
        <w:rPr>
          <w:rFonts w:ascii="Times New Roman" w:hAnsi="Times New Roman" w:hint="eastAsia"/>
          <w:color w:val="000000" w:themeColor="text1"/>
          <w:lang w:val="de-DE" w:eastAsia="zh-CN"/>
        </w:rPr>
        <w:t>, Rifei Chen</w:t>
      </w:r>
      <w:r w:rsidRPr="00E657C3">
        <w:rPr>
          <w:rFonts w:ascii="Times New Roman" w:hAnsi="Times New Roman"/>
          <w:color w:val="000000" w:themeColor="text1"/>
          <w:vertAlign w:val="superscript"/>
          <w:lang w:val="de-DE"/>
        </w:rPr>
        <w:t>1,</w:t>
      </w:r>
      <w:r>
        <w:rPr>
          <w:rFonts w:ascii="Times New Roman" w:hAnsi="Times New Roman" w:hint="eastAsia"/>
          <w:color w:val="000000" w:themeColor="text1"/>
          <w:lang w:val="de-DE" w:eastAsia="zh-CN"/>
        </w:rPr>
        <w:t>, Weihao Li</w:t>
      </w:r>
      <w:r w:rsidRPr="00E657C3">
        <w:rPr>
          <w:rFonts w:ascii="Times New Roman" w:hAnsi="Times New Roman"/>
          <w:color w:val="000000" w:themeColor="text1"/>
          <w:vertAlign w:val="superscript"/>
          <w:lang w:val="de-DE"/>
        </w:rPr>
        <w:t>1</w:t>
      </w:r>
      <w:r>
        <w:rPr>
          <w:rFonts w:ascii="Times New Roman" w:hAnsi="Times New Roman" w:hint="eastAsia"/>
          <w:color w:val="000000" w:themeColor="text1"/>
          <w:lang w:val="de-DE" w:eastAsia="zh-CN"/>
        </w:rPr>
        <w:t>, Zijun Chen</w:t>
      </w:r>
      <w:r w:rsidRPr="00E657C3">
        <w:rPr>
          <w:rFonts w:ascii="Times New Roman" w:hAnsi="Times New Roman"/>
          <w:color w:val="000000" w:themeColor="text1"/>
          <w:vertAlign w:val="superscript"/>
          <w:lang w:val="de-DE"/>
        </w:rPr>
        <w:t>1</w:t>
      </w:r>
      <w:r>
        <w:rPr>
          <w:rFonts w:ascii="Times New Roman" w:hAnsi="Times New Roman" w:hint="eastAsia"/>
          <w:color w:val="000000" w:themeColor="text1"/>
          <w:lang w:val="de-DE" w:eastAsia="zh-CN"/>
        </w:rPr>
        <w:t>, Ji Tae Kim</w:t>
      </w:r>
      <w:r>
        <w:rPr>
          <w:rFonts w:ascii="Times New Roman" w:hAnsi="Times New Roman" w:hint="eastAsia"/>
          <w:color w:val="000000" w:themeColor="text1"/>
          <w:vertAlign w:val="superscript"/>
          <w:lang w:val="de-DE" w:eastAsia="zh-CN"/>
        </w:rPr>
        <w:t>2</w:t>
      </w:r>
      <w:r>
        <w:rPr>
          <w:rFonts w:ascii="Times New Roman" w:hAnsi="Times New Roman" w:hint="eastAsia"/>
          <w:color w:val="000000" w:themeColor="text1"/>
          <w:lang w:val="de-DE" w:eastAsia="zh-CN"/>
        </w:rPr>
        <w:t>, Zhongren Chen</w:t>
      </w:r>
      <w:r>
        <w:rPr>
          <w:rFonts w:ascii="Times New Roman" w:hAnsi="Times New Roman" w:hint="eastAsia"/>
          <w:color w:val="000000" w:themeColor="text1"/>
          <w:vertAlign w:val="superscript"/>
          <w:lang w:val="de-DE" w:eastAsia="zh-CN"/>
        </w:rPr>
        <w:t>3</w:t>
      </w:r>
      <w:r>
        <w:rPr>
          <w:rFonts w:ascii="Times New Roman" w:hAnsi="Times New Roman" w:hint="eastAsia"/>
          <w:color w:val="000000" w:themeColor="text1"/>
          <w:lang w:val="de-DE" w:eastAsia="zh-CN"/>
        </w:rPr>
        <w:t>, and Xing Cheng</w:t>
      </w:r>
      <w:r w:rsidRPr="00E657C3">
        <w:rPr>
          <w:rFonts w:ascii="Times New Roman" w:hAnsi="Times New Roman"/>
          <w:color w:val="000000" w:themeColor="text1"/>
          <w:vertAlign w:val="superscript"/>
          <w:lang w:val="de-DE"/>
        </w:rPr>
        <w:t>1</w:t>
      </w:r>
      <w:r>
        <w:rPr>
          <w:rFonts w:ascii="Times New Roman" w:hAnsi="Times New Roman" w:hint="eastAsia"/>
          <w:color w:val="000000" w:themeColor="text1"/>
          <w:vertAlign w:val="superscript"/>
          <w:lang w:val="de-DE" w:eastAsia="zh-CN"/>
        </w:rPr>
        <w:t>,*</w:t>
      </w:r>
    </w:p>
    <w:p w14:paraId="0F651A50" w14:textId="77777777" w:rsidR="000C105F" w:rsidRPr="003D45EA" w:rsidRDefault="000C105F" w:rsidP="000C105F">
      <w:pPr>
        <w:adjustRightInd w:val="0"/>
        <w:spacing w:line="360" w:lineRule="auto"/>
        <w:jc w:val="left"/>
        <w:textAlignment w:val="baseline"/>
        <w:rPr>
          <w:rFonts w:ascii="Times New Roman" w:hAnsi="Times New Roman"/>
          <w:color w:val="000000" w:themeColor="text1"/>
          <w:szCs w:val="24"/>
        </w:rPr>
      </w:pPr>
      <w:r w:rsidRPr="003D45EA">
        <w:rPr>
          <w:rFonts w:ascii="Times New Roman" w:hAnsi="Times New Roman"/>
          <w:color w:val="000000" w:themeColor="text1"/>
          <w:szCs w:val="24"/>
          <w:vertAlign w:val="superscript"/>
        </w:rPr>
        <w:t>1</w:t>
      </w:r>
      <w:r>
        <w:rPr>
          <w:rFonts w:ascii="Times New Roman" w:hAnsi="Times New Roman" w:hint="eastAsia"/>
          <w:color w:val="000000" w:themeColor="text1"/>
          <w:szCs w:val="24"/>
          <w:vertAlign w:val="superscript"/>
          <w:lang w:eastAsia="zh-CN"/>
        </w:rPr>
        <w:t xml:space="preserve"> </w:t>
      </w:r>
      <w:r w:rsidRPr="003D45EA">
        <w:rPr>
          <w:rFonts w:ascii="Times New Roman" w:hAnsi="Times New Roman"/>
          <w:color w:val="000000" w:themeColor="text1"/>
          <w:szCs w:val="24"/>
        </w:rPr>
        <w:t>Department of Materials Science and Engineering, Southern University of Science and Technology, Shenzhen, China.</w:t>
      </w:r>
    </w:p>
    <w:p w14:paraId="34AF1C05" w14:textId="77777777" w:rsidR="000C105F" w:rsidRPr="00E657C3" w:rsidRDefault="000C105F" w:rsidP="000C105F">
      <w:pPr>
        <w:adjustRightInd w:val="0"/>
        <w:spacing w:line="360" w:lineRule="auto"/>
        <w:jc w:val="left"/>
        <w:textAlignment w:val="baseline"/>
        <w:rPr>
          <w:rFonts w:ascii="Times New Roman" w:hAnsi="Times New Roman"/>
          <w:color w:val="000000" w:themeColor="text1"/>
          <w:szCs w:val="24"/>
        </w:rPr>
      </w:pPr>
      <w:r w:rsidRPr="003D45EA">
        <w:rPr>
          <w:rFonts w:ascii="Times New Roman" w:hAnsi="Times New Roman" w:hint="eastAsia"/>
          <w:color w:val="000000" w:themeColor="text1"/>
          <w:szCs w:val="24"/>
          <w:vertAlign w:val="superscript"/>
        </w:rPr>
        <w:t>2</w:t>
      </w:r>
      <w:r>
        <w:rPr>
          <w:rFonts w:ascii="Times New Roman" w:hAnsi="Times New Roman" w:hint="eastAsia"/>
          <w:color w:val="000000" w:themeColor="text1"/>
          <w:szCs w:val="24"/>
          <w:vertAlign w:val="superscript"/>
          <w:lang w:eastAsia="zh-CN"/>
        </w:rPr>
        <w:t xml:space="preserve"> </w:t>
      </w:r>
      <w:r w:rsidRPr="00E657C3">
        <w:rPr>
          <w:rFonts w:ascii="Times New Roman" w:hAnsi="Times New Roman"/>
          <w:color w:val="000000" w:themeColor="text1"/>
          <w:szCs w:val="24"/>
        </w:rPr>
        <w:t>Department of Mechanical Engineering, University of Hong Kong, Hong Kong, China</w:t>
      </w:r>
    </w:p>
    <w:p w14:paraId="3CD2C50E" w14:textId="77777777" w:rsidR="000C105F" w:rsidRPr="003D45EA" w:rsidRDefault="000C105F" w:rsidP="000C105F">
      <w:pPr>
        <w:adjustRightInd w:val="0"/>
        <w:spacing w:line="360" w:lineRule="auto"/>
        <w:jc w:val="left"/>
        <w:textAlignment w:val="baseline"/>
        <w:rPr>
          <w:rFonts w:ascii="Times New Roman" w:hAnsi="Times New Roman"/>
          <w:color w:val="000000" w:themeColor="text1"/>
          <w:szCs w:val="24"/>
        </w:rPr>
      </w:pPr>
      <w:r w:rsidRPr="003D45EA">
        <w:rPr>
          <w:rFonts w:ascii="Times New Roman" w:hAnsi="Times New Roman" w:hint="eastAsia"/>
          <w:color w:val="000000" w:themeColor="text1"/>
          <w:szCs w:val="24"/>
          <w:vertAlign w:val="superscript"/>
        </w:rPr>
        <w:t>3</w:t>
      </w:r>
      <w:r>
        <w:rPr>
          <w:rFonts w:ascii="Times New Roman" w:hAnsi="Times New Roman" w:hint="eastAsia"/>
          <w:color w:val="000000" w:themeColor="text1"/>
          <w:szCs w:val="24"/>
          <w:vertAlign w:val="superscript"/>
          <w:lang w:eastAsia="zh-CN"/>
        </w:rPr>
        <w:t xml:space="preserve"> </w:t>
      </w:r>
      <w:r w:rsidRPr="003D45EA">
        <w:rPr>
          <w:rFonts w:ascii="Times New Roman" w:hAnsi="Times New Roman"/>
          <w:color w:val="000000" w:themeColor="text1"/>
          <w:szCs w:val="24"/>
        </w:rPr>
        <w:t xml:space="preserve">Department of Chemistry, Southern University of Science and Technology, Shenzhen, China. </w:t>
      </w:r>
    </w:p>
    <w:p w14:paraId="7CDE90BC" w14:textId="77777777" w:rsidR="000C105F" w:rsidRPr="00E657C3" w:rsidRDefault="000C105F" w:rsidP="000C105F">
      <w:pPr>
        <w:pStyle w:val="Addresses"/>
        <w:spacing w:after="240" w:line="360" w:lineRule="auto"/>
        <w:jc w:val="both"/>
      </w:pPr>
      <w:r w:rsidRPr="00E657C3">
        <w:rPr>
          <w:rFonts w:ascii="MS Gothic" w:eastAsia="MS Gothic" w:hAnsi="MS Gothic" w:cs="MS Gothic" w:hint="eastAsia"/>
          <w:iCs/>
          <w:color w:val="000000" w:themeColor="text1"/>
          <w:vertAlign w:val="superscript"/>
        </w:rPr>
        <w:t>∗</w:t>
      </w:r>
      <w:r>
        <w:rPr>
          <w:rFonts w:ascii="MS Gothic" w:eastAsiaTheme="minorEastAsia" w:hAnsi="MS Gothic" w:cs="MS Gothic" w:hint="eastAsia"/>
          <w:iCs/>
          <w:color w:val="000000" w:themeColor="text1"/>
          <w:vertAlign w:val="superscript"/>
          <w:lang w:eastAsia="zh-CN"/>
        </w:rPr>
        <w:t xml:space="preserve"> </w:t>
      </w:r>
      <w:r w:rsidRPr="00E657C3">
        <w:rPr>
          <w:rFonts w:eastAsia="宋体"/>
          <w:iCs/>
          <w:color w:val="000000" w:themeColor="text1"/>
        </w:rPr>
        <w:t>Corresponding author.</w:t>
      </w:r>
    </w:p>
    <w:p w14:paraId="016376A9" w14:textId="77777777" w:rsidR="000C105F" w:rsidRDefault="000C105F" w:rsidP="000C105F">
      <w:pPr>
        <w:pStyle w:val="BCAuthorAddress"/>
        <w:spacing w:line="360" w:lineRule="auto"/>
        <w:jc w:val="left"/>
      </w:pPr>
      <w:r>
        <w:rPr>
          <w:vertAlign w:val="superscript"/>
        </w:rPr>
        <w:t>1, *</w:t>
      </w:r>
      <w:r>
        <w:t xml:space="preserve">Email: </w:t>
      </w:r>
      <w:hyperlink r:id="rId8" w:history="1">
        <w:r>
          <w:t>chengx@sustech.edu.cn</w:t>
        </w:r>
      </w:hyperlink>
    </w:p>
    <w:p w14:paraId="5FCBD655" w14:textId="77777777" w:rsidR="000C105F" w:rsidRDefault="000C105F" w:rsidP="000C105F">
      <w:pPr>
        <w:pStyle w:val="BCAuthorAddress"/>
        <w:spacing w:line="360" w:lineRule="auto"/>
        <w:jc w:val="left"/>
      </w:pPr>
      <w:r>
        <w:rPr>
          <w:vertAlign w:val="superscript"/>
        </w:rPr>
        <w:t>†</w:t>
      </w:r>
      <w:r>
        <w:rPr>
          <w:rFonts w:hint="eastAsia"/>
          <w:lang w:eastAsia="zh-CN"/>
        </w:rPr>
        <w:t>H</w:t>
      </w:r>
      <w:r>
        <w:t xml:space="preserve">.L. and </w:t>
      </w:r>
      <w:r>
        <w:rPr>
          <w:rFonts w:hint="eastAsia"/>
          <w:lang w:eastAsia="zh-CN"/>
        </w:rPr>
        <w:t>Y</w:t>
      </w:r>
      <w:r>
        <w:t>.</w:t>
      </w:r>
      <w:r>
        <w:rPr>
          <w:rFonts w:hint="eastAsia"/>
          <w:lang w:eastAsia="zh-CN"/>
        </w:rPr>
        <w:t>L</w:t>
      </w:r>
      <w:r>
        <w:t>. contributed equally to this work.</w:t>
      </w:r>
    </w:p>
    <w:p w14:paraId="58BE360C" w14:textId="16B70497" w:rsidR="0068320C" w:rsidRDefault="0068320C">
      <w:pPr>
        <w:spacing w:after="0"/>
        <w:jc w:val="left"/>
      </w:pPr>
      <w:r>
        <w:br w:type="page"/>
      </w:r>
    </w:p>
    <w:tbl>
      <w:tblPr>
        <w:tblStyle w:val="2"/>
        <w:tblpPr w:leftFromText="180" w:rightFromText="180" w:vertAnchor="text" w:horzAnchor="margin" w:tblpXSpec="center" w:tblpY="1085"/>
        <w:tblW w:w="0" w:type="auto"/>
        <w:tblLook w:val="04A0" w:firstRow="1" w:lastRow="0" w:firstColumn="1" w:lastColumn="0" w:noHBand="0" w:noVBand="1"/>
      </w:tblPr>
      <w:tblGrid>
        <w:gridCol w:w="1659"/>
        <w:gridCol w:w="1659"/>
        <w:gridCol w:w="1659"/>
        <w:gridCol w:w="1659"/>
      </w:tblGrid>
      <w:tr w:rsidR="00FC340C" w:rsidRPr="000B0ADB" w14:paraId="2FA2310B" w14:textId="77777777" w:rsidTr="00FC34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06579B57" w14:textId="77777777" w:rsidR="00FC340C" w:rsidRPr="000B0ADB" w:rsidRDefault="00FC340C" w:rsidP="00FC340C">
            <w:pPr>
              <w:pStyle w:val="TAMainText"/>
              <w:rPr>
                <w:b w:val="0"/>
                <w:bCs w:val="0"/>
              </w:rPr>
            </w:pPr>
            <w:r w:rsidRPr="000B0ADB">
              <w:rPr>
                <w:b w:val="0"/>
                <w:bCs w:val="0"/>
              </w:rPr>
              <w:lastRenderedPageBreak/>
              <w:t>Sample names</w:t>
            </w:r>
          </w:p>
        </w:tc>
        <w:tc>
          <w:tcPr>
            <w:tcW w:w="1659" w:type="dxa"/>
          </w:tcPr>
          <w:p w14:paraId="69EF125F" w14:textId="77777777" w:rsidR="00FC340C" w:rsidRPr="000B0ADB" w:rsidRDefault="00FC340C" w:rsidP="00FC340C">
            <w:pPr>
              <w:pStyle w:val="TAMainText"/>
              <w:cnfStyle w:val="100000000000" w:firstRow="1" w:lastRow="0" w:firstColumn="0" w:lastColumn="0" w:oddVBand="0" w:evenVBand="0" w:oddHBand="0" w:evenHBand="0" w:firstRowFirstColumn="0" w:firstRowLastColumn="0" w:lastRowFirstColumn="0" w:lastRowLastColumn="0"/>
              <w:rPr>
                <w:b w:val="0"/>
                <w:bCs w:val="0"/>
              </w:rPr>
            </w:pPr>
            <w:r w:rsidRPr="000B0ADB">
              <w:rPr>
                <w:b w:val="0"/>
                <w:bCs w:val="0"/>
              </w:rPr>
              <w:t>HBV-A</w:t>
            </w:r>
          </w:p>
        </w:tc>
        <w:tc>
          <w:tcPr>
            <w:tcW w:w="1659" w:type="dxa"/>
          </w:tcPr>
          <w:p w14:paraId="13A0C871" w14:textId="77777777" w:rsidR="00FC340C" w:rsidRPr="000B0ADB" w:rsidRDefault="00FC340C" w:rsidP="00FC340C">
            <w:pPr>
              <w:pStyle w:val="TAMainText"/>
              <w:cnfStyle w:val="100000000000" w:firstRow="1" w:lastRow="0" w:firstColumn="0" w:lastColumn="0" w:oddVBand="0" w:evenVBand="0" w:oddHBand="0" w:evenHBand="0" w:firstRowFirstColumn="0" w:firstRowLastColumn="0" w:lastRowFirstColumn="0" w:lastRowLastColumn="0"/>
              <w:rPr>
                <w:b w:val="0"/>
                <w:bCs w:val="0"/>
              </w:rPr>
            </w:pPr>
            <w:r w:rsidRPr="000B0ADB">
              <w:rPr>
                <w:b w:val="0"/>
                <w:bCs w:val="0"/>
              </w:rPr>
              <w:t>HBV-B</w:t>
            </w:r>
          </w:p>
        </w:tc>
        <w:tc>
          <w:tcPr>
            <w:tcW w:w="1659" w:type="dxa"/>
          </w:tcPr>
          <w:p w14:paraId="1A36492E" w14:textId="77777777" w:rsidR="00FC340C" w:rsidRPr="000B0ADB" w:rsidRDefault="00FC340C" w:rsidP="00FC340C">
            <w:pPr>
              <w:pStyle w:val="TAMainText"/>
              <w:cnfStyle w:val="100000000000" w:firstRow="1" w:lastRow="0" w:firstColumn="0" w:lastColumn="0" w:oddVBand="0" w:evenVBand="0" w:oddHBand="0" w:evenHBand="0" w:firstRowFirstColumn="0" w:firstRowLastColumn="0" w:lastRowFirstColumn="0" w:lastRowLastColumn="0"/>
              <w:rPr>
                <w:b w:val="0"/>
                <w:bCs w:val="0"/>
              </w:rPr>
            </w:pPr>
            <w:r w:rsidRPr="000B0ADB">
              <w:rPr>
                <w:b w:val="0"/>
                <w:bCs w:val="0"/>
              </w:rPr>
              <w:t>HBV-C</w:t>
            </w:r>
          </w:p>
        </w:tc>
      </w:tr>
      <w:tr w:rsidR="00FC340C" w:rsidRPr="000B0ADB" w14:paraId="58E8506E" w14:textId="77777777" w:rsidTr="00FC34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9" w:type="dxa"/>
          </w:tcPr>
          <w:p w14:paraId="7C4049D6" w14:textId="77777777" w:rsidR="00FC340C" w:rsidRPr="000B0ADB" w:rsidRDefault="00FC340C" w:rsidP="00FC340C">
            <w:pPr>
              <w:pStyle w:val="TAMainText"/>
              <w:rPr>
                <w:b w:val="0"/>
                <w:bCs w:val="0"/>
              </w:rPr>
            </w:pPr>
            <w:r w:rsidRPr="000B0ADB">
              <w:rPr>
                <w:b w:val="0"/>
                <w:bCs w:val="0"/>
              </w:rPr>
              <w:t>HBV copies</w:t>
            </w:r>
          </w:p>
        </w:tc>
        <w:tc>
          <w:tcPr>
            <w:tcW w:w="1659" w:type="dxa"/>
          </w:tcPr>
          <w:p w14:paraId="495D8496" w14:textId="3A33CA33" w:rsidR="00FC340C" w:rsidRPr="000B0ADB" w:rsidRDefault="00007221" w:rsidP="00FC340C">
            <w:pPr>
              <w:pStyle w:val="TAMainText"/>
              <w:cnfStyle w:val="000000100000" w:firstRow="0" w:lastRow="0" w:firstColumn="0" w:lastColumn="0" w:oddVBand="0" w:evenVBand="0" w:oddHBand="1" w:evenHBand="0" w:firstRowFirstColumn="0" w:firstRowLastColumn="0" w:lastRowFirstColumn="0" w:lastRowLastColumn="0"/>
            </w:pPr>
            <w:r>
              <w:rPr>
                <w:rFonts w:hint="eastAsia"/>
              </w:rPr>
              <w:t>7.5</w:t>
            </w:r>
          </w:p>
        </w:tc>
        <w:tc>
          <w:tcPr>
            <w:tcW w:w="1659" w:type="dxa"/>
          </w:tcPr>
          <w:p w14:paraId="23B4536C" w14:textId="1FBED6D3" w:rsidR="00FC340C" w:rsidRPr="000B0ADB" w:rsidRDefault="00007221" w:rsidP="00FC340C">
            <w:pPr>
              <w:pStyle w:val="TAMainText"/>
              <w:cnfStyle w:val="000000100000" w:firstRow="0" w:lastRow="0" w:firstColumn="0" w:lastColumn="0" w:oddVBand="0" w:evenVBand="0" w:oddHBand="1" w:evenHBand="0" w:firstRowFirstColumn="0" w:firstRowLastColumn="0" w:lastRowFirstColumn="0" w:lastRowLastColumn="0"/>
            </w:pPr>
            <w:r>
              <w:rPr>
                <w:rFonts w:hint="eastAsia"/>
              </w:rPr>
              <w:t>0.</w:t>
            </w:r>
            <w:r w:rsidR="00FC340C">
              <w:rPr>
                <w:rFonts w:hint="eastAsia"/>
              </w:rPr>
              <w:t>75</w:t>
            </w:r>
          </w:p>
        </w:tc>
        <w:tc>
          <w:tcPr>
            <w:tcW w:w="1659" w:type="dxa"/>
          </w:tcPr>
          <w:p w14:paraId="57F12369" w14:textId="77777777" w:rsidR="00FC340C" w:rsidRPr="000B0ADB" w:rsidRDefault="00FC340C" w:rsidP="00FC340C">
            <w:pPr>
              <w:pStyle w:val="TAMainText"/>
              <w:cnfStyle w:val="000000100000" w:firstRow="0" w:lastRow="0" w:firstColumn="0" w:lastColumn="0" w:oddVBand="0" w:evenVBand="0" w:oddHBand="1" w:evenHBand="0" w:firstRowFirstColumn="0" w:firstRowLastColumn="0" w:lastRowFirstColumn="0" w:lastRowLastColumn="0"/>
            </w:pPr>
            <w:r>
              <w:rPr>
                <w:rFonts w:hint="eastAsia"/>
              </w:rPr>
              <w:t>0.075</w:t>
            </w:r>
          </w:p>
        </w:tc>
      </w:tr>
    </w:tbl>
    <w:p w14:paraId="142C43AD" w14:textId="243A02A6" w:rsidR="00511C28" w:rsidRPr="00511C28" w:rsidRDefault="00511C28" w:rsidP="00511C28">
      <w:pPr>
        <w:pStyle w:val="VDTableTitle"/>
      </w:pPr>
      <w:r w:rsidRPr="00511C28">
        <w:rPr>
          <w:b/>
          <w:bCs/>
        </w:rPr>
        <w:t xml:space="preserve">Table S1. </w:t>
      </w:r>
      <w:r w:rsidRPr="00511C28">
        <w:t>Estimated number of HBV DNA copies in a 3 nL PCR droplet</w:t>
      </w:r>
      <w:r w:rsidR="0059749E">
        <w:t xml:space="preserve"> for different standard samples</w:t>
      </w:r>
      <w:r w:rsidRPr="00511C28">
        <w:t>.</w:t>
      </w:r>
    </w:p>
    <w:p w14:paraId="59435133" w14:textId="4B80254C" w:rsidR="0068320C" w:rsidRDefault="0068320C" w:rsidP="0059749E">
      <w:pPr>
        <w:pStyle w:val="TAMainText"/>
        <w:ind w:firstLine="0"/>
      </w:pPr>
    </w:p>
    <w:p w14:paraId="0E239FB1" w14:textId="77777777" w:rsidR="0068320C" w:rsidRDefault="0068320C">
      <w:pPr>
        <w:spacing w:after="0"/>
        <w:jc w:val="left"/>
      </w:pPr>
      <w:r>
        <w:br w:type="page"/>
      </w:r>
    </w:p>
    <w:p w14:paraId="0EA1E0A1" w14:textId="6803BCC3" w:rsidR="00511C28" w:rsidRPr="00511C28" w:rsidRDefault="0007701C" w:rsidP="0007701C">
      <w:pPr>
        <w:pStyle w:val="TAMainText"/>
        <w:ind w:firstLine="0"/>
      </w:pPr>
      <w:r w:rsidRPr="00511C28">
        <w:lastRenderedPageBreak/>
        <w:t>To reveal the mechanism during thermal cycling of the liquid on MEMS heater, COMSOL Multiphysics V5.6 was used for the simulation. To simplify the calculation, symmetric structure was used. The 3D component was built by rotating the 2D map around the Z axis, as shown in Figure S3. In the physics setup, Heat Transfer in Solids and Fluids, Laminar flow and Multiphysics of non-isothermal flow were added in the model. To mimic the structure of two immiscible phase, the interface between liquid 1 and liquid 2 was set as a solid layer. The angle between the water and heater is set to 40 °. To study the dynamic behavior of the droplet, on the heater component, the heating power varied from 0.0022 W to 0.045 W with 0.5 Hz frequency and 50% duty cycle. In the Laminar flow setup, incompressible flow was selected with considering the gravity. The wall condition was set as slip.</w:t>
      </w:r>
    </w:p>
    <w:p w14:paraId="733344D2" w14:textId="77777777" w:rsidR="00511C28" w:rsidRPr="00511C28" w:rsidRDefault="00511C28" w:rsidP="00511C28">
      <w:pPr>
        <w:pStyle w:val="TAMainText"/>
        <w:jc w:val="center"/>
      </w:pPr>
      <w:r w:rsidRPr="00511C28">
        <w:rPr>
          <w:noProof/>
        </w:rPr>
        <w:drawing>
          <wp:inline distT="0" distB="0" distL="0" distR="0" wp14:anchorId="298A2E2B" wp14:editId="081543FA">
            <wp:extent cx="3148567" cy="4103827"/>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166863" cy="4127674"/>
                    </a:xfrm>
                    <a:prstGeom prst="rect">
                      <a:avLst/>
                    </a:prstGeom>
                  </pic:spPr>
                </pic:pic>
              </a:graphicData>
            </a:graphic>
          </wp:inline>
        </w:drawing>
      </w:r>
    </w:p>
    <w:p w14:paraId="1A91C649" w14:textId="2E269722" w:rsidR="00511C28" w:rsidRPr="00511C28" w:rsidRDefault="00511C28" w:rsidP="00511C28">
      <w:pPr>
        <w:pStyle w:val="VAFigureCaption"/>
        <w:jc w:val="center"/>
      </w:pPr>
      <w:r w:rsidRPr="00511C28">
        <w:rPr>
          <w:b/>
          <w:bCs/>
        </w:rPr>
        <w:t>Figure S</w:t>
      </w:r>
      <w:r w:rsidR="008E073D">
        <w:rPr>
          <w:rFonts w:hint="eastAsia"/>
          <w:b/>
          <w:bCs/>
          <w:lang w:eastAsia="zh-CN"/>
        </w:rPr>
        <w:t>1</w:t>
      </w:r>
      <w:r w:rsidRPr="00511C28">
        <w:rPr>
          <w:b/>
          <w:bCs/>
        </w:rPr>
        <w:t>.</w:t>
      </w:r>
      <w:r w:rsidRPr="00511C28">
        <w:t xml:space="preserve"> COMSOL Multiphysics simulation model.</w:t>
      </w:r>
    </w:p>
    <w:p w14:paraId="2B0DD044" w14:textId="77777777" w:rsidR="00511C28" w:rsidRPr="00511C28" w:rsidRDefault="00511C28" w:rsidP="0089321E">
      <w:pPr>
        <w:pStyle w:val="TAMainText"/>
        <w:jc w:val="center"/>
      </w:pPr>
      <w:r w:rsidRPr="00511C28">
        <w:rPr>
          <w:noProof/>
        </w:rPr>
        <w:lastRenderedPageBreak/>
        <w:drawing>
          <wp:inline distT="0" distB="0" distL="0" distR="0" wp14:anchorId="402D0F42" wp14:editId="5D0122D5">
            <wp:extent cx="3928262" cy="3812392"/>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40830" cy="3824590"/>
                    </a:xfrm>
                    <a:prstGeom prst="rect">
                      <a:avLst/>
                    </a:prstGeom>
                  </pic:spPr>
                </pic:pic>
              </a:graphicData>
            </a:graphic>
          </wp:inline>
        </w:drawing>
      </w:r>
    </w:p>
    <w:p w14:paraId="0D3C857E" w14:textId="7BC5B40F" w:rsidR="00511C28" w:rsidRPr="00511C28" w:rsidRDefault="00511C28" w:rsidP="0007701C">
      <w:pPr>
        <w:pStyle w:val="VAFigureCaption"/>
      </w:pPr>
      <w:r w:rsidRPr="0089321E">
        <w:rPr>
          <w:b/>
          <w:bCs/>
        </w:rPr>
        <w:t>Figure S</w:t>
      </w:r>
      <w:r w:rsidR="008E073D">
        <w:rPr>
          <w:rFonts w:hint="eastAsia"/>
          <w:b/>
          <w:bCs/>
          <w:lang w:eastAsia="zh-CN"/>
        </w:rPr>
        <w:t>2</w:t>
      </w:r>
      <w:r w:rsidRPr="0089321E">
        <w:rPr>
          <w:b/>
          <w:bCs/>
        </w:rPr>
        <w:t xml:space="preserve">. </w:t>
      </w:r>
      <w:r w:rsidRPr="00511C28">
        <w:t xml:space="preserve">COMSOL simulation of the temperature distribution in the droplet at a) 58 °C and b) 95 °C. </w:t>
      </w:r>
    </w:p>
    <w:p w14:paraId="65D9E845" w14:textId="77777777" w:rsidR="00511C28" w:rsidRPr="00511C28" w:rsidRDefault="00511C28" w:rsidP="0089321E">
      <w:pPr>
        <w:pStyle w:val="TAMainText"/>
        <w:jc w:val="center"/>
      </w:pPr>
      <w:r w:rsidRPr="00511C28">
        <w:rPr>
          <w:noProof/>
        </w:rPr>
        <w:drawing>
          <wp:inline distT="0" distB="0" distL="0" distR="0" wp14:anchorId="293E8721" wp14:editId="4E1B9F2E">
            <wp:extent cx="3877056" cy="2601820"/>
            <wp:effectExtent l="0" t="0" r="952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Lst>
                    </a:blip>
                    <a:stretch>
                      <a:fillRect/>
                    </a:stretch>
                  </pic:blipFill>
                  <pic:spPr>
                    <a:xfrm>
                      <a:off x="0" y="0"/>
                      <a:ext cx="3904792" cy="2620433"/>
                    </a:xfrm>
                    <a:prstGeom prst="rect">
                      <a:avLst/>
                    </a:prstGeom>
                  </pic:spPr>
                </pic:pic>
              </a:graphicData>
            </a:graphic>
          </wp:inline>
        </w:drawing>
      </w:r>
    </w:p>
    <w:p w14:paraId="73B0936D" w14:textId="41481662" w:rsidR="00511C28" w:rsidRPr="008E073D" w:rsidRDefault="00511C28" w:rsidP="0089321E">
      <w:pPr>
        <w:pStyle w:val="VAFigureCaption"/>
        <w:rPr>
          <w:b/>
          <w:bCs/>
          <w:lang w:eastAsia="zh-CN"/>
        </w:rPr>
      </w:pPr>
      <w:r w:rsidRPr="0089321E">
        <w:rPr>
          <w:b/>
          <w:bCs/>
        </w:rPr>
        <w:t>Figure S</w:t>
      </w:r>
      <w:r w:rsidR="008E073D">
        <w:rPr>
          <w:rFonts w:hint="eastAsia"/>
          <w:b/>
          <w:bCs/>
          <w:lang w:eastAsia="zh-CN"/>
        </w:rPr>
        <w:t>3</w:t>
      </w:r>
      <w:r w:rsidRPr="0089321E">
        <w:rPr>
          <w:b/>
          <w:bCs/>
        </w:rPr>
        <w:t xml:space="preserve">. </w:t>
      </w:r>
      <w:r w:rsidRPr="00511C28">
        <w:t xml:space="preserve">COMSOL simulation of the temperature gradient magnitude in the droplet at a) heating from 58 °C and b) cooling from 95 °C. </w:t>
      </w:r>
    </w:p>
    <w:p w14:paraId="5814C02C" w14:textId="2B29672A" w:rsidR="00511C28" w:rsidRPr="00511C28" w:rsidRDefault="000576D1" w:rsidP="0089321E">
      <w:pPr>
        <w:pStyle w:val="TAMainText"/>
        <w:jc w:val="center"/>
      </w:pPr>
      <w:r>
        <w:rPr>
          <w:noProof/>
        </w:rPr>
        <w:lastRenderedPageBreak/>
        <w:drawing>
          <wp:inline distT="0" distB="0" distL="0" distR="0" wp14:anchorId="6E6775DF" wp14:editId="397A7FB5">
            <wp:extent cx="4591050" cy="377388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96546" cy="3778400"/>
                    </a:xfrm>
                    <a:prstGeom prst="rect">
                      <a:avLst/>
                    </a:prstGeom>
                  </pic:spPr>
                </pic:pic>
              </a:graphicData>
            </a:graphic>
          </wp:inline>
        </w:drawing>
      </w:r>
    </w:p>
    <w:p w14:paraId="0DD3BFEA" w14:textId="6FB5FB6D" w:rsidR="00511C28" w:rsidRPr="00511C28" w:rsidRDefault="00511C28" w:rsidP="000B0ADB">
      <w:pPr>
        <w:pStyle w:val="VAFigureCaption"/>
      </w:pPr>
      <w:r w:rsidRPr="0089321E">
        <w:rPr>
          <w:b/>
          <w:bCs/>
        </w:rPr>
        <w:t>Figure S</w:t>
      </w:r>
      <w:r w:rsidR="008E073D">
        <w:rPr>
          <w:rFonts w:hint="eastAsia"/>
          <w:b/>
          <w:bCs/>
          <w:lang w:eastAsia="zh-CN"/>
        </w:rPr>
        <w:t>4</w:t>
      </w:r>
      <w:r w:rsidRPr="0089321E">
        <w:rPr>
          <w:b/>
          <w:bCs/>
        </w:rPr>
        <w:t>.</w:t>
      </w:r>
      <w:r w:rsidRPr="00511C28">
        <w:t xml:space="preserve"> Fluorescence intensity versus cycles of HBV samples with different template concentration by commercial PCR equipment.</w:t>
      </w:r>
    </w:p>
    <w:sectPr w:rsidR="00511C28" w:rsidRPr="00511C28" w:rsidSect="000B5610">
      <w:footerReference w:type="even" r:id="rId14"/>
      <w:footerReference w:type="default" r:id="rId15"/>
      <w:type w:val="continuous"/>
      <w:pgSz w:w="12240" w:h="15840"/>
      <w:pgMar w:top="1440" w:right="1440" w:bottom="1440" w:left="1440" w:header="0" w:footer="0"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5C88B" w14:textId="77777777" w:rsidR="0044353F" w:rsidRDefault="0044353F">
      <w:r>
        <w:separator/>
      </w:r>
    </w:p>
  </w:endnote>
  <w:endnote w:type="continuationSeparator" w:id="0">
    <w:p w14:paraId="19C260B3" w14:textId="77777777" w:rsidR="0044353F" w:rsidRDefault="00443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panose1 w:val="02040503060506020304"/>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21483" w14:textId="77777777" w:rsidR="003B4AF3" w:rsidRDefault="003B4AF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15D9A61B" w14:textId="77777777" w:rsidR="003B4AF3" w:rsidRDefault="003B4AF3">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A4133" w14:textId="77777777" w:rsidR="003B4AF3" w:rsidRDefault="003B4AF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3A42F0">
      <w:rPr>
        <w:rStyle w:val="a8"/>
        <w:noProof/>
      </w:rPr>
      <w:t>1</w:t>
    </w:r>
    <w:r>
      <w:rPr>
        <w:rStyle w:val="a8"/>
      </w:rPr>
      <w:fldChar w:fldCharType="end"/>
    </w:r>
  </w:p>
  <w:p w14:paraId="75E40436" w14:textId="77777777" w:rsidR="003B4AF3" w:rsidRDefault="003B4AF3">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56D42" w14:textId="77777777" w:rsidR="0044353F" w:rsidRDefault="0044353F">
      <w:r>
        <w:separator/>
      </w:r>
    </w:p>
  </w:footnote>
  <w:footnote w:type="continuationSeparator" w:id="0">
    <w:p w14:paraId="13A1E0EB" w14:textId="77777777" w:rsidR="0044353F" w:rsidRDefault="00443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1288315643">
    <w:abstractNumId w:val="8"/>
  </w:num>
  <w:num w:numId="2" w16cid:durableId="834304593">
    <w:abstractNumId w:val="6"/>
  </w:num>
  <w:num w:numId="3" w16cid:durableId="56440191">
    <w:abstractNumId w:val="9"/>
  </w:num>
  <w:num w:numId="4" w16cid:durableId="778262865">
    <w:abstractNumId w:val="7"/>
  </w:num>
  <w:num w:numId="5" w16cid:durableId="1780904285">
    <w:abstractNumId w:val="5"/>
  </w:num>
  <w:num w:numId="6" w16cid:durableId="711425585">
    <w:abstractNumId w:val="4"/>
  </w:num>
  <w:num w:numId="7" w16cid:durableId="1574970321">
    <w:abstractNumId w:val="3"/>
  </w:num>
  <w:num w:numId="8" w16cid:durableId="1351955396">
    <w:abstractNumId w:val="1"/>
  </w:num>
  <w:num w:numId="9" w16cid:durableId="1289164991">
    <w:abstractNumId w:val="0"/>
  </w:num>
  <w:num w:numId="10" w16cid:durableId="3738485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yNjQyMjQ2NTa3MDJX0lEKTi0uzszPAykwrQUAUXtObCwAAAA="/>
  </w:docVars>
  <w:rsids>
    <w:rsidRoot w:val="009D386D"/>
    <w:rsid w:val="000002F2"/>
    <w:rsid w:val="00007221"/>
    <w:rsid w:val="00025C3C"/>
    <w:rsid w:val="0005660F"/>
    <w:rsid w:val="000576D1"/>
    <w:rsid w:val="00061D8E"/>
    <w:rsid w:val="000702AD"/>
    <w:rsid w:val="0007701C"/>
    <w:rsid w:val="000B0ADB"/>
    <w:rsid w:val="000B2EEB"/>
    <w:rsid w:val="000B5610"/>
    <w:rsid w:val="000C05CC"/>
    <w:rsid w:val="000C105F"/>
    <w:rsid w:val="000D016E"/>
    <w:rsid w:val="000E0A53"/>
    <w:rsid w:val="00195ACA"/>
    <w:rsid w:val="001A7A90"/>
    <w:rsid w:val="001D7F20"/>
    <w:rsid w:val="002125B3"/>
    <w:rsid w:val="00212B1D"/>
    <w:rsid w:val="00271A02"/>
    <w:rsid w:val="002808F0"/>
    <w:rsid w:val="00292027"/>
    <w:rsid w:val="002A7493"/>
    <w:rsid w:val="002C3431"/>
    <w:rsid w:val="00305343"/>
    <w:rsid w:val="0031373B"/>
    <w:rsid w:val="00315E91"/>
    <w:rsid w:val="00324128"/>
    <w:rsid w:val="0035757B"/>
    <w:rsid w:val="00361E35"/>
    <w:rsid w:val="003664E9"/>
    <w:rsid w:val="00366DD8"/>
    <w:rsid w:val="003679A1"/>
    <w:rsid w:val="003A42F0"/>
    <w:rsid w:val="003B4AF3"/>
    <w:rsid w:val="003E1F76"/>
    <w:rsid w:val="0041324A"/>
    <w:rsid w:val="0044353F"/>
    <w:rsid w:val="00475FD2"/>
    <w:rsid w:val="00477DCF"/>
    <w:rsid w:val="00497674"/>
    <w:rsid w:val="004C6819"/>
    <w:rsid w:val="004E283C"/>
    <w:rsid w:val="004E7185"/>
    <w:rsid w:val="004E7580"/>
    <w:rsid w:val="00511C28"/>
    <w:rsid w:val="005553EF"/>
    <w:rsid w:val="00567E81"/>
    <w:rsid w:val="00591A57"/>
    <w:rsid w:val="0059749E"/>
    <w:rsid w:val="005B169C"/>
    <w:rsid w:val="005D0C10"/>
    <w:rsid w:val="005E2920"/>
    <w:rsid w:val="006455A5"/>
    <w:rsid w:val="00683131"/>
    <w:rsid w:val="0068320C"/>
    <w:rsid w:val="006A3E34"/>
    <w:rsid w:val="006B2581"/>
    <w:rsid w:val="006E7B90"/>
    <w:rsid w:val="007000D9"/>
    <w:rsid w:val="00747701"/>
    <w:rsid w:val="007629D3"/>
    <w:rsid w:val="00794616"/>
    <w:rsid w:val="007A11AD"/>
    <w:rsid w:val="007A6A88"/>
    <w:rsid w:val="007B50BC"/>
    <w:rsid w:val="008047DE"/>
    <w:rsid w:val="008633FA"/>
    <w:rsid w:val="008655C0"/>
    <w:rsid w:val="0089321E"/>
    <w:rsid w:val="00897C41"/>
    <w:rsid w:val="008C3B46"/>
    <w:rsid w:val="008C740F"/>
    <w:rsid w:val="008D30F9"/>
    <w:rsid w:val="008D4AD6"/>
    <w:rsid w:val="008D53B2"/>
    <w:rsid w:val="008E073D"/>
    <w:rsid w:val="00912169"/>
    <w:rsid w:val="0092037A"/>
    <w:rsid w:val="009246AD"/>
    <w:rsid w:val="009B7812"/>
    <w:rsid w:val="009D386D"/>
    <w:rsid w:val="009E2AB6"/>
    <w:rsid w:val="009F2E7E"/>
    <w:rsid w:val="00A02D62"/>
    <w:rsid w:val="00A14EC6"/>
    <w:rsid w:val="00A20EB5"/>
    <w:rsid w:val="00A56770"/>
    <w:rsid w:val="00A764EF"/>
    <w:rsid w:val="00AB34C5"/>
    <w:rsid w:val="00AD6CB4"/>
    <w:rsid w:val="00AF4F6D"/>
    <w:rsid w:val="00AF7F6A"/>
    <w:rsid w:val="00B05A88"/>
    <w:rsid w:val="00B22EDF"/>
    <w:rsid w:val="00B44641"/>
    <w:rsid w:val="00B53F99"/>
    <w:rsid w:val="00B7618D"/>
    <w:rsid w:val="00BD2C44"/>
    <w:rsid w:val="00C10EE0"/>
    <w:rsid w:val="00C12556"/>
    <w:rsid w:val="00C6170A"/>
    <w:rsid w:val="00C656E2"/>
    <w:rsid w:val="00CD7D10"/>
    <w:rsid w:val="00D318E5"/>
    <w:rsid w:val="00D32E24"/>
    <w:rsid w:val="00D53140"/>
    <w:rsid w:val="00DA1DD7"/>
    <w:rsid w:val="00DA7D78"/>
    <w:rsid w:val="00DD6DBB"/>
    <w:rsid w:val="00E02588"/>
    <w:rsid w:val="00E074F2"/>
    <w:rsid w:val="00E36EAA"/>
    <w:rsid w:val="00E64AF1"/>
    <w:rsid w:val="00E91482"/>
    <w:rsid w:val="00E96302"/>
    <w:rsid w:val="00EC0647"/>
    <w:rsid w:val="00EE7DD5"/>
    <w:rsid w:val="00F134F5"/>
    <w:rsid w:val="00F24AFC"/>
    <w:rsid w:val="00F47B85"/>
    <w:rsid w:val="00F53F73"/>
    <w:rsid w:val="00F54BDD"/>
    <w:rsid w:val="00F5645C"/>
    <w:rsid w:val="00FC340C"/>
    <w:rsid w:val="00FD48D9"/>
    <w:rsid w:val="00FE6219"/>
    <w:rsid w:val="00FF0418"/>
    <w:rsid w:val="00FF2A59"/>
    <w:rsid w:val="00FF2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F73ED4F"/>
  <w15:docId w15:val="{A4B9D3E9-141E-41C5-BEF1-F348F47D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after="200"/>
      <w:jc w:val="both"/>
    </w:pPr>
    <w:rPr>
      <w:rFonts w:ascii="Times" w:hAnsi="Time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pPr>
      <w:spacing w:line="480" w:lineRule="auto"/>
      <w:ind w:firstLine="187"/>
    </w:pPr>
  </w:style>
  <w:style w:type="paragraph" w:customStyle="1" w:styleId="TAMainText">
    <w:name w:val="TA_Main_Text"/>
    <w:basedOn w:val="a"/>
    <w:pPr>
      <w:spacing w:after="0" w:line="480" w:lineRule="auto"/>
      <w:ind w:firstLine="202"/>
    </w:pPr>
  </w:style>
  <w:style w:type="paragraph" w:customStyle="1" w:styleId="BATitle">
    <w:name w:val="BA_Title"/>
    <w:basedOn w:val="a"/>
    <w:next w:val="BBAuthorName"/>
    <w:pPr>
      <w:spacing w:before="720" w:after="360" w:line="480" w:lineRule="auto"/>
      <w:jc w:val="center"/>
    </w:pPr>
    <w:rPr>
      <w:rFonts w:ascii="Times New Roman" w:hAnsi="Times New Roman"/>
      <w:sz w:val="44"/>
    </w:rPr>
  </w:style>
  <w:style w:type="paragraph" w:customStyle="1" w:styleId="BBAuthorName">
    <w:name w:val="BB_Author_Name"/>
    <w:basedOn w:val="a"/>
    <w:next w:val="BCAuthorAddress"/>
    <w:pPr>
      <w:spacing w:after="240" w:line="480" w:lineRule="auto"/>
      <w:jc w:val="center"/>
    </w:pPr>
    <w:rPr>
      <w:i/>
    </w:rPr>
  </w:style>
  <w:style w:type="paragraph" w:customStyle="1" w:styleId="BCAuthorAddress">
    <w:name w:val="BC_Author_Address"/>
    <w:basedOn w:val="a"/>
    <w:next w:val="BIEmailAddress"/>
    <w:pPr>
      <w:spacing w:after="240" w:line="480" w:lineRule="auto"/>
      <w:jc w:val="center"/>
    </w:pPr>
  </w:style>
  <w:style w:type="paragraph" w:customStyle="1" w:styleId="BIEmailAddress">
    <w:name w:val="BI_Email_Address"/>
    <w:basedOn w:val="a"/>
    <w:next w:val="AIReceivedDate"/>
    <w:pPr>
      <w:spacing w:line="480" w:lineRule="auto"/>
    </w:pPr>
  </w:style>
  <w:style w:type="paragraph" w:customStyle="1" w:styleId="AIReceivedDate">
    <w:name w:val="AI_Received_Date"/>
    <w:basedOn w:val="a"/>
    <w:next w:val="BDAbstract"/>
    <w:pPr>
      <w:spacing w:after="240" w:line="480" w:lineRule="auto"/>
    </w:pPr>
    <w:rPr>
      <w:b/>
    </w:rPr>
  </w:style>
  <w:style w:type="paragraph" w:customStyle="1" w:styleId="BDAbstract">
    <w:name w:val="BD_Abstract"/>
    <w:basedOn w:val="a"/>
    <w:next w:val="TAMainText"/>
    <w:pPr>
      <w:spacing w:before="360" w:after="360" w:line="480" w:lineRule="auto"/>
    </w:pPr>
  </w:style>
  <w:style w:type="paragraph" w:customStyle="1" w:styleId="TDAcknowledgments">
    <w:name w:val="TD_Acknowledgments"/>
    <w:basedOn w:val="a"/>
    <w:next w:val="a"/>
    <w:pPr>
      <w:spacing w:before="200" w:line="480" w:lineRule="auto"/>
      <w:ind w:firstLine="202"/>
    </w:pPr>
  </w:style>
  <w:style w:type="paragraph" w:customStyle="1" w:styleId="TESupportingInformation">
    <w:name w:val="TE_Supporting_Information"/>
    <w:basedOn w:val="a"/>
    <w:next w:val="a"/>
    <w:pPr>
      <w:spacing w:line="480" w:lineRule="auto"/>
      <w:ind w:firstLine="187"/>
    </w:pPr>
  </w:style>
  <w:style w:type="paragraph" w:customStyle="1" w:styleId="VCSchemeTitle">
    <w:name w:val="VC_Scheme_Title"/>
    <w:basedOn w:val="a"/>
    <w:next w:val="a"/>
    <w:pPr>
      <w:spacing w:line="480" w:lineRule="auto"/>
    </w:pPr>
  </w:style>
  <w:style w:type="paragraph" w:customStyle="1" w:styleId="VDTableTitle">
    <w:name w:val="VD_Table_Title"/>
    <w:basedOn w:val="a"/>
    <w:next w:val="a"/>
    <w:pPr>
      <w:spacing w:line="480" w:lineRule="auto"/>
    </w:pPr>
  </w:style>
  <w:style w:type="paragraph" w:customStyle="1" w:styleId="VAFigureCaption">
    <w:name w:val="VA_Figure_Caption"/>
    <w:basedOn w:val="a"/>
    <w:next w:val="a"/>
    <w:pPr>
      <w:spacing w:line="480" w:lineRule="auto"/>
    </w:pPr>
  </w:style>
  <w:style w:type="paragraph" w:customStyle="1" w:styleId="VBChartTitle">
    <w:name w:val="VB_Chart_Title"/>
    <w:basedOn w:val="a"/>
    <w:next w:val="a"/>
    <w:pPr>
      <w:spacing w:line="480" w:lineRule="auto"/>
    </w:pPr>
  </w:style>
  <w:style w:type="paragraph" w:customStyle="1" w:styleId="FETableFootnote">
    <w:name w:val="FE_Table_Footnote"/>
    <w:basedOn w:val="a"/>
    <w:next w:val="a"/>
    <w:pPr>
      <w:ind w:firstLine="187"/>
    </w:pPr>
  </w:style>
  <w:style w:type="paragraph" w:customStyle="1" w:styleId="FCChartFootnote">
    <w:name w:val="FC_Chart_Footnote"/>
    <w:basedOn w:val="a"/>
    <w:next w:val="a"/>
    <w:pPr>
      <w:ind w:firstLine="187"/>
    </w:pPr>
  </w:style>
  <w:style w:type="paragraph" w:customStyle="1" w:styleId="FDSchemeFootnote">
    <w:name w:val="FD_Scheme_Footnote"/>
    <w:basedOn w:val="a"/>
    <w:next w:val="a"/>
    <w:pPr>
      <w:ind w:firstLine="187"/>
    </w:pPr>
  </w:style>
  <w:style w:type="paragraph" w:customStyle="1" w:styleId="TCTableBody">
    <w:name w:val="TC_Table_Body"/>
    <w:basedOn w:val="a"/>
  </w:style>
  <w:style w:type="paragraph" w:customStyle="1" w:styleId="AFTitleRunningHead">
    <w:name w:val="AF_Title_Running_Head"/>
    <w:basedOn w:val="a"/>
    <w:next w:val="TAMainText"/>
    <w:pPr>
      <w:spacing w:line="480" w:lineRule="auto"/>
    </w:pPr>
  </w:style>
  <w:style w:type="paragraph" w:customStyle="1" w:styleId="BEAuthorBiography">
    <w:name w:val="BE_Author_Biography"/>
    <w:basedOn w:val="a"/>
    <w:pPr>
      <w:spacing w:line="480" w:lineRule="auto"/>
    </w:pPr>
  </w:style>
  <w:style w:type="paragraph" w:customStyle="1" w:styleId="FACorrespondingAuthorFootnote">
    <w:name w:val="FA_Corresponding_Author_Footnote"/>
    <w:basedOn w:val="a"/>
    <w:next w:val="TAMainText"/>
    <w:pPr>
      <w:spacing w:line="480" w:lineRule="auto"/>
    </w:pPr>
  </w:style>
  <w:style w:type="paragraph" w:customStyle="1" w:styleId="SNSynopsisTOC">
    <w:name w:val="SN_Synopsis_TOC"/>
    <w:basedOn w:val="a"/>
    <w:pPr>
      <w:spacing w:line="480" w:lineRule="auto"/>
    </w:p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pPr>
      <w:spacing w:line="480" w:lineRule="auto"/>
    </w:pPr>
  </w:style>
  <w:style w:type="paragraph" w:customStyle="1" w:styleId="BHBriefs">
    <w:name w:val="BH_Briefs"/>
    <w:basedOn w:val="a"/>
    <w:pPr>
      <w:spacing w:line="480" w:lineRule="auto"/>
    </w:p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paragraph" w:customStyle="1" w:styleId="StyleFACorrespondingAuthorFootnote7pt">
    <w:name w:val="Style FA_Corresponding_Author_Footnote + 7 pt"/>
    <w:basedOn w:val="a"/>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a"/>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paragraph" w:styleId="aa">
    <w:name w:val="header"/>
    <w:basedOn w:val="a"/>
    <w:link w:val="ab"/>
    <w:unhideWhenUsed/>
    <w:rsid w:val="007A6A88"/>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rsid w:val="007A6A88"/>
    <w:rPr>
      <w:rFonts w:ascii="Times" w:hAnsi="Times"/>
      <w:sz w:val="18"/>
      <w:szCs w:val="18"/>
    </w:rPr>
  </w:style>
  <w:style w:type="table" w:styleId="2">
    <w:name w:val="Plain Table 2"/>
    <w:basedOn w:val="a1"/>
    <w:uiPriority w:val="42"/>
    <w:rsid w:val="00511C28"/>
    <w:rPr>
      <w:rFonts w:asciiTheme="minorHAnsi" w:hAnsiTheme="minorHAnsi" w:cstheme="minorBidi"/>
      <w:kern w:val="2"/>
      <w:sz w:val="21"/>
      <w:szCs w:val="22"/>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ddresses">
    <w:name w:val="Addresses"/>
    <w:basedOn w:val="a"/>
    <w:rsid w:val="000C105F"/>
    <w:pPr>
      <w:spacing w:after="0"/>
      <w:jc w:val="left"/>
    </w:pPr>
    <w:rPr>
      <w:rFonts w:ascii="Times New Roman" w:eastAsia="MS Mincho" w:hAnsi="Times New Roman"/>
      <w:szCs w:val="24"/>
      <w:lang w:eastAsia="ja-JP"/>
    </w:rPr>
  </w:style>
  <w:style w:type="character" w:styleId="ac">
    <w:name w:val="annotation reference"/>
    <w:basedOn w:val="a0"/>
    <w:semiHidden/>
    <w:unhideWhenUsed/>
    <w:rsid w:val="005B169C"/>
    <w:rPr>
      <w:sz w:val="21"/>
      <w:szCs w:val="21"/>
    </w:rPr>
  </w:style>
  <w:style w:type="paragraph" w:styleId="ad">
    <w:name w:val="annotation text"/>
    <w:basedOn w:val="a"/>
    <w:link w:val="ae"/>
    <w:unhideWhenUsed/>
    <w:rsid w:val="005B169C"/>
    <w:pPr>
      <w:jc w:val="left"/>
    </w:pPr>
  </w:style>
  <w:style w:type="character" w:customStyle="1" w:styleId="ae">
    <w:name w:val="批注文字 字符"/>
    <w:basedOn w:val="a0"/>
    <w:link w:val="ad"/>
    <w:rsid w:val="005B169C"/>
    <w:rPr>
      <w:rFonts w:ascii="Times" w:hAnsi="Times"/>
      <w:sz w:val="24"/>
    </w:rPr>
  </w:style>
  <w:style w:type="paragraph" w:styleId="af">
    <w:name w:val="annotation subject"/>
    <w:basedOn w:val="ad"/>
    <w:next w:val="ad"/>
    <w:link w:val="af0"/>
    <w:semiHidden/>
    <w:unhideWhenUsed/>
    <w:rsid w:val="005B169C"/>
    <w:rPr>
      <w:b/>
      <w:bCs/>
    </w:rPr>
  </w:style>
  <w:style w:type="character" w:customStyle="1" w:styleId="af0">
    <w:name w:val="批注主题 字符"/>
    <w:basedOn w:val="ae"/>
    <w:link w:val="af"/>
    <w:semiHidden/>
    <w:rsid w:val="005B169C"/>
    <w:rPr>
      <w:rFonts w:ascii="Times" w:hAnsi="Times"/>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engx@sustech.edu.cn"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60MoveData\Users\liuho\Desktop\ACS%20Nano\Formated%20ACS-Ultrafast%20polymerase%20chain%20reaction%20on%20MEMS%20microhea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B6FC5AE-38E7-4C20-9435-346CC12DC9E1}">
  <we:reference id="wa104382081" version="1.55.1.0" store="zh-TW" storeType="OMEX"/>
  <we:alternateReferences>
    <we:reference id="WA104382081" version="1.55.1.0" store="" storeType="OMEX"/>
  </we:alternateReferences>
  <we:properties>
    <we:property name="MENDELEY_CITATIONS" value="[]"/>
    <we:property name="MENDELEY_CITATIONS_LOCALE_CODE" value="&quot;en-US&quot;"/>
    <we:property name="MENDELEY_CITATIONS_STYLE" value="{&quot;id&quot;:&quot;https://www.zotero.org/styles/oxford-university-press-scimed-numeric&quot;,&quot;title&quot;:&quot;Oxford University Press SciMed (numeric)&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A9A6B-8D78-49AA-BAC9-EF1C1BDDF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Formated ACS-Ultrafast polymerase chain reaction on MEMS microheater.dotx</Template>
  <TotalTime>172</TotalTime>
  <Pages>5</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2111</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LIU HONGJUN</dc:creator>
  <cp:keywords/>
  <cp:lastModifiedBy>Liu, Yu</cp:lastModifiedBy>
  <cp:revision>46</cp:revision>
  <cp:lastPrinted>2008-06-11T21:33:00Z</cp:lastPrinted>
  <dcterms:created xsi:type="dcterms:W3CDTF">2023-09-15T01:51:00Z</dcterms:created>
  <dcterms:modified xsi:type="dcterms:W3CDTF">2024-07-18T04:27:00Z</dcterms:modified>
</cp:coreProperties>
</file>