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spacing w:line="240" w:lineRule="auto"/>
        <w:jc w:val="center"/>
        <w:rPr>
          <w:rFonts w:hint="default" w:ascii="Times New Roman" w:hAnsi="Times New Roman" w:cs="Times New Roman"/>
        </w:rPr>
      </w:pPr>
      <w:r>
        <w:rPr>
          <w:rFonts w:hint="default" w:ascii="Times New Roman" w:hAnsi="Times New Roman" w:cs="Times New Roman"/>
        </w:rPr>
        <w:t xml:space="preserve"> The first round of expert letter inquiry questionnaire</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 Dear experts: Hello!</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 In view of your knowledge, we sincerely invite you to participate in this Delphi Law (Delphi) expert questionnaire survey! Thank you very much for taking time out of your busy schedule to fill out this questionnaire.</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lang w:val="en-US" w:eastAsia="zh-CN"/>
        </w:rPr>
        <w:t xml:space="preserve"> This study aims to establish a training system for disinfection supply center (CSSD) to provide a scientific basis for further enhancing and improving the core competencies of specialist nurses in CSSD.</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 After consulting the relevant data and literature of CSSD nurses at home and abroad, the paper then summarized, summarized and discussed the index system of CSSD nurses, and we formed the index system scheme of this survey. The purpose of this expert survey is to determine the training and index system of disinfection supply specialist nurses by collecting the opinions of experts in disinfection supply, nursing management, hospital management, nosocomial infection and related fields. It is expected to conduct 2-3 rounds of letter survey. Your opinion is very important for this study! Please fill in the answer according to the requirements. The answer is correct or not, as long as it is your true opinion.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 The questionnaire is divided into three parts, the first part is the basic information of experts; the second part is the questionnaire for the index system, including: (1) the construction of index system for training process of specialized nurses in disinfection supply center; (2) the construction of the index system for training of specialized nurses in disinfection supply center, scoring the index system from both importance and feasibility; the third part is expert analysis, aiming to analyze the understanding and judgment of experts.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Due to the limited study time, I sincerely hope that you can fill out the questionnaire as soon as possible. Thank you again for participating in this study! We sincerely look forward to your comments and suggestions on this study.</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 RGDS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salute!</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eastAsiaTheme="minorEastAsia"/>
          <w:sz w:val="24"/>
          <w:szCs w:val="32"/>
          <w:lang w:val="en-US" w:eastAsia="zh-CN"/>
        </w:rPr>
      </w:pPr>
      <w:r>
        <w:rPr>
          <w:rFonts w:hint="default" w:ascii="Times New Roman" w:hAnsi="Times New Roman" w:cs="Times New Roman"/>
          <w:sz w:val="24"/>
          <w:szCs w:val="32"/>
          <w:lang w:val="en-US" w:eastAsia="zh-CN"/>
        </w:rPr>
        <w:t>Huaxi slurry Washing and Disinfection Supply Center of Sichuan University</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Research group on specialized nurse training system in disinfection supply Center</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In April, 2024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sz w:val="24"/>
          <w:szCs w:val="32"/>
        </w:rPr>
      </w:pPr>
    </w:p>
    <w:p>
      <w:pPr>
        <w:pStyle w:val="3"/>
        <w:numPr>
          <w:ilvl w:val="0"/>
          <w:numId w:val="0"/>
        </w:numPr>
        <w:bidi w:val="0"/>
        <w:jc w:val="center"/>
        <w:rPr>
          <w:rFonts w:hint="default" w:ascii="Times New Roman" w:hAnsi="Times New Roman" w:cs="Times New Roman"/>
          <w:sz w:val="28"/>
          <w:szCs w:val="22"/>
        </w:rPr>
      </w:pPr>
      <w:r>
        <w:rPr>
          <w:rFonts w:hint="default" w:ascii="Times New Roman" w:hAnsi="Times New Roman" w:cs="Times New Roman"/>
          <w:sz w:val="28"/>
          <w:szCs w:val="22"/>
        </w:rPr>
        <w:t>The first part of the expert basic information questionnaire</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eastAsiaTheme="minorEastAsia"/>
          <w:sz w:val="24"/>
          <w:szCs w:val="32"/>
          <w:u w:val="single"/>
          <w:lang w:val="en-US" w:eastAsia="zh-CN"/>
        </w:rPr>
      </w:pPr>
      <w:r>
        <w:rPr>
          <w:rFonts w:hint="default" w:ascii="Times New Roman" w:hAnsi="Times New Roman" w:cs="Times New Roman"/>
          <w:sz w:val="24"/>
          <w:szCs w:val="32"/>
        </w:rPr>
        <w:t>Your name:</w:t>
      </w:r>
      <w:r>
        <w:rPr>
          <w:rFonts w:hint="default" w:ascii="Times New Roman" w:hAnsi="Times New Roman" w:cs="Times New Roman"/>
          <w:sz w:val="24"/>
          <w:szCs w:val="32"/>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eastAsiaTheme="minorEastAsia"/>
          <w:sz w:val="24"/>
          <w:szCs w:val="32"/>
          <w:u w:val="single"/>
          <w:lang w:val="en-US" w:eastAsia="zh-CN"/>
        </w:rPr>
      </w:pPr>
      <w:r>
        <w:rPr>
          <w:rFonts w:hint="default" w:ascii="Times New Roman" w:hAnsi="Times New Roman" w:cs="Times New Roman"/>
          <w:sz w:val="24"/>
          <w:szCs w:val="32"/>
        </w:rPr>
        <w:t>age:</w:t>
      </w:r>
      <w:r>
        <w:rPr>
          <w:rFonts w:hint="default" w:ascii="Times New Roman" w:hAnsi="Times New Roman" w:cs="Times New Roman"/>
          <w:sz w:val="24"/>
          <w:szCs w:val="32"/>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u w:val="none"/>
          <w:lang w:val="en-US" w:eastAsia="zh-CN"/>
        </w:rPr>
        <w:t>sex:</w:t>
      </w:r>
      <w:r>
        <w:rPr>
          <w:rFonts w:hint="default" w:ascii="Times New Roman" w:hAnsi="Times New Roman" w:cs="Times New Roman"/>
          <w:sz w:val="24"/>
          <w:szCs w:val="32"/>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rPr>
        <w:t>work unit:</w:t>
      </w:r>
      <w:r>
        <w:rPr>
          <w:rFonts w:hint="default" w:ascii="Times New Roman" w:hAnsi="Times New Roman" w:cs="Times New Roman"/>
          <w:sz w:val="24"/>
          <w:szCs w:val="32"/>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rPr>
        <w:t>post:</w:t>
      </w:r>
      <w:r>
        <w:rPr>
          <w:rFonts w:hint="default" w:ascii="Times New Roman" w:hAnsi="Times New Roman" w:cs="Times New Roman"/>
          <w:sz w:val="24"/>
          <w:szCs w:val="32"/>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sz w:val="24"/>
          <w:szCs w:val="32"/>
        </w:rPr>
      </w:pPr>
      <w:r>
        <w:rPr>
          <w:rFonts w:hint="default" w:ascii="Times New Roman" w:hAnsi="Times New Roman" w:cs="Times New Roman"/>
          <w:sz w:val="24"/>
          <w:szCs w:val="32"/>
        </w:rPr>
        <w:t>Your professional title: () A.elementary B.middle rank C. Secondary height D.orthometric height</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sz w:val="24"/>
          <w:szCs w:val="32"/>
        </w:rPr>
      </w:pPr>
      <w:r>
        <w:rPr>
          <w:rFonts w:hint="default" w:ascii="Times New Roman" w:hAnsi="Times New Roman" w:cs="Times New Roman"/>
          <w:sz w:val="24"/>
          <w:szCs w:val="32"/>
        </w:rPr>
        <w:t>Your educational level: () A.junior college B.undergraduate course C. Master D.doctor</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420" w:leftChars="0" w:hanging="420" w:firstLineChars="0"/>
        <w:jc w:val="both"/>
        <w:textAlignment w:val="auto"/>
        <w:rPr>
          <w:rFonts w:hint="default" w:ascii="Times New Roman" w:hAnsi="Times New Roman" w:cs="Times New Roman"/>
          <w:sz w:val="24"/>
          <w:szCs w:val="32"/>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sz w:val="24"/>
          <w:szCs w:val="32"/>
        </w:rPr>
        <w:t>At present, your main job is: () (multiple selection) (please indicate the working years after the checked work) A. Disinfection supply for ____ years B. Nursing management in ____ years C. Hospital management for ____ years D. Nursing education in _____ years E. Other (please note):</w:t>
      </w:r>
      <w:r>
        <w:rPr>
          <w:rFonts w:hint="default" w:ascii="Times New Roman" w:hAnsi="Times New Roman" w:cs="Times New Roman"/>
          <w:sz w:val="24"/>
          <w:szCs w:val="32"/>
          <w:u w:val="single"/>
          <w:lang w:val="en-US" w:eastAsia="zh-CN"/>
        </w:rPr>
        <w:t xml:space="preserve">            </w:t>
      </w:r>
    </w:p>
    <w:p>
      <w:pPr>
        <w:pStyle w:val="3"/>
        <w:numPr>
          <w:ilvl w:val="0"/>
          <w:numId w:val="0"/>
        </w:numPr>
        <w:bidi w:val="0"/>
        <w:ind w:leftChars="0"/>
        <w:jc w:val="center"/>
        <w:rPr>
          <w:rFonts w:hint="default" w:ascii="Times New Roman" w:hAnsi="Times New Roman" w:cs="Times New Roman"/>
          <w:sz w:val="28"/>
          <w:szCs w:val="22"/>
          <w:lang w:val="en-US" w:eastAsia="zh-CN"/>
        </w:rPr>
      </w:pPr>
      <w:bookmarkStart w:id="0" w:name="OLE_LINK1"/>
      <w:r>
        <w:rPr>
          <w:rFonts w:hint="default" w:ascii="Times New Roman" w:hAnsi="Times New Roman" w:cs="Times New Roman"/>
          <w:sz w:val="28"/>
          <w:szCs w:val="22"/>
          <w:lang w:val="en-US" w:eastAsia="zh-CN"/>
        </w:rPr>
        <w:t xml:space="preserve"> Part II: The construction of the training system for specialized nurses in the disinfection supply center</w:t>
      </w:r>
    </w:p>
    <w:bookmarkEnd w:id="0"/>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 The survey plans to score the importance and feasibility of the selected indicators to determine the appropriate degree of the selected indicators. Among them, the importance of the index refers to the importance of the index; the feasibility refers to the difficulty of implementing the training in the actual training process of specialized nurses.</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 Metrics can be added, deleted, or modified. Please fill in the indicators that you need to add in the "Recommended Add Item" column; if you think you need to delete an indicator or change the item, please fill in the "modification opinions" in the corresponding item and explain the reason.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b/>
          <w:bCs/>
          <w:sz w:val="24"/>
          <w:szCs w:val="32"/>
          <w:lang w:val="en-US" w:eastAsia="zh-CN"/>
        </w:rPr>
        <w:t>3 For the importance and feasibility of each index, the five-level scoring method is adopted (the value of the item importance is 1 to 5 points, 5 points means that the item is the most important, and 1 point is the least important. The feasibility score is 1 to 5,5 indicates that the entry is most operable and 1 is the most difficult to operate.</w:t>
      </w:r>
      <w:r>
        <w:rPr>
          <w:rFonts w:hint="default" w:ascii="Times New Roman" w:hAnsi="Times New Roman" w:cs="Times New Roman"/>
          <w:sz w:val="24"/>
          <w:szCs w:val="32"/>
          <w:lang w:val="en-US" w:eastAsia="zh-CN"/>
        </w:rPr>
        <w:t xml:space="preserve"> Type "" under the corresponding option.</w:t>
      </w:r>
    </w:p>
    <w:p>
      <w:pPr>
        <w:pStyle w:val="3"/>
        <w:numPr>
          <w:ilvl w:val="0"/>
          <w:numId w:val="0"/>
        </w:numPr>
        <w:bidi w:val="0"/>
        <w:ind w:leftChars="0"/>
        <w:jc w:val="center"/>
        <w:rPr>
          <w:rFonts w:hint="default" w:ascii="Times New Roman" w:hAnsi="Times New Roman" w:cs="Times New Roman"/>
          <w:sz w:val="28"/>
          <w:szCs w:val="22"/>
          <w:lang w:val="en-US" w:eastAsia="zh-CN"/>
        </w:rPr>
      </w:pPr>
      <w:r>
        <w:rPr>
          <w:rFonts w:hint="default" w:ascii="Times New Roman" w:hAnsi="Times New Roman" w:cs="Times New Roman"/>
          <w:sz w:val="28"/>
          <w:szCs w:val="22"/>
          <w:lang w:val="en-US" w:eastAsia="zh-CN"/>
        </w:rPr>
        <w:t>(1) Construction of the training process index system for specialized nurses in the disinfection supply center</w:t>
      </w:r>
    </w:p>
    <w:p>
      <w:pPr>
        <w:pStyle w:val="3"/>
        <w:numPr>
          <w:ilvl w:val="0"/>
          <w:numId w:val="0"/>
        </w:numPr>
        <w:bidi w:val="0"/>
        <w:ind w:leftChars="0"/>
        <w:jc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lang w:val="en-US" w:eastAsia="zh-CN"/>
        </w:rPr>
        <w:t>Table 1-1 Item 1 of training process index system for specialized nurses in disinfection supply Center</w:t>
      </w:r>
    </w:p>
    <w:tbl>
      <w:tblPr>
        <w:tblStyle w:val="5"/>
        <w:tblW w:w="0" w:type="auto"/>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2"/>
        <w:gridCol w:w="1365"/>
        <w:gridCol w:w="1365"/>
        <w:gridCol w:w="1365"/>
        <w:gridCol w:w="1365"/>
        <w:gridCol w:w="1365"/>
        <w:gridCol w:w="4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bookmarkStart w:id="1" w:name="OLE_LINK2"/>
            <w:r>
              <w:rPr>
                <w:rFonts w:hint="default" w:ascii="Times New Roman" w:hAnsi="Times New Roman" w:cs="Times New Roman"/>
                <w:b/>
                <w:bCs/>
                <w:sz w:val="24"/>
                <w:szCs w:val="32"/>
                <w:vertAlign w:val="baseline"/>
                <w:lang w:val="en-US" w:eastAsia="zh-CN"/>
              </w:rPr>
              <w:t>First-level entry</w:t>
            </w:r>
          </w:p>
        </w:tc>
        <w:tc>
          <w:tcPr>
            <w:tcW w:w="6825"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importance</w:t>
            </w:r>
          </w:p>
        </w:tc>
        <w:tc>
          <w:tcPr>
            <w:tcW w:w="4330" w:type="dxa"/>
            <w:vMerge w:val="restart"/>
            <w:shd w:val="clear" w:color="auto" w:fill="D4F4F1" w:themeFill="accent5"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5</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4</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3</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2</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1</w:t>
            </w:r>
          </w:p>
        </w:tc>
        <w:tc>
          <w:tcPr>
            <w:tcW w:w="4330" w:type="dxa"/>
            <w:vMerge w:val="continue"/>
            <w:shd w:val="clear" w:color="auto" w:fill="D4F4F1" w:themeFill="accent5"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1. Access conditions</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33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Training objectives</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33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Train teachers</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33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Timely and long training methods</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33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 Assessment points</w:t>
            </w: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36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33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2"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Recommended additional items (other amendments)</w:t>
            </w:r>
          </w:p>
        </w:tc>
        <w:tc>
          <w:tcPr>
            <w:tcW w:w="1115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bookmarkEnd w:id="1"/>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Table 1-2 Secondary items of the training process index system for specialized nurses in disinfection supply centers</w:t>
      </w:r>
    </w:p>
    <w:tbl>
      <w:tblPr>
        <w:tblStyle w:val="5"/>
        <w:tblW w:w="0" w:type="auto"/>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2087"/>
        <w:gridCol w:w="804"/>
        <w:gridCol w:w="804"/>
        <w:gridCol w:w="804"/>
        <w:gridCol w:w="804"/>
        <w:gridCol w:w="804"/>
        <w:gridCol w:w="6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First-level entry</w:t>
            </w:r>
          </w:p>
        </w:tc>
        <w:tc>
          <w:tcPr>
            <w:tcW w:w="2087"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Secondary entry</w:t>
            </w:r>
          </w:p>
        </w:tc>
        <w:tc>
          <w:tcPr>
            <w:tcW w:w="4020"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importance</w:t>
            </w:r>
          </w:p>
        </w:tc>
        <w:tc>
          <w:tcPr>
            <w:tcW w:w="6800" w:type="dxa"/>
            <w:vMerge w:val="restart"/>
            <w:shd w:val="clear" w:color="auto" w:fill="D4F4F1" w:themeFill="accent5"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2087"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5</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4</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3</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2</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1</w:t>
            </w:r>
          </w:p>
        </w:tc>
        <w:tc>
          <w:tcPr>
            <w:tcW w:w="6800" w:type="dxa"/>
            <w:vMerge w:val="continue"/>
            <w:shd w:val="clear" w:color="auto" w:fill="D4F4F1" w:themeFill="accent5"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cs="Times New Roman"/>
                <w:sz w:val="24"/>
                <w:szCs w:val="24"/>
                <w:vertAlign w:val="baseline"/>
                <w:lang w:val="en-US" w:eastAsia="zh-CN"/>
              </w:rPr>
              <w:t>1. Access conditions</w:t>
            </w: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 Basic conditions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sz w:val="24"/>
                <w:szCs w:val="24"/>
                <w:vertAlign w:val="baseline"/>
                <w:lang w:val="en-US" w:eastAsia="zh-CN"/>
              </w:rPr>
            </w:pP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 Literacy conditions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7"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820"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Training objectives</w:t>
            </w: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 Literacy goals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 Knowledge objectives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 Skill objectives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67"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820"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Train teachers</w:t>
            </w: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 Basic conditions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Literacy conditions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7"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820"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Training method and time</w:t>
            </w: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Theoretical training methods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Practical training methods</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4.3 Training time</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7"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820"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 Assessment points</w:t>
            </w: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5.1 Training process assessment</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87"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5.2 Training completion assessment</w:t>
            </w: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0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800" w:type="dxa"/>
            <w:shd w:val="clear" w:color="auto" w:fill="D4F4F1" w:themeFill="accent5"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67"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sz w:val="24"/>
                <w:szCs w:val="32"/>
                <w:vertAlign w:val="baseline"/>
                <w:lang w:val="en-US" w:eastAsia="zh-CN"/>
              </w:rPr>
              <w:t>Recommended additional items (other amendments)</w:t>
            </w:r>
          </w:p>
        </w:tc>
        <w:tc>
          <w:tcPr>
            <w:tcW w:w="10820"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Table 1-3 Level III items of the training process index system for specialized nurses in the disinfection supply center</w:t>
      </w:r>
    </w:p>
    <w:tbl>
      <w:tblPr>
        <w:tblStyle w:val="5"/>
        <w:tblW w:w="14843" w:type="dxa"/>
        <w:tblInd w:w="-4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516"/>
        <w:gridCol w:w="4460"/>
        <w:gridCol w:w="1027"/>
        <w:gridCol w:w="1027"/>
        <w:gridCol w:w="1027"/>
        <w:gridCol w:w="1027"/>
        <w:gridCol w:w="1030"/>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First-level entry</w:t>
            </w:r>
          </w:p>
        </w:tc>
        <w:tc>
          <w:tcPr>
            <w:tcW w:w="1516"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Secondary entry</w:t>
            </w:r>
          </w:p>
        </w:tc>
        <w:tc>
          <w:tcPr>
            <w:tcW w:w="4460"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Level 3 entries</w:t>
            </w:r>
          </w:p>
        </w:tc>
        <w:tc>
          <w:tcPr>
            <w:tcW w:w="5138"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importance</w:t>
            </w:r>
          </w:p>
        </w:tc>
        <w:tc>
          <w:tcPr>
            <w:tcW w:w="2730"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460"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5</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4</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3</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2</w:t>
            </w: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1</w:t>
            </w:r>
          </w:p>
        </w:tc>
        <w:tc>
          <w:tcPr>
            <w:tcW w:w="2730"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 Access conditions</w:t>
            </w:r>
          </w:p>
        </w:tc>
        <w:tc>
          <w:tcPr>
            <w:tcW w:w="1516"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 Basic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bookmarkStart w:id="2" w:name="OLE_LINK5"/>
            <w:bookmarkEnd w:id="2"/>
            <w:r>
              <w:rPr>
                <w:rFonts w:hint="default" w:ascii="Times New Roman" w:hAnsi="Times New Roman" w:eastAsia="宋体" w:cs="Times New Roman"/>
                <w:i w:val="0"/>
                <w:iCs w:val="0"/>
                <w:color w:val="000000"/>
                <w:kern w:val="0"/>
                <w:sz w:val="24"/>
                <w:szCs w:val="24"/>
                <w:u w:val="none"/>
                <w:lang w:val="en-US" w:eastAsia="zh-CN" w:bidi="ar"/>
              </w:rPr>
              <w:t>1.1.1 College degree or above</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1.1.2 Have the nurse practice certificate, nurse title or above.</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1.1.3 Working in this major for more than 3 years</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1.1.4 My application and recommendation by the hospital.</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 Literacy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1.2.1 Good health, love and identify with the disinfection supply center work, and dedication.</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1.2.2 Observe the discipline and respect the teaching teachers.</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Training objectives</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 Literacy goals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2.1.1 Have the spirit of prudence and treat daily work with a rigorous attitude.</w:t>
            </w: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2.1.2 Keep a positive and optimistic attitude and conduct self-debugging to meet the team development.</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2.1.3 Pay attention to the professional development trends, and constantly improve yourself.</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2.1.4 Compliance with ethical and legal and regulatory requirements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 Knowledge objectives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2.2.1 Master the CSSD infection prevention and quality control</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2.2.2 Master the working principle of the CSSD equipment</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2.2.3 Master the performance and management requirements of reusable surgical instruments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 Skill objectives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bookmarkStart w:id="3" w:name="OLE_LINK6"/>
            <w:bookmarkEnd w:id="3"/>
            <w:r>
              <w:rPr>
                <w:rFonts w:hint="default" w:ascii="Times New Roman" w:hAnsi="Times New Roman" w:eastAsia="宋体" w:cs="Times New Roman"/>
                <w:i w:val="0"/>
                <w:iCs w:val="0"/>
                <w:color w:val="000000"/>
                <w:kern w:val="0"/>
                <w:sz w:val="24"/>
                <w:szCs w:val="24"/>
                <w:u w:val="none"/>
                <w:lang w:val="en-US" w:eastAsia="zh-CN" w:bidi="ar"/>
              </w:rPr>
              <w:t>2.3.1 Master the reprocessing process of specialized surgical instruments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2.3.2 Master the daily use and maintenance of the equipment and facilities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2.3.3 Master the principles and skills of multi-department communication</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2.3.4 Ability to carry out scientific research and teaching</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Train teachers</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bookmarkStart w:id="4" w:name="OLE_LINK7"/>
            <w:bookmarkEnd w:id="4"/>
            <w:r>
              <w:rPr>
                <w:rFonts w:hint="default" w:ascii="Times New Roman" w:hAnsi="Times New Roman" w:eastAsia="宋体" w:cs="Times New Roman"/>
                <w:i w:val="0"/>
                <w:iCs w:val="0"/>
                <w:color w:val="000000"/>
                <w:kern w:val="0"/>
                <w:sz w:val="24"/>
                <w:szCs w:val="24"/>
                <w:u w:val="none"/>
                <w:lang w:val="en-US" w:eastAsia="zh-CN" w:bidi="ar"/>
              </w:rPr>
              <w:t>3.1 Basic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bookmarkStart w:id="5" w:name="OLE_LINK8"/>
            <w:bookmarkEnd w:id="5"/>
            <w:r>
              <w:rPr>
                <w:rFonts w:hint="default" w:ascii="Times New Roman" w:hAnsi="Times New Roman" w:eastAsia="宋体" w:cs="Times New Roman"/>
                <w:i w:val="0"/>
                <w:iCs w:val="0"/>
                <w:color w:val="000000"/>
                <w:kern w:val="0"/>
                <w:sz w:val="24"/>
                <w:szCs w:val="24"/>
                <w:u w:val="none"/>
                <w:lang w:val="en-US" w:eastAsia="zh-CN" w:bidi="ar"/>
              </w:rPr>
              <w:t>3.1.1 Bachelor degree or above</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3.1.2 Title of associate senior or above</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3.1.3 Obtain relevant professional qualification certificates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3.1.4 Published more than 3 core journals or more than one SCI article in the past three years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3.1.5 The major is elimination / hospital awareness / management / teaching / scientific research / endoscopy.</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3.1.6 More than 10 years of relevant professional working experience</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3.1.7 More than 5 years of teaching experience.</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3.1.8 Working units are institutions directly under the province.</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Literacy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3.2.1 Love my major and love my teaching work.</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3.2.2 Past students have not put forward negative opinions against medical ethics and teacher quality.</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Timely and long training methods</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Theoretical training methods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4.1.1 Multimedia teaching</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4.1.2 Work visit</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4.1.3 Case analysis group discussion</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4.1.4 PBL teaching</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4.1.5 Flipped classroom</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Practical training methods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4.2.1 Clinical one-site teaching</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4.2.2 Clinical double tutorial system (professional supervisor + scientific research supervisor)</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w:t>
            </w: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4.2.3 Scenario simulation teaching</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bookmarkStart w:id="6" w:name="OLE_LINK4"/>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4.2.4 Operation instruction</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4.3 Training duration</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4.3.1 The theoretical training lasts one month and the total duration is 160 hours.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4.3.2 The practical training lasts for one month with a total of 160 hours.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 Assessment points</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5.1 Process assessment</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5.1.1 Medical ethics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5.1.2 Professional Literacy</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5.1.3 Daily performance (attendance)</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5.1.4 Stage completion situation</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5.2 Completion assessment</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5.2.1 Assessment of theoretical knowledge</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5.2.2 Assessment of practical skills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5.2.3 Writing of the review paper</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FF"/>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FF"/>
                <w:kern w:val="0"/>
                <w:sz w:val="24"/>
                <w:szCs w:val="24"/>
                <w:u w:val="none"/>
                <w:lang w:val="en-US" w:eastAsia="zh-CN" w:bidi="ar"/>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5.2.4 Small lectures</w:t>
            </w: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27"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0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2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FF"/>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sz w:val="24"/>
                <w:szCs w:val="24"/>
                <w:vertAlign w:val="baseline"/>
                <w:lang w:val="en-US" w:eastAsia="zh-CN"/>
              </w:rPr>
              <w:t>Recommended additional items (other amendments)</w:t>
            </w:r>
          </w:p>
        </w:tc>
        <w:tc>
          <w:tcPr>
            <w:tcW w:w="786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bookmarkEnd w:id="6"/>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24"/>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2" w:firstLineChars="200"/>
        <w:jc w:val="center"/>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(2) Construction of index system for training nurses in disinfection supply center</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lang w:val="en-US" w:eastAsia="zh-CN"/>
        </w:rPr>
        <w:t>Table 2-1 Training of specialized nurses in disinfection supply center, level 1 entry of course content index system</w:t>
      </w:r>
      <w:bookmarkStart w:id="7" w:name="OLE_LINK3"/>
      <w:bookmarkEnd w:id="7"/>
    </w:p>
    <w:tbl>
      <w:tblPr>
        <w:tblStyle w:val="5"/>
        <w:tblW w:w="15191" w:type="dxa"/>
        <w:tblInd w:w="-8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5"/>
        <w:gridCol w:w="1479"/>
        <w:gridCol w:w="1479"/>
        <w:gridCol w:w="1479"/>
        <w:gridCol w:w="1479"/>
        <w:gridCol w:w="1479"/>
        <w:gridCol w:w="4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5"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First-level entry</w:t>
            </w:r>
          </w:p>
        </w:tc>
        <w:tc>
          <w:tcPr>
            <w:tcW w:w="7395"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importance</w:t>
            </w:r>
          </w:p>
        </w:tc>
        <w:tc>
          <w:tcPr>
            <w:tcW w:w="482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5</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4</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3</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2</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1</w:t>
            </w:r>
          </w:p>
        </w:tc>
        <w:tc>
          <w:tcPr>
            <w:tcW w:w="482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 knowledge</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82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Skills</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82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Ability</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82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Feature</w:t>
            </w: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7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821"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2216"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eastAsiaTheme="minorEastAsia"/>
          <w:sz w:val="24"/>
          <w:szCs w:val="32"/>
          <w:lang w:val="en-US" w:eastAsia="zh-CN"/>
        </w:rPr>
        <w:t>Table 2-2 Training of specialized nurses in disinfection supply center, secondary 2 of course content index system</w:t>
      </w:r>
    </w:p>
    <w:tbl>
      <w:tblPr>
        <w:tblStyle w:val="5"/>
        <w:tblW w:w="0" w:type="auto"/>
        <w:tblInd w:w="-8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2909"/>
        <w:gridCol w:w="1282"/>
        <w:gridCol w:w="1282"/>
        <w:gridCol w:w="1282"/>
        <w:gridCol w:w="1282"/>
        <w:gridCol w:w="1284"/>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First-level entry</w:t>
            </w:r>
          </w:p>
        </w:tc>
        <w:tc>
          <w:tcPr>
            <w:tcW w:w="2909"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Secondary entry</w:t>
            </w:r>
          </w:p>
        </w:tc>
        <w:tc>
          <w:tcPr>
            <w:tcW w:w="6412"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importance</w:t>
            </w:r>
          </w:p>
        </w:tc>
        <w:tc>
          <w:tcPr>
            <w:tcW w:w="39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2909"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5</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4</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3</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2</w:t>
            </w: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1</w:t>
            </w: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restart"/>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 knowledge</w:t>
            </w: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 Overview of the disinfection supply center</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 Basic knowledge related to disinfection supply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 Knowledge of disinfection and sterilization</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0"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10387"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restart"/>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 Skills</w:t>
            </w: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2.1 Preprocessing technology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 Device recovery technology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 Device classification technique</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 Device cleaning and disinfection technology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 Device Drying technique</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 Device inspection and maintenance technology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 Device packaging technology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 Device Sterilization technique</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 Device storage and distribution</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 Logistics and distribution of devices</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 Quality monitoring technology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0"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10387"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restart"/>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 Ability</w:t>
            </w: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 Management ability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Risk management and control ability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3.3 Learning ability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3.4 Scientific research ability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3.5 Teaching ability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3.6 Communication skills</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10387" w:type="dxa"/>
        </w:trPr>
        <w:tc>
          <w:tcPr>
            <w:tcW w:w="4460"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24"/>
                <w:vertAlign w:val="baseline"/>
                <w:lang w:val="en-US" w:eastAsia="zh-CN"/>
              </w:rPr>
              <w:t>Recommended additional items (other amendments)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 Feature</w:t>
            </w: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Code of professional ethics</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1"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909"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Personal literacy</w:t>
            </w: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28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0"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10387"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eastAsiaTheme="minorEastAsia"/>
          <w:sz w:val="24"/>
          <w:szCs w:val="32"/>
          <w:lang w:val="en-US" w:eastAsia="zh-CN"/>
        </w:rPr>
        <w:t>Table 2-3 Specialized nurse training in disinfection supply center, level 3 items of course content index system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tbl>
      <w:tblPr>
        <w:tblStyle w:val="5"/>
        <w:tblW w:w="14462" w:type="dxa"/>
        <w:tblInd w:w="-4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423"/>
        <w:gridCol w:w="3665"/>
        <w:gridCol w:w="571"/>
        <w:gridCol w:w="264"/>
        <w:gridCol w:w="307"/>
        <w:gridCol w:w="528"/>
        <w:gridCol w:w="43"/>
        <w:gridCol w:w="571"/>
        <w:gridCol w:w="221"/>
        <w:gridCol w:w="835"/>
        <w:gridCol w:w="835"/>
        <w:gridCol w:w="4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First-level entry</w:t>
            </w:r>
          </w:p>
        </w:tc>
        <w:tc>
          <w:tcPr>
            <w:tcW w:w="1423"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Secondary entry</w:t>
            </w:r>
          </w:p>
        </w:tc>
        <w:tc>
          <w:tcPr>
            <w:tcW w:w="3665"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Level 3 entries</w:t>
            </w:r>
          </w:p>
        </w:tc>
        <w:tc>
          <w:tcPr>
            <w:tcW w:w="4175" w:type="dxa"/>
            <w:gridSpan w:val="9"/>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importance</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66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5</w:t>
            </w:r>
          </w:p>
        </w:tc>
        <w:tc>
          <w:tcPr>
            <w:tcW w:w="835" w:type="dxa"/>
            <w:gridSpan w:val="2"/>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4</w:t>
            </w:r>
          </w:p>
        </w:tc>
        <w:tc>
          <w:tcPr>
            <w:tcW w:w="835" w:type="dxa"/>
            <w:gridSpan w:val="3"/>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3</w:t>
            </w:r>
          </w:p>
        </w:tc>
        <w:tc>
          <w:tcPr>
            <w:tcW w:w="835"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2</w:t>
            </w:r>
          </w:p>
        </w:tc>
        <w:tc>
          <w:tcPr>
            <w:tcW w:w="835"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1</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 knowledge</w:t>
            </w: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 Overview of the disinfection supply center</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1.1.1 Development course of CSSD at home and abroad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1.1.2 Management mode of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1.1.3 Building and layout requirements of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1.1.4 Job responsibilities and system of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1.1.5 Relevant laws and regulations and industry standards of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 Basic knowledge related to disinfection supply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1.2.1 Basic knowledge of medical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1.2.2 Basic principles of CSSD equipment and facilities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1.3 Knowledge of disinfection and sterilization</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32"/>
                <w:szCs w:val="40"/>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1.3.1 Common microbial species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32"/>
                <w:szCs w:val="40"/>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1.3.2 Common methods for disinfection and sterilization</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1.3.3 Infection prevention and occupational protection in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32"/>
                <w:u w:val="none"/>
                <w:lang w:val="en-US" w:eastAsia="zh-CN" w:bidi="ar"/>
              </w:rPr>
              <w:t>1.3.4</w:t>
            </w:r>
            <w:r>
              <w:rPr>
                <w:rFonts w:hint="default" w:ascii="Times New Roman" w:hAnsi="Times New Roman" w:cs="Times New Roman"/>
                <w:sz w:val="24"/>
                <w:szCs w:val="32"/>
                <w:vertAlign w:val="baseline"/>
                <w:lang w:val="en-US" w:eastAsia="zh-CN"/>
              </w:rPr>
              <w:t>Management of the occupational exposure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Skills</w:t>
            </w: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 Preprocessing technology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2.1.1 Treatment on site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2.1.2 Pretreatment before cleaning</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 Device recovery technology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2.2.1 Recovery of conventional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2.2.2 Recovery of specialized precision equipment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2.2.3 Recovery of special contaminated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2.2.4 Recovery of implants and external medical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2.2.5 Recovery of soft endoscopic instruments and hard endoscopic instruments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2.2.6 Recovery of cross-hospital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2.2.7 Disposal of recycling tools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 Device classification technique</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2.3.1 Classification according to the device material</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2.3.2 Classification according to the device structure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2.3.3 Classification according to the degree of device contamination</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2.3.4 Classification according to the device for heat resistance and moisture resistance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 Device cleaning and disinfection technology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2.4.1 Manual cleaning techniques (including cleaning of soft endoscope, robotic surgical instruments, endoscopic instruments, etc.)</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2.4.2 Mechanical cleaning technology</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2.4.3 Selection of cleaning agent and disinfectant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2.4.4 Configuration of cleaning agent and disinfectant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2.4.5 Cleaning and disinfection process of special infected devices</w:t>
            </w:r>
          </w:p>
        </w:tc>
        <w:tc>
          <w:tcPr>
            <w:tcW w:w="835" w:type="dxa"/>
            <w:gridSpan w:val="2"/>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32"/>
                <w:vertAlign w:val="baseline"/>
                <w:lang w:val="en-US" w:eastAsia="zh-CN" w:bidi="ar-SA"/>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2.4.6 Use and daily maintenance of ultrasonic cleaning machine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2.4.7 Use and daily maintenance of mechanical cleaning machine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2.4.8 Use and daily maintenance of water treatment equipment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 Device Drying technique</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2.5.1 Selection of drying mode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2.5.2 Judgment of the drying effect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2.5.3 Use and daily maintenance of drying equipment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bookmarkStart w:id="10" w:name="_GoBack" w:colFirst="3" w:colLast="8"/>
          </w:p>
        </w:tc>
        <w:tc>
          <w:tcPr>
            <w:tcW w:w="5088" w:type="dxa"/>
            <w:gridSpan w:val="2"/>
            <w:shd w:val="clear" w:color="auto" w:fill="FBE6D6" w:themeFill="accent2" w:themeFillTint="32"/>
          </w:tcPr>
          <w:p>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bookmark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 Device inspection and maintenance</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2.6.1 Inspection of the device cleanliness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2.6.2 Check of the functional status of the device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2.6.3 Insulation performance test of the device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2.6.4 Disassembly and assembly of the device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2.6.5 Maintenance technology of the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 Device packaging technology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2.7.1 Selection of packaging materials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2.7.2 Selection and application of packaging method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2.7.3 Use and daily maintenance of medical sealing machine</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b w:val="0"/>
                <w:bCs w:val="0"/>
                <w:sz w:val="28"/>
                <w:szCs w:val="36"/>
                <w:vertAlign w:val="baseline"/>
                <w:lang w:val="en-US" w:eastAsia="zh-CN"/>
              </w:rPr>
            </w:pPr>
            <w:r>
              <w:rPr>
                <w:rFonts w:hint="default" w:ascii="Times New Roman" w:hAnsi="Times New Roman" w:eastAsia="宋体" w:cs="Times New Roman"/>
                <w:b w:val="0"/>
                <w:bCs w:val="0"/>
                <w:i w:val="0"/>
                <w:iCs w:val="0"/>
                <w:color w:val="auto"/>
                <w:kern w:val="0"/>
                <w:sz w:val="24"/>
                <w:szCs w:val="24"/>
                <w:u w:val="none"/>
                <w:lang w:val="en-US" w:eastAsia="zh-CN" w:bidi="ar"/>
              </w:rPr>
              <w:t>2.7.4 Application of information traceability system and label printing</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2.7.5 Inspection of packaging quality</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 Device Sterilization technique</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2.8.1 The loading and unloading of sterilized articles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FF"/>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2.8.2 Use and daily maintenance of pressure steam sterilizer</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2.8.3 Use and daily maintenance of ethylene oxide sterilizer</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2.8.4 Use and daily maintenance of hydrogen peroxide low-temperature plasma sterilizer</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2.8.5 Use and daily maintenance of low-temperature steam formaldehyde sterilizer</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2.8.6 Interpretation of sterilization results (physical, chemical, biological)</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 Device storage and distribution</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2.9.1 Storage and validity period of sterile items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2.9.2 Distribution process of sterile articles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2.9.3 Distribution process of emergency delivery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 Logistics and distribution of devices</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2.10.1 Device transfer of devices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2.10.2 Hospital-level device transfer</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2.11 Quality monitoring technology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2.11.1 Water quality monitoring</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2.11.2 Monitoring of the environment and staff hand hygiene in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2.11.3 Monitoring technology of cleaning quality and interpretation of results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2.11.4 Monitoring technology of sterilization quality and interpretation of results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2.11.5 Recall and disposal process of unqualified items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Ability</w:t>
            </w: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 Management ability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3.1.1 CSSD material management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3.1.2 CSSD organization and management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3.1.3 Performance management of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3.1.4 CSSD Cost management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3.1.5 CSSD equipment and facilities management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3.1.6 Adverse event management of CSSD</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3.1.7 CSSD information construction and management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3.1.8 Management of relevant documents and records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3.1.9 Use of common quality management tools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Risk management and control ability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3.2.1 Risk prevention capability</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3.2.2 Emergency control capability</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3.3 Learning ability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3.3.1 Learning and application of new technology and new business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3.3.2 Ability to obtain professional information</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3.4 Scientific research ability</w:t>
            </w:r>
          </w:p>
        </w:tc>
        <w:tc>
          <w:tcPr>
            <w:tcW w:w="3665" w:type="dxa"/>
            <w:shd w:val="clear" w:color="auto" w:fill="FBE6D6" w:themeFill="accent2" w:themeFillTint="32"/>
            <w:vAlign w:val="center"/>
          </w:tcPr>
          <w:p>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3.4.1 Literature retrieval and reading ability</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3.4.2 Scientific research topics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3.4.3 Methods of scientific research and design</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3.4.4 Collection and management of scientific research data</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3.4.5 Common statistical methods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3.4.6 Writing of the nursing paper</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3.4.7 New technology and new business development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3.4.8 Project development and management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3.4.9 Ability to disseminate scientific research achievements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3.5 Teaching ability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3.5.1 Organization and management of clinical teaching</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3.5.2 Clinical teaching methods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3.5.3 Clinical teaching skills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3.5.4 Evaluation of clinical teaching</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3.6 Communication skills</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3.6.1 Communication ability with the service department</w:t>
            </w:r>
            <w:bookmarkStart w:id="8" w:name="OLE_LINK9"/>
            <w:bookmarkEnd w:id="8"/>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3.6.2 Communication ability with foreign consumer consumption service units</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3.6.3 Communication ability with the guarantee department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3.6.4 Communication skills with the personnel in the department</w:t>
            </w: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8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Feature</w:t>
            </w:r>
          </w:p>
        </w:tc>
        <w:tc>
          <w:tcPr>
            <w:tcW w:w="1423"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Code of professional ethics</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9" w:name="OLE_LINK10"/>
            <w:bookmarkEnd w:id="9"/>
            <w:r>
              <w:rPr>
                <w:rFonts w:hint="default" w:ascii="Times New Roman" w:hAnsi="Times New Roman" w:eastAsia="宋体" w:cs="Times New Roman"/>
                <w:i w:val="0"/>
                <w:iCs w:val="0"/>
                <w:color w:val="000000"/>
                <w:kern w:val="0"/>
                <w:sz w:val="24"/>
                <w:szCs w:val="24"/>
                <w:u w:val="none"/>
                <w:lang w:val="en-US" w:eastAsia="zh-CN" w:bidi="ar"/>
              </w:rPr>
              <w:t>4.1.1 Spirit of prudence</w:t>
            </w: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891"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4.1.2 Prevention of job burnout</w:t>
            </w: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891"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4.1.3 Empathy and responsibility</w:t>
            </w: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891"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23"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Personal literacy</w:t>
            </w: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4.2.1 Emotional management ability</w:t>
            </w: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891"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23"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32"/>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4.2.2 Suitability</w:t>
            </w: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891"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23"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32"/>
                <w:vertAlign w:val="baseline"/>
                <w:lang w:val="en-US" w:eastAsia="zh-CN"/>
              </w:rPr>
            </w:pPr>
          </w:p>
        </w:tc>
        <w:tc>
          <w:tcPr>
            <w:tcW w:w="3665"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4.2.3 Decision-making ability</w:t>
            </w: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7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891"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2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088" w:type="dxa"/>
            <w:gridSpan w:val="2"/>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375"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sz w:val="24"/>
          <w:szCs w:val="32"/>
          <w:lang w:val="en-US" w:eastAsia="zh-CN"/>
        </w:rPr>
        <w:sectPr>
          <w:pgSz w:w="16838" w:h="11906" w:orient="landscape"/>
          <w:pgMar w:top="1800" w:right="1440" w:bottom="1800" w:left="1440" w:header="851" w:footer="992" w:gutter="0"/>
          <w:cols w:space="425" w:num="1"/>
          <w:docGrid w:type="lines" w:linePitch="312" w:charSpace="0"/>
        </w:sectPr>
      </w:pPr>
    </w:p>
    <w:p>
      <w:pPr>
        <w:pStyle w:val="3"/>
        <w:numPr>
          <w:ilvl w:val="0"/>
          <w:numId w:val="0"/>
        </w:numPr>
        <w:bidi w:val="0"/>
        <w:ind w:leftChars="0"/>
        <w:jc w:val="center"/>
        <w:rPr>
          <w:rFonts w:hint="default" w:ascii="Times New Roman" w:hAnsi="Times New Roman" w:cs="Times New Roman"/>
          <w:sz w:val="28"/>
          <w:szCs w:val="22"/>
        </w:rPr>
      </w:pPr>
      <w:r>
        <w:rPr>
          <w:rFonts w:hint="default" w:ascii="Times New Roman" w:hAnsi="Times New Roman" w:cs="Times New Roman"/>
          <w:sz w:val="28"/>
          <w:szCs w:val="22"/>
          <w:lang w:val="en-US" w:eastAsia="zh-CN"/>
        </w:rPr>
        <w:t>The third part, expert analysis</w:t>
      </w:r>
    </w:p>
    <w:p>
      <w:pPr>
        <w:numPr>
          <w:ilvl w:val="0"/>
          <w:numId w:val="3"/>
        </w:numPr>
        <w:spacing w:line="360" w:lineRule="auto"/>
        <w:ind w:leftChars="0"/>
        <w:jc w:val="left"/>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Please fill in the following form according to the basis when you fill in the expert consultation form of the above indicators, and type "√" under the corresponding options</w:t>
      </w:r>
    </w:p>
    <w:p>
      <w:pPr>
        <w:numPr>
          <w:ilvl w:val="0"/>
          <w:numId w:val="0"/>
        </w:numPr>
        <w:rPr>
          <w:rFonts w:hint="default" w:ascii="Times New Roman" w:hAnsi="Times New Roman" w:cs="Times New Roman"/>
          <w:lang w:val="en-US" w:eastAsia="zh-CN"/>
        </w:rPr>
      </w:pPr>
    </w:p>
    <w:tbl>
      <w:tblPr>
        <w:tblStyle w:val="5"/>
        <w:tblW w:w="8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2201"/>
        <w:gridCol w:w="2172"/>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637" w:type="dxa"/>
            <w:noWrap w:val="0"/>
            <w:vAlign w:val="center"/>
          </w:tcPr>
          <w:p>
            <w:pPr>
              <w:spacing w:line="360" w:lineRule="auto"/>
              <w:jc w:val="center"/>
              <w:rPr>
                <w:rFonts w:hint="default" w:ascii="Times New Roman" w:hAnsi="Times New Roman" w:cs="Times New Roman"/>
                <w:bCs/>
              </w:rPr>
            </w:pPr>
            <w:r>
              <w:rPr>
                <w:rFonts w:hint="default" w:ascii="Times New Roman" w:hAnsi="Times New Roman" w:cs="Times New Roman"/>
                <w:b/>
                <w:bCs w:val="0"/>
                <w:sz w:val="24"/>
              </w:rPr>
              <w:t>Judgment basis</w:t>
            </w:r>
          </w:p>
        </w:tc>
        <w:tc>
          <w:tcPr>
            <w:tcW w:w="2201" w:type="dxa"/>
            <w:noWrap w:val="0"/>
            <w:vAlign w:val="center"/>
          </w:tcPr>
          <w:p>
            <w:pPr>
              <w:spacing w:line="360" w:lineRule="auto"/>
              <w:jc w:val="center"/>
              <w:rPr>
                <w:rFonts w:hint="default" w:ascii="Times New Roman" w:hAnsi="Times New Roman" w:cs="Times New Roman"/>
                <w:bCs/>
                <w:sz w:val="24"/>
                <w:szCs w:val="32"/>
              </w:rPr>
            </w:pPr>
            <w:r>
              <w:rPr>
                <w:rFonts w:hint="default" w:ascii="Times New Roman" w:hAnsi="Times New Roman" w:cs="Times New Roman"/>
                <w:bCs/>
                <w:sz w:val="24"/>
                <w:szCs w:val="32"/>
              </w:rPr>
              <w:t>Make your judgment</w:t>
            </w:r>
          </w:p>
          <w:p>
            <w:pPr>
              <w:spacing w:line="360" w:lineRule="auto"/>
              <w:jc w:val="center"/>
              <w:rPr>
                <w:rFonts w:hint="default" w:ascii="Times New Roman" w:hAnsi="Times New Roman" w:cs="Times New Roman"/>
                <w:bCs/>
                <w:sz w:val="24"/>
                <w:szCs w:val="32"/>
              </w:rPr>
            </w:pPr>
            <w:r>
              <w:rPr>
                <w:rFonts w:hint="default" w:ascii="Times New Roman" w:hAnsi="Times New Roman" w:cs="Times New Roman"/>
                <w:b/>
                <w:bCs w:val="0"/>
                <w:sz w:val="24"/>
                <w:szCs w:val="32"/>
              </w:rPr>
              <w:t>big</w:t>
            </w:r>
          </w:p>
        </w:tc>
        <w:tc>
          <w:tcPr>
            <w:tcW w:w="2172" w:type="dxa"/>
            <w:noWrap w:val="0"/>
            <w:vAlign w:val="center"/>
          </w:tcPr>
          <w:p>
            <w:pPr>
              <w:spacing w:line="360" w:lineRule="auto"/>
              <w:jc w:val="center"/>
              <w:rPr>
                <w:rFonts w:hint="default" w:ascii="Times New Roman" w:hAnsi="Times New Roman" w:cs="Times New Roman"/>
                <w:bCs/>
                <w:sz w:val="24"/>
                <w:szCs w:val="32"/>
              </w:rPr>
            </w:pPr>
            <w:r>
              <w:rPr>
                <w:rFonts w:hint="default" w:ascii="Times New Roman" w:hAnsi="Times New Roman" w:cs="Times New Roman"/>
                <w:bCs/>
                <w:sz w:val="24"/>
                <w:szCs w:val="32"/>
              </w:rPr>
              <w:t>Make your judgment</w:t>
            </w:r>
          </w:p>
          <w:p>
            <w:pPr>
              <w:spacing w:line="360" w:lineRule="auto"/>
              <w:jc w:val="center"/>
              <w:rPr>
                <w:rFonts w:hint="default" w:ascii="Times New Roman" w:hAnsi="Times New Roman" w:cs="Times New Roman"/>
                <w:bCs/>
                <w:sz w:val="24"/>
                <w:szCs w:val="32"/>
              </w:rPr>
            </w:pPr>
            <w:r>
              <w:rPr>
                <w:rFonts w:hint="default" w:ascii="Times New Roman" w:hAnsi="Times New Roman" w:cs="Times New Roman"/>
                <w:b/>
                <w:bCs w:val="0"/>
                <w:sz w:val="24"/>
                <w:szCs w:val="32"/>
              </w:rPr>
              <w:t>centre</w:t>
            </w:r>
          </w:p>
        </w:tc>
        <w:tc>
          <w:tcPr>
            <w:tcW w:w="2744" w:type="dxa"/>
            <w:noWrap w:val="0"/>
            <w:vAlign w:val="center"/>
          </w:tcPr>
          <w:p>
            <w:pPr>
              <w:spacing w:line="360" w:lineRule="auto"/>
              <w:jc w:val="center"/>
              <w:rPr>
                <w:rFonts w:hint="default" w:ascii="Times New Roman" w:hAnsi="Times New Roman" w:cs="Times New Roman"/>
                <w:bCs/>
                <w:sz w:val="24"/>
                <w:szCs w:val="32"/>
              </w:rPr>
            </w:pPr>
            <w:r>
              <w:rPr>
                <w:rFonts w:hint="default" w:ascii="Times New Roman" w:hAnsi="Times New Roman" w:cs="Times New Roman"/>
                <w:bCs/>
                <w:sz w:val="24"/>
                <w:szCs w:val="32"/>
              </w:rPr>
              <w:t>Make your judgment</w:t>
            </w:r>
          </w:p>
          <w:p>
            <w:pPr>
              <w:spacing w:line="360" w:lineRule="auto"/>
              <w:jc w:val="center"/>
              <w:rPr>
                <w:rFonts w:hint="default" w:ascii="Times New Roman" w:hAnsi="Times New Roman" w:cs="Times New Roman"/>
                <w:bCs/>
                <w:sz w:val="24"/>
                <w:szCs w:val="32"/>
              </w:rPr>
            </w:pPr>
            <w:r>
              <w:rPr>
                <w:rFonts w:hint="default" w:ascii="Times New Roman" w:hAnsi="Times New Roman" w:cs="Times New Roman"/>
                <w:b/>
                <w:bCs w:val="0"/>
                <w:sz w:val="24"/>
                <w:szCs w:val="32"/>
              </w:rPr>
              <w:t>small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37" w:type="dxa"/>
            <w:noWrap w:val="0"/>
            <w:vAlign w:val="center"/>
          </w:tcPr>
          <w:p>
            <w:pPr>
              <w:jc w:val="center"/>
              <w:rPr>
                <w:rFonts w:hint="default" w:ascii="Times New Roman" w:hAnsi="Times New Roman" w:cs="Times New Roman"/>
                <w:sz w:val="24"/>
                <w:szCs w:val="32"/>
              </w:rPr>
            </w:pPr>
            <w:r>
              <w:rPr>
                <w:rFonts w:hint="default" w:ascii="Times New Roman" w:hAnsi="Times New Roman" w:cs="Times New Roman"/>
                <w:sz w:val="24"/>
                <w:szCs w:val="32"/>
              </w:rPr>
              <w:t>theoretical analysis</w:t>
            </w:r>
          </w:p>
        </w:tc>
        <w:tc>
          <w:tcPr>
            <w:tcW w:w="2201" w:type="dxa"/>
            <w:noWrap w:val="0"/>
            <w:vAlign w:val="center"/>
          </w:tcPr>
          <w:p>
            <w:pPr>
              <w:jc w:val="center"/>
              <w:rPr>
                <w:rFonts w:hint="default" w:ascii="Times New Roman" w:hAnsi="Times New Roman" w:cs="Times New Roman"/>
              </w:rPr>
            </w:pPr>
          </w:p>
        </w:tc>
        <w:tc>
          <w:tcPr>
            <w:tcW w:w="2172" w:type="dxa"/>
            <w:noWrap w:val="0"/>
            <w:vAlign w:val="center"/>
          </w:tcPr>
          <w:p>
            <w:pPr>
              <w:jc w:val="center"/>
              <w:rPr>
                <w:rFonts w:hint="default" w:ascii="Times New Roman" w:hAnsi="Times New Roman" w:cs="Times New Roman"/>
              </w:rPr>
            </w:pPr>
          </w:p>
        </w:tc>
        <w:tc>
          <w:tcPr>
            <w:tcW w:w="2744" w:type="dxa"/>
            <w:noWrap w:val="0"/>
            <w:vAlign w:val="center"/>
          </w:tcPr>
          <w:p>
            <w:pPr>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37" w:type="dxa"/>
            <w:noWrap w:val="0"/>
            <w:vAlign w:val="center"/>
          </w:tcPr>
          <w:p>
            <w:pPr>
              <w:jc w:val="center"/>
              <w:rPr>
                <w:rFonts w:hint="default" w:ascii="Times New Roman" w:hAnsi="Times New Roman" w:cs="Times New Roman"/>
                <w:sz w:val="24"/>
                <w:szCs w:val="32"/>
              </w:rPr>
            </w:pPr>
            <w:r>
              <w:rPr>
                <w:rFonts w:hint="default" w:ascii="Times New Roman" w:hAnsi="Times New Roman" w:cs="Times New Roman"/>
                <w:sz w:val="24"/>
                <w:szCs w:val="32"/>
              </w:rPr>
              <w:t>hands-on</w:t>
            </w:r>
          </w:p>
        </w:tc>
        <w:tc>
          <w:tcPr>
            <w:tcW w:w="2201" w:type="dxa"/>
            <w:noWrap w:val="0"/>
            <w:vAlign w:val="center"/>
          </w:tcPr>
          <w:p>
            <w:pPr>
              <w:jc w:val="center"/>
              <w:rPr>
                <w:rFonts w:hint="default" w:ascii="Times New Roman" w:hAnsi="Times New Roman" w:cs="Times New Roman"/>
              </w:rPr>
            </w:pPr>
          </w:p>
        </w:tc>
        <w:tc>
          <w:tcPr>
            <w:tcW w:w="2172" w:type="dxa"/>
            <w:noWrap w:val="0"/>
            <w:vAlign w:val="center"/>
          </w:tcPr>
          <w:p>
            <w:pPr>
              <w:jc w:val="center"/>
              <w:rPr>
                <w:rFonts w:hint="default" w:ascii="Times New Roman" w:hAnsi="Times New Roman" w:cs="Times New Roman"/>
              </w:rPr>
            </w:pPr>
          </w:p>
        </w:tc>
        <w:tc>
          <w:tcPr>
            <w:tcW w:w="2744" w:type="dxa"/>
            <w:noWrap w:val="0"/>
            <w:vAlign w:val="center"/>
          </w:tcPr>
          <w:p>
            <w:pPr>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637" w:type="dxa"/>
            <w:noWrap w:val="0"/>
            <w:vAlign w:val="center"/>
          </w:tcPr>
          <w:p>
            <w:pPr>
              <w:jc w:val="center"/>
              <w:rPr>
                <w:rFonts w:hint="default" w:ascii="Times New Roman" w:hAnsi="Times New Roman" w:cs="Times New Roman"/>
                <w:sz w:val="24"/>
                <w:szCs w:val="32"/>
              </w:rPr>
            </w:pPr>
            <w:r>
              <w:rPr>
                <w:rFonts w:hint="default" w:ascii="Times New Roman" w:hAnsi="Times New Roman" w:cs="Times New Roman"/>
                <w:sz w:val="24"/>
                <w:szCs w:val="32"/>
              </w:rPr>
              <w:t>The peer understand</w:t>
            </w:r>
          </w:p>
        </w:tc>
        <w:tc>
          <w:tcPr>
            <w:tcW w:w="2201" w:type="dxa"/>
            <w:noWrap w:val="0"/>
            <w:vAlign w:val="center"/>
          </w:tcPr>
          <w:p>
            <w:pPr>
              <w:jc w:val="center"/>
              <w:rPr>
                <w:rFonts w:hint="default" w:ascii="Times New Roman" w:hAnsi="Times New Roman" w:cs="Times New Roman"/>
              </w:rPr>
            </w:pPr>
          </w:p>
        </w:tc>
        <w:tc>
          <w:tcPr>
            <w:tcW w:w="2172" w:type="dxa"/>
            <w:noWrap w:val="0"/>
            <w:vAlign w:val="center"/>
          </w:tcPr>
          <w:p>
            <w:pPr>
              <w:jc w:val="center"/>
              <w:rPr>
                <w:rFonts w:hint="default" w:ascii="Times New Roman" w:hAnsi="Times New Roman" w:cs="Times New Roman"/>
              </w:rPr>
            </w:pPr>
          </w:p>
        </w:tc>
        <w:tc>
          <w:tcPr>
            <w:tcW w:w="2744" w:type="dxa"/>
            <w:noWrap w:val="0"/>
            <w:vAlign w:val="center"/>
          </w:tcPr>
          <w:p>
            <w:pPr>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37" w:type="dxa"/>
            <w:noWrap w:val="0"/>
            <w:vAlign w:val="center"/>
          </w:tcPr>
          <w:p>
            <w:pPr>
              <w:jc w:val="center"/>
              <w:rPr>
                <w:rFonts w:hint="default" w:ascii="Times New Roman" w:hAnsi="Times New Roman" w:cs="Times New Roman"/>
                <w:sz w:val="24"/>
                <w:szCs w:val="32"/>
              </w:rPr>
            </w:pPr>
            <w:r>
              <w:rPr>
                <w:rFonts w:hint="default" w:ascii="Times New Roman" w:hAnsi="Times New Roman" w:cs="Times New Roman"/>
                <w:sz w:val="24"/>
                <w:szCs w:val="32"/>
              </w:rPr>
              <w:t>Personal intuition</w:t>
            </w:r>
          </w:p>
        </w:tc>
        <w:tc>
          <w:tcPr>
            <w:tcW w:w="2201" w:type="dxa"/>
            <w:noWrap w:val="0"/>
            <w:vAlign w:val="center"/>
          </w:tcPr>
          <w:p>
            <w:pPr>
              <w:jc w:val="center"/>
              <w:rPr>
                <w:rFonts w:hint="default" w:ascii="Times New Roman" w:hAnsi="Times New Roman" w:cs="Times New Roman"/>
              </w:rPr>
            </w:pPr>
          </w:p>
        </w:tc>
        <w:tc>
          <w:tcPr>
            <w:tcW w:w="2172" w:type="dxa"/>
            <w:noWrap w:val="0"/>
            <w:vAlign w:val="center"/>
          </w:tcPr>
          <w:p>
            <w:pPr>
              <w:jc w:val="center"/>
              <w:rPr>
                <w:rFonts w:hint="default" w:ascii="Times New Roman" w:hAnsi="Times New Roman" w:cs="Times New Roman"/>
              </w:rPr>
            </w:pPr>
          </w:p>
        </w:tc>
        <w:tc>
          <w:tcPr>
            <w:tcW w:w="2744" w:type="dxa"/>
            <w:noWrap w:val="0"/>
            <w:vAlign w:val="center"/>
          </w:tcPr>
          <w:p>
            <w:pPr>
              <w:jc w:val="center"/>
              <w:rPr>
                <w:rFonts w:hint="default" w:ascii="Times New Roman" w:hAnsi="Times New Roman" w:cs="Times New Roman"/>
              </w:rPr>
            </w:pPr>
          </w:p>
        </w:tc>
      </w:tr>
    </w:tbl>
    <w:p>
      <w:pPr>
        <w:numPr>
          <w:ilvl w:val="0"/>
          <w:numId w:val="0"/>
        </w:numPr>
        <w:rPr>
          <w:rFonts w:hint="default" w:ascii="Times New Roman" w:hAnsi="Times New Roman" w:cs="Times New Roman"/>
          <w:lang w:val="en-US" w:eastAsia="zh-CN"/>
        </w:rPr>
      </w:pPr>
    </w:p>
    <w:p>
      <w:pPr>
        <w:numPr>
          <w:ilvl w:val="0"/>
          <w:numId w:val="3"/>
        </w:numPr>
        <w:spacing w:line="360" w:lineRule="auto"/>
        <w:ind w:left="0" w:leftChars="0" w:firstLine="0" w:firstLineChars="0"/>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Please fill in the following form according to the basis when you fill in the expert consultation form for the above indicators, and type "" under the corresponding options:</w:t>
      </w:r>
    </w:p>
    <w:p>
      <w:pPr>
        <w:numPr>
          <w:ilvl w:val="0"/>
          <w:numId w:val="0"/>
        </w:numPr>
        <w:ind w:leftChars="0"/>
        <w:rPr>
          <w:rFonts w:hint="default" w:ascii="Times New Roman" w:hAnsi="Times New Roman" w:cs="Times New Roman"/>
          <w:lang w:val="en-US" w:eastAsia="zh-CN"/>
        </w:rPr>
      </w:pPr>
    </w:p>
    <w:tbl>
      <w:tblPr>
        <w:tblStyle w:val="5"/>
        <w:tblpPr w:leftFromText="180" w:rightFromText="180" w:vertAnchor="text" w:horzAnchor="page" w:tblpX="1818" w:tblpY="48"/>
        <w:tblOverlap w:val="never"/>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1419"/>
        <w:gridCol w:w="1412"/>
        <w:gridCol w:w="1418"/>
        <w:gridCol w:w="1415"/>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422" w:type="dxa"/>
            <w:vMerge w:val="restart"/>
            <w:noWrap w:val="0"/>
            <w:vAlign w:val="top"/>
          </w:tcPr>
          <w:p>
            <w:pPr>
              <w:spacing w:line="360" w:lineRule="auto"/>
              <w:jc w:val="center"/>
              <w:rPr>
                <w:rFonts w:hint="default" w:ascii="Times New Roman" w:hAnsi="Times New Roman" w:cs="Times New Roman"/>
                <w:sz w:val="24"/>
                <w:szCs w:val="32"/>
              </w:rPr>
            </w:pPr>
            <w:r>
              <w:rPr>
                <w:rFonts w:hint="default" w:ascii="Times New Roman" w:hAnsi="Times New Roman" w:cs="Times New Roman"/>
                <w:sz w:val="24"/>
                <w:szCs w:val="32"/>
              </w:rPr>
              <w:t>Experts on the management system content</w:t>
            </w:r>
          </w:p>
          <w:p>
            <w:pPr>
              <w:spacing w:line="360" w:lineRule="auto"/>
              <w:jc w:val="center"/>
              <w:rPr>
                <w:rFonts w:hint="default" w:ascii="Times New Roman" w:hAnsi="Times New Roman" w:cs="Times New Roman"/>
              </w:rPr>
            </w:pPr>
            <w:r>
              <w:rPr>
                <w:rFonts w:hint="default" w:ascii="Times New Roman" w:hAnsi="Times New Roman" w:cs="Times New Roman"/>
                <w:sz w:val="24"/>
                <w:szCs w:val="32"/>
              </w:rPr>
              <w:t>degree of familiarity</w:t>
            </w:r>
          </w:p>
        </w:tc>
        <w:tc>
          <w:tcPr>
            <w:tcW w:w="1420" w:type="dxa"/>
            <w:noWrap w:val="0"/>
            <w:vAlign w:val="center"/>
          </w:tcPr>
          <w:p>
            <w:pPr>
              <w:spacing w:line="360" w:lineRule="auto"/>
              <w:jc w:val="center"/>
              <w:rPr>
                <w:rFonts w:hint="default" w:ascii="Times New Roman" w:hAnsi="Times New Roman" w:cs="Times New Roman"/>
                <w:b/>
                <w:bCs/>
                <w:sz w:val="24"/>
                <w:szCs w:val="32"/>
              </w:rPr>
            </w:pPr>
            <w:r>
              <w:rPr>
                <w:rFonts w:hint="default" w:ascii="Times New Roman" w:hAnsi="Times New Roman" w:cs="Times New Roman"/>
                <w:b/>
                <w:bCs/>
                <w:sz w:val="24"/>
                <w:szCs w:val="32"/>
              </w:rPr>
              <w:t>know...well</w:t>
            </w:r>
          </w:p>
        </w:tc>
        <w:tc>
          <w:tcPr>
            <w:tcW w:w="1420" w:type="dxa"/>
            <w:noWrap w:val="0"/>
            <w:vAlign w:val="center"/>
          </w:tcPr>
          <w:p>
            <w:pPr>
              <w:spacing w:line="360" w:lineRule="auto"/>
              <w:jc w:val="center"/>
              <w:rPr>
                <w:rFonts w:hint="default" w:ascii="Times New Roman" w:hAnsi="Times New Roman" w:cs="Times New Roman"/>
                <w:b/>
                <w:bCs/>
                <w:sz w:val="24"/>
                <w:szCs w:val="32"/>
              </w:rPr>
            </w:pPr>
            <w:r>
              <w:rPr>
                <w:rFonts w:hint="default" w:ascii="Times New Roman" w:hAnsi="Times New Roman" w:cs="Times New Roman"/>
                <w:b/>
                <w:bCs/>
                <w:sz w:val="24"/>
                <w:szCs w:val="32"/>
              </w:rPr>
              <w:t>know sth. or sb. well</w:t>
            </w:r>
          </w:p>
        </w:tc>
        <w:tc>
          <w:tcPr>
            <w:tcW w:w="1420" w:type="dxa"/>
            <w:noWrap w:val="0"/>
            <w:vAlign w:val="center"/>
          </w:tcPr>
          <w:p>
            <w:pPr>
              <w:spacing w:line="360" w:lineRule="auto"/>
              <w:jc w:val="center"/>
              <w:rPr>
                <w:rFonts w:hint="default" w:ascii="Times New Roman" w:hAnsi="Times New Roman" w:cs="Times New Roman"/>
                <w:b/>
                <w:bCs/>
                <w:sz w:val="24"/>
                <w:szCs w:val="32"/>
              </w:rPr>
            </w:pPr>
            <w:r>
              <w:rPr>
                <w:rFonts w:hint="default" w:ascii="Times New Roman" w:hAnsi="Times New Roman" w:cs="Times New Roman"/>
                <w:b/>
                <w:bCs/>
                <w:sz w:val="24"/>
                <w:szCs w:val="32"/>
              </w:rPr>
              <w:t>Generally familiar with</w:t>
            </w:r>
          </w:p>
        </w:tc>
        <w:tc>
          <w:tcPr>
            <w:tcW w:w="1420" w:type="dxa"/>
            <w:noWrap w:val="0"/>
            <w:vAlign w:val="center"/>
          </w:tcPr>
          <w:p>
            <w:pPr>
              <w:spacing w:line="360" w:lineRule="auto"/>
              <w:jc w:val="center"/>
              <w:rPr>
                <w:rFonts w:hint="default" w:ascii="Times New Roman" w:hAnsi="Times New Roman" w:cs="Times New Roman"/>
                <w:b/>
                <w:bCs/>
                <w:sz w:val="24"/>
                <w:szCs w:val="32"/>
              </w:rPr>
            </w:pPr>
            <w:r>
              <w:rPr>
                <w:rFonts w:hint="default" w:ascii="Times New Roman" w:hAnsi="Times New Roman" w:cs="Times New Roman"/>
                <w:b/>
                <w:bCs/>
                <w:sz w:val="24"/>
                <w:szCs w:val="32"/>
              </w:rPr>
              <w:t>Not familiar with</w:t>
            </w:r>
          </w:p>
        </w:tc>
        <w:tc>
          <w:tcPr>
            <w:tcW w:w="1733" w:type="dxa"/>
            <w:noWrap w:val="0"/>
            <w:vAlign w:val="center"/>
          </w:tcPr>
          <w:p>
            <w:pPr>
              <w:spacing w:line="360" w:lineRule="auto"/>
              <w:jc w:val="center"/>
              <w:rPr>
                <w:rFonts w:hint="default" w:ascii="Times New Roman" w:hAnsi="Times New Roman" w:cs="Times New Roman"/>
                <w:b/>
                <w:bCs/>
                <w:sz w:val="24"/>
                <w:szCs w:val="32"/>
              </w:rPr>
            </w:pPr>
            <w:r>
              <w:rPr>
                <w:rFonts w:hint="default" w:ascii="Times New Roman" w:hAnsi="Times New Roman" w:cs="Times New Roman"/>
                <w:b/>
                <w:bCs/>
                <w:sz w:val="24"/>
                <w:szCs w:val="32"/>
              </w:rPr>
              <w:t>be unfamiliar with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422" w:type="dxa"/>
            <w:vMerge w:val="continue"/>
            <w:noWrap w:val="0"/>
            <w:vAlign w:val="top"/>
          </w:tcPr>
          <w:p>
            <w:pPr>
              <w:jc w:val="center"/>
              <w:rPr>
                <w:rFonts w:hint="default" w:ascii="Times New Roman" w:hAnsi="Times New Roman" w:cs="Times New Roman"/>
              </w:rPr>
            </w:pPr>
          </w:p>
        </w:tc>
        <w:tc>
          <w:tcPr>
            <w:tcW w:w="1420" w:type="dxa"/>
            <w:noWrap w:val="0"/>
            <w:vAlign w:val="top"/>
          </w:tcPr>
          <w:p>
            <w:pPr>
              <w:jc w:val="center"/>
              <w:rPr>
                <w:rFonts w:hint="default" w:ascii="Times New Roman" w:hAnsi="Times New Roman" w:cs="Times New Roman"/>
              </w:rPr>
            </w:pPr>
          </w:p>
        </w:tc>
        <w:tc>
          <w:tcPr>
            <w:tcW w:w="1420" w:type="dxa"/>
            <w:noWrap w:val="0"/>
            <w:vAlign w:val="top"/>
          </w:tcPr>
          <w:p>
            <w:pPr>
              <w:jc w:val="center"/>
              <w:rPr>
                <w:rFonts w:hint="default" w:ascii="Times New Roman" w:hAnsi="Times New Roman" w:cs="Times New Roman"/>
              </w:rPr>
            </w:pPr>
          </w:p>
        </w:tc>
        <w:tc>
          <w:tcPr>
            <w:tcW w:w="1420" w:type="dxa"/>
            <w:noWrap w:val="0"/>
            <w:vAlign w:val="top"/>
          </w:tcPr>
          <w:p>
            <w:pPr>
              <w:jc w:val="center"/>
              <w:rPr>
                <w:rFonts w:hint="default" w:ascii="Times New Roman" w:hAnsi="Times New Roman" w:cs="Times New Roman"/>
              </w:rPr>
            </w:pPr>
          </w:p>
        </w:tc>
        <w:tc>
          <w:tcPr>
            <w:tcW w:w="1420" w:type="dxa"/>
            <w:noWrap w:val="0"/>
            <w:vAlign w:val="top"/>
          </w:tcPr>
          <w:p>
            <w:pPr>
              <w:jc w:val="center"/>
              <w:rPr>
                <w:rFonts w:hint="default" w:ascii="Times New Roman" w:hAnsi="Times New Roman" w:cs="Times New Roman"/>
              </w:rPr>
            </w:pPr>
          </w:p>
        </w:tc>
        <w:tc>
          <w:tcPr>
            <w:tcW w:w="1733" w:type="dxa"/>
            <w:noWrap w:val="0"/>
            <w:vAlign w:val="top"/>
          </w:tcPr>
          <w:p>
            <w:pPr>
              <w:jc w:val="center"/>
              <w:rPr>
                <w:rFonts w:hint="default" w:ascii="Times New Roman" w:hAnsi="Times New Roman" w:cs="Times New Roman"/>
              </w:rPr>
            </w:pPr>
          </w:p>
        </w:tc>
      </w:tr>
    </w:tbl>
    <w:p>
      <w:pPr>
        <w:numPr>
          <w:ilvl w:val="0"/>
          <w:numId w:val="0"/>
        </w:numPr>
        <w:ind w:leftChars="0"/>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6FDD6"/>
    <w:multiLevelType w:val="singleLevel"/>
    <w:tmpl w:val="1496FDD6"/>
    <w:lvl w:ilvl="0" w:tentative="0">
      <w:start w:val="1"/>
      <w:numFmt w:val="bullet"/>
      <w:lvlText w:val=""/>
      <w:lvlJc w:val="left"/>
      <w:pPr>
        <w:ind w:left="420" w:hanging="420"/>
      </w:pPr>
      <w:rPr>
        <w:rFonts w:hint="default" w:ascii="Wingdings" w:hAnsi="Wingdings"/>
      </w:rPr>
    </w:lvl>
  </w:abstractNum>
  <w:abstractNum w:abstractNumId="1">
    <w:nsid w:val="2ABC2A2B"/>
    <w:multiLevelType w:val="singleLevel"/>
    <w:tmpl w:val="2ABC2A2B"/>
    <w:lvl w:ilvl="0" w:tentative="0">
      <w:start w:val="1"/>
      <w:numFmt w:val="decimal"/>
      <w:suff w:val="space"/>
      <w:lvlText w:val="%1."/>
      <w:lvlJc w:val="left"/>
    </w:lvl>
  </w:abstractNum>
  <w:abstractNum w:abstractNumId="2">
    <w:nsid w:val="47326026"/>
    <w:multiLevelType w:val="singleLevel"/>
    <w:tmpl w:val="47326026"/>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Y2QzNWQ3ZmU3OGRhZTQyZmUzMmE4MWNiMGVmNTMifQ=="/>
  </w:docVars>
  <w:rsids>
    <w:rsidRoot w:val="67C64919"/>
    <w:rsid w:val="007525A6"/>
    <w:rsid w:val="00E13486"/>
    <w:rsid w:val="0156352C"/>
    <w:rsid w:val="020967F0"/>
    <w:rsid w:val="023A109F"/>
    <w:rsid w:val="03710AF1"/>
    <w:rsid w:val="049D3B67"/>
    <w:rsid w:val="04C335CE"/>
    <w:rsid w:val="05C3315A"/>
    <w:rsid w:val="05CB6300"/>
    <w:rsid w:val="06563FCE"/>
    <w:rsid w:val="06764670"/>
    <w:rsid w:val="068A641F"/>
    <w:rsid w:val="070E48A8"/>
    <w:rsid w:val="075C73C2"/>
    <w:rsid w:val="093A1985"/>
    <w:rsid w:val="09AD49AC"/>
    <w:rsid w:val="0A36214C"/>
    <w:rsid w:val="0A63147A"/>
    <w:rsid w:val="0A772667"/>
    <w:rsid w:val="0ADD081A"/>
    <w:rsid w:val="0B0E131B"/>
    <w:rsid w:val="0BCD6AE0"/>
    <w:rsid w:val="0BFE6C9A"/>
    <w:rsid w:val="0C892247"/>
    <w:rsid w:val="0CD10852"/>
    <w:rsid w:val="0D1F336B"/>
    <w:rsid w:val="0D447276"/>
    <w:rsid w:val="0DAB10A3"/>
    <w:rsid w:val="0E884F40"/>
    <w:rsid w:val="0F476BAA"/>
    <w:rsid w:val="0F515A1A"/>
    <w:rsid w:val="107E65FB"/>
    <w:rsid w:val="10A67900"/>
    <w:rsid w:val="11EE77B0"/>
    <w:rsid w:val="12154D3D"/>
    <w:rsid w:val="12575356"/>
    <w:rsid w:val="12654A39"/>
    <w:rsid w:val="130E3DC3"/>
    <w:rsid w:val="133631BD"/>
    <w:rsid w:val="13370CE3"/>
    <w:rsid w:val="13463021"/>
    <w:rsid w:val="13D44784"/>
    <w:rsid w:val="148B7538"/>
    <w:rsid w:val="14955E9E"/>
    <w:rsid w:val="14B22D17"/>
    <w:rsid w:val="14D62EA9"/>
    <w:rsid w:val="15842905"/>
    <w:rsid w:val="16A20B69"/>
    <w:rsid w:val="16D73653"/>
    <w:rsid w:val="1700420E"/>
    <w:rsid w:val="18480EC9"/>
    <w:rsid w:val="1867206B"/>
    <w:rsid w:val="19556746"/>
    <w:rsid w:val="196811FE"/>
    <w:rsid w:val="19864975"/>
    <w:rsid w:val="19D054A2"/>
    <w:rsid w:val="1ABA2925"/>
    <w:rsid w:val="1AEE111D"/>
    <w:rsid w:val="1B103E63"/>
    <w:rsid w:val="1B5B0028"/>
    <w:rsid w:val="1B721452"/>
    <w:rsid w:val="1BB500A8"/>
    <w:rsid w:val="1C0E2F29"/>
    <w:rsid w:val="1C2838BF"/>
    <w:rsid w:val="1C4C1CA3"/>
    <w:rsid w:val="1DB16262"/>
    <w:rsid w:val="20210D51"/>
    <w:rsid w:val="20A21196"/>
    <w:rsid w:val="2111004A"/>
    <w:rsid w:val="21531EB3"/>
    <w:rsid w:val="21584C46"/>
    <w:rsid w:val="221922E6"/>
    <w:rsid w:val="22412CD8"/>
    <w:rsid w:val="22F64717"/>
    <w:rsid w:val="246A53BC"/>
    <w:rsid w:val="25D11953"/>
    <w:rsid w:val="26571970"/>
    <w:rsid w:val="268A0303"/>
    <w:rsid w:val="26F251F5"/>
    <w:rsid w:val="27291DCA"/>
    <w:rsid w:val="280C22E7"/>
    <w:rsid w:val="28321D4D"/>
    <w:rsid w:val="28A16ED3"/>
    <w:rsid w:val="28F811E9"/>
    <w:rsid w:val="291D0C4F"/>
    <w:rsid w:val="2968067B"/>
    <w:rsid w:val="29827E50"/>
    <w:rsid w:val="2A473F23"/>
    <w:rsid w:val="2AA348BC"/>
    <w:rsid w:val="2B3B360F"/>
    <w:rsid w:val="2CEF2903"/>
    <w:rsid w:val="2D4367AA"/>
    <w:rsid w:val="2D8D5C78"/>
    <w:rsid w:val="2DDD09AD"/>
    <w:rsid w:val="2E9A064C"/>
    <w:rsid w:val="2F290D77"/>
    <w:rsid w:val="2F364819"/>
    <w:rsid w:val="2FBB5D2C"/>
    <w:rsid w:val="2FDE27BA"/>
    <w:rsid w:val="3062163D"/>
    <w:rsid w:val="30A13F14"/>
    <w:rsid w:val="310953EC"/>
    <w:rsid w:val="318D6246"/>
    <w:rsid w:val="324C4353"/>
    <w:rsid w:val="32E75E2A"/>
    <w:rsid w:val="333948D8"/>
    <w:rsid w:val="338B4A07"/>
    <w:rsid w:val="34A22009"/>
    <w:rsid w:val="35074561"/>
    <w:rsid w:val="352B4490"/>
    <w:rsid w:val="355770F4"/>
    <w:rsid w:val="36252EF1"/>
    <w:rsid w:val="369C597C"/>
    <w:rsid w:val="37B00EE0"/>
    <w:rsid w:val="37D83F93"/>
    <w:rsid w:val="381C47C8"/>
    <w:rsid w:val="390F1C37"/>
    <w:rsid w:val="392576AC"/>
    <w:rsid w:val="39733157"/>
    <w:rsid w:val="39EF3F42"/>
    <w:rsid w:val="3AC802EF"/>
    <w:rsid w:val="3AD16020"/>
    <w:rsid w:val="3BA725FA"/>
    <w:rsid w:val="3BC1546A"/>
    <w:rsid w:val="3BCC2061"/>
    <w:rsid w:val="3BF5780A"/>
    <w:rsid w:val="3CCA034E"/>
    <w:rsid w:val="3D3673FA"/>
    <w:rsid w:val="3DC254CA"/>
    <w:rsid w:val="3E151A9D"/>
    <w:rsid w:val="3E27118A"/>
    <w:rsid w:val="3EB65311"/>
    <w:rsid w:val="3F3E3276"/>
    <w:rsid w:val="3F416569"/>
    <w:rsid w:val="3F5D7BA0"/>
    <w:rsid w:val="3F656A54"/>
    <w:rsid w:val="3F9904AC"/>
    <w:rsid w:val="3FFD0A3B"/>
    <w:rsid w:val="407D392A"/>
    <w:rsid w:val="40AD06B3"/>
    <w:rsid w:val="412C782A"/>
    <w:rsid w:val="4246532A"/>
    <w:rsid w:val="42FB23EF"/>
    <w:rsid w:val="43336DCF"/>
    <w:rsid w:val="433504EC"/>
    <w:rsid w:val="43397FDC"/>
    <w:rsid w:val="43635059"/>
    <w:rsid w:val="43C33D49"/>
    <w:rsid w:val="43DD305D"/>
    <w:rsid w:val="44613C8E"/>
    <w:rsid w:val="451E1B7F"/>
    <w:rsid w:val="453F5652"/>
    <w:rsid w:val="45421D71"/>
    <w:rsid w:val="459E05CA"/>
    <w:rsid w:val="459E681C"/>
    <w:rsid w:val="45ED6AF1"/>
    <w:rsid w:val="461865CE"/>
    <w:rsid w:val="46935C55"/>
    <w:rsid w:val="46BF5F64"/>
    <w:rsid w:val="46EB66F5"/>
    <w:rsid w:val="470E79D1"/>
    <w:rsid w:val="47543636"/>
    <w:rsid w:val="478B4B7E"/>
    <w:rsid w:val="47AD71EA"/>
    <w:rsid w:val="488D5250"/>
    <w:rsid w:val="489A151D"/>
    <w:rsid w:val="48D6451F"/>
    <w:rsid w:val="48E42798"/>
    <w:rsid w:val="48F74BC1"/>
    <w:rsid w:val="49957F36"/>
    <w:rsid w:val="49A87C69"/>
    <w:rsid w:val="49E50EBD"/>
    <w:rsid w:val="4A477482"/>
    <w:rsid w:val="4A62606A"/>
    <w:rsid w:val="4AA743C5"/>
    <w:rsid w:val="4ABD5996"/>
    <w:rsid w:val="4BC75DFD"/>
    <w:rsid w:val="4C411429"/>
    <w:rsid w:val="4C4579F1"/>
    <w:rsid w:val="4D830A74"/>
    <w:rsid w:val="4DA62712"/>
    <w:rsid w:val="4F0C2A48"/>
    <w:rsid w:val="4F0E67C1"/>
    <w:rsid w:val="4F2204BE"/>
    <w:rsid w:val="4F247DAF"/>
    <w:rsid w:val="4F477F24"/>
    <w:rsid w:val="4F6914C6"/>
    <w:rsid w:val="4FE15C83"/>
    <w:rsid w:val="503B1837"/>
    <w:rsid w:val="50770396"/>
    <w:rsid w:val="50EC48E0"/>
    <w:rsid w:val="50F10148"/>
    <w:rsid w:val="518014CC"/>
    <w:rsid w:val="51A11B6E"/>
    <w:rsid w:val="52483D98"/>
    <w:rsid w:val="53183CF5"/>
    <w:rsid w:val="531E0F9C"/>
    <w:rsid w:val="532A7941"/>
    <w:rsid w:val="53301F7C"/>
    <w:rsid w:val="535A6678"/>
    <w:rsid w:val="536C61AC"/>
    <w:rsid w:val="53C90F08"/>
    <w:rsid w:val="540B7773"/>
    <w:rsid w:val="54554E92"/>
    <w:rsid w:val="54BA798C"/>
    <w:rsid w:val="54FF095A"/>
    <w:rsid w:val="555B0286"/>
    <w:rsid w:val="566B274A"/>
    <w:rsid w:val="56914581"/>
    <w:rsid w:val="56D54068"/>
    <w:rsid w:val="56DF0A43"/>
    <w:rsid w:val="578A1A61"/>
    <w:rsid w:val="57C74619"/>
    <w:rsid w:val="58490869"/>
    <w:rsid w:val="58D8399B"/>
    <w:rsid w:val="5954396A"/>
    <w:rsid w:val="59AD4E28"/>
    <w:rsid w:val="59F42A57"/>
    <w:rsid w:val="5A241579"/>
    <w:rsid w:val="5A6220B6"/>
    <w:rsid w:val="5B321A89"/>
    <w:rsid w:val="5B8322E4"/>
    <w:rsid w:val="5BB57237"/>
    <w:rsid w:val="5CAC6D2A"/>
    <w:rsid w:val="5CE13766"/>
    <w:rsid w:val="5CED3EB9"/>
    <w:rsid w:val="5D284EF1"/>
    <w:rsid w:val="5D72550A"/>
    <w:rsid w:val="5DA14CA4"/>
    <w:rsid w:val="5DF9063C"/>
    <w:rsid w:val="5E086D76"/>
    <w:rsid w:val="5E447901"/>
    <w:rsid w:val="5E563CE0"/>
    <w:rsid w:val="5E6737F7"/>
    <w:rsid w:val="5E9640DD"/>
    <w:rsid w:val="5EBD3D5F"/>
    <w:rsid w:val="5F381638"/>
    <w:rsid w:val="60504E32"/>
    <w:rsid w:val="60B46A9C"/>
    <w:rsid w:val="618B5A4F"/>
    <w:rsid w:val="61D4389A"/>
    <w:rsid w:val="625B7B17"/>
    <w:rsid w:val="6271733B"/>
    <w:rsid w:val="628A21AA"/>
    <w:rsid w:val="632578BD"/>
    <w:rsid w:val="634E4F86"/>
    <w:rsid w:val="63BD3EBA"/>
    <w:rsid w:val="63DB10A0"/>
    <w:rsid w:val="649C61C5"/>
    <w:rsid w:val="64AA2690"/>
    <w:rsid w:val="64AF414A"/>
    <w:rsid w:val="65031DA0"/>
    <w:rsid w:val="65200BA4"/>
    <w:rsid w:val="65247FC2"/>
    <w:rsid w:val="65476131"/>
    <w:rsid w:val="67A05FCC"/>
    <w:rsid w:val="67C64919"/>
    <w:rsid w:val="689E0944"/>
    <w:rsid w:val="697414BE"/>
    <w:rsid w:val="698060B5"/>
    <w:rsid w:val="6A072A7D"/>
    <w:rsid w:val="6A4A07BE"/>
    <w:rsid w:val="6AC00E5F"/>
    <w:rsid w:val="6ACD70D8"/>
    <w:rsid w:val="6B8A321B"/>
    <w:rsid w:val="6BCD65BF"/>
    <w:rsid w:val="6BE7462A"/>
    <w:rsid w:val="6BFD1C3F"/>
    <w:rsid w:val="6C2A305D"/>
    <w:rsid w:val="6C5F32E0"/>
    <w:rsid w:val="6E091601"/>
    <w:rsid w:val="6EAE0FCF"/>
    <w:rsid w:val="6EBF3031"/>
    <w:rsid w:val="6F0D03EB"/>
    <w:rsid w:val="6F685621"/>
    <w:rsid w:val="6FDC1B6B"/>
    <w:rsid w:val="70A22DB5"/>
    <w:rsid w:val="71C54FAD"/>
    <w:rsid w:val="72A252EE"/>
    <w:rsid w:val="72A93F87"/>
    <w:rsid w:val="73CE3DC7"/>
    <w:rsid w:val="73D72D76"/>
    <w:rsid w:val="74082F2F"/>
    <w:rsid w:val="74784559"/>
    <w:rsid w:val="748C0004"/>
    <w:rsid w:val="74DB6895"/>
    <w:rsid w:val="74EC6556"/>
    <w:rsid w:val="74F6722B"/>
    <w:rsid w:val="75CA0DE4"/>
    <w:rsid w:val="76760624"/>
    <w:rsid w:val="76796366"/>
    <w:rsid w:val="76DF45C6"/>
    <w:rsid w:val="77400C32"/>
    <w:rsid w:val="777455FD"/>
    <w:rsid w:val="77BB60D8"/>
    <w:rsid w:val="780600CD"/>
    <w:rsid w:val="782567A5"/>
    <w:rsid w:val="78857244"/>
    <w:rsid w:val="78BB2C66"/>
    <w:rsid w:val="78FD327E"/>
    <w:rsid w:val="79F503F9"/>
    <w:rsid w:val="7B5F5B2A"/>
    <w:rsid w:val="7C134B67"/>
    <w:rsid w:val="7CC540B3"/>
    <w:rsid w:val="7D8A0E59"/>
    <w:rsid w:val="7DBA7990"/>
    <w:rsid w:val="7DC97BD3"/>
    <w:rsid w:val="7E0E3838"/>
    <w:rsid w:val="7E795A6A"/>
    <w:rsid w:val="7FBA5A25"/>
    <w:rsid w:val="7FD20E79"/>
    <w:rsid w:val="7FE84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table" w:styleId="5">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2549</Words>
  <Characters>15588</Characters>
  <Lines>0</Lines>
  <Paragraphs>0</Paragraphs>
  <TotalTime>9</TotalTime>
  <ScaleCrop>false</ScaleCrop>
  <LinksUpToDate>false</LinksUpToDate>
  <CharactersWithSpaces>17837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2024-03-15T08:42:00Z</dcterms:created>
  <dc:creator>HXYY</dc:creator>
  <cp:lastModifiedBy>。。。</cp:lastModifiedBy>
  <dcterms:modified xsi:type="dcterms:W3CDTF">2024-05-30T00:53:07Z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6D7E34EDE9F24A059D088BCB8CB84FA0_11</vt:lpwstr>
  </property>
</Properties>
</file>