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Fecal Microbiota Transplantation (FMT) and Clinical Outcomes among Inflammatory Bowel Disease (IBD) Patients: An Umbrella Review</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Fonts w:ascii="Calibri" w:cs="Calibri" w:eastAsia="Calibri" w:hAnsi="Calibri"/>
          <w:b w:val="1"/>
          <w:i w:val="0"/>
          <w:smallCaps w:val="0"/>
          <w:strike w:val="0"/>
          <w:color w:val="000000"/>
          <w:sz w:val="22"/>
          <w:szCs w:val="22"/>
          <w:highlight w:val="white"/>
          <w:u w:val="none"/>
          <w:vertAlign w:val="baseline"/>
          <w:rtl w:val="0"/>
        </w:rPr>
        <w:t xml:space="preserve">Supplementary materials legend</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highlight w:val="white"/>
          <w:u w:val="none"/>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Supplementary File 1: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Search Strategies</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highlight w:val="white"/>
          <w:u w:val="none"/>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Supplemental Table 1: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Summary of the results of  AMSTAR 2 assessment for each meta-analysis</w:t>
      </w: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 Supplemental Table 2: GRADE Assessment of Fecal Microbiota Transplantation Outcomes in Inflammatory Bowel Disease in umbrella review.</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highlight w:val="white"/>
          <w:u w:val="none"/>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Supplementary Table 3 Summary of the results of GRADE assessment for each meta-analysis included in umbrella review.</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13"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213" w:before="0" w:line="240" w:lineRule="auto"/>
        <w:ind w:left="0" w:right="0" w:firstLine="0"/>
        <w:jc w:val="left"/>
        <w:rPr>
          <w:rFonts w:ascii="Calibri" w:cs="Calibri" w:eastAsia="Calibri" w:hAnsi="Calibri"/>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rPr>
          <w:rFonts w:ascii="Calibri" w:cs="Calibri" w:eastAsia="Calibri" w:hAnsi="Calibri"/>
          <w:b w:val="1"/>
          <w:color w:val="000000"/>
          <w:sz w:val="22"/>
          <w:szCs w:val="22"/>
          <w:u w:val="none"/>
        </w:rPr>
      </w:pPr>
      <w:r w:rsidDel="00000000" w:rsidR="00000000" w:rsidRPr="00000000">
        <w:br w:type="page"/>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Supplementary File 1.  Search Strategies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0"/>
          <w:i w:val="0"/>
          <w:smallCaps w:val="0"/>
          <w:strike w:val="0"/>
          <w:color w:val="000000"/>
          <w:sz w:val="22"/>
          <w:szCs w:val="22"/>
          <w:highlight w:val="white"/>
          <w:u w:val="none"/>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OVID</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highlight w:val="white"/>
          <w:u w:val="none"/>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Search Strategy:</w:t>
      </w:r>
    </w:p>
    <w:tbl>
      <w:tblPr>
        <w:tblStyle w:val="Table1"/>
        <w:tblW w:w="7035.0" w:type="dxa"/>
        <w:jc w:val="left"/>
        <w:tblInd w:w="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315"/>
        <w:gridCol w:w="6720"/>
        <w:tblGridChange w:id="0">
          <w:tblGrid>
            <w:gridCol w:w="315"/>
            <w:gridCol w:w="6720"/>
          </w:tblGrid>
        </w:tblGridChange>
      </w:tblGrid>
      <w:tr>
        <w:trPr>
          <w:cantSplit w:val="0"/>
          <w:trHeight w:val="328" w:hRule="atLeast"/>
          <w:tblHeader w:val="0"/>
        </w:trPr>
        <w:tc>
          <w:tcPr>
            <w:tcBorders>
              <w:top w:color="626262" w:space="0" w:sz="4" w:val="single"/>
              <w:left w:color="626262" w:space="0" w:sz="4" w:val="single"/>
              <w:bottom w:color="626262" w:space="0" w:sz="4" w:val="single"/>
              <w:right w:color="626262" w:space="0" w:sz="4" w:val="single"/>
            </w:tcBorders>
            <w:shd w:fill="ababab" w:val="clear"/>
            <w:tcMar>
              <w:top w:w="80.0" w:type="dxa"/>
              <w:left w:w="80.0" w:type="dxa"/>
              <w:bottom w:w="80.0" w:type="dxa"/>
              <w:right w:w="80.0" w:type="dxa"/>
            </w:tcMar>
            <w:vAlign w:val="center"/>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tc>
        <w:tc>
          <w:tcPr>
            <w:tcBorders>
              <w:top w:color="626262" w:space="0" w:sz="4" w:val="single"/>
              <w:left w:color="626262" w:space="0" w:sz="4" w:val="single"/>
              <w:bottom w:color="626262" w:space="0" w:sz="4" w:val="single"/>
              <w:right w:color="626262" w:space="0" w:sz="4" w:val="single"/>
            </w:tcBorders>
            <w:shd w:fill="ababab" w:val="clear"/>
            <w:tcMar>
              <w:top w:w="80.0" w:type="dxa"/>
              <w:left w:w="80.0" w:type="dxa"/>
              <w:bottom w:w="80.0" w:type="dxa"/>
              <w:right w:w="80.0" w:type="dxa"/>
            </w:tcMar>
            <w:vAlign w:val="center"/>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Searches</w:t>
            </w:r>
          </w:p>
        </w:tc>
      </w:tr>
      <w:tr>
        <w:trPr>
          <w:cantSplit w:val="0"/>
          <w:trHeight w:val="298" w:hRule="atLeast"/>
          <w:tblHeader w:val="0"/>
        </w:trPr>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w:t>
            </w:r>
          </w:p>
        </w:tc>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 Fecal Microbiota Transplantation/</w:t>
            </w:r>
          </w:p>
        </w:tc>
      </w:tr>
      <w:tr>
        <w:trPr>
          <w:cantSplit w:val="0"/>
          <w:trHeight w:val="508" w:hRule="atLeast"/>
          <w:tblHeader w:val="0"/>
        </w:trPr>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w:t>
            </w:r>
          </w:p>
        </w:tc>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(((faecal or faeces or fecal or feces or stool or microbiota) adj3 (infus* or transplant* or transfer* or instill* or reconstitut*)) or bacteriotherap*).ti,ab,hw,kf.</w:t>
            </w:r>
          </w:p>
        </w:tc>
      </w:tr>
      <w:tr>
        <w:trPr>
          <w:cantSplit w:val="0"/>
          <w:trHeight w:val="298" w:hRule="atLeast"/>
          <w:tblHeader w:val="0"/>
        </w:trPr>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w:t>
            </w:r>
          </w:p>
        </w:tc>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 or 2</w:t>
            </w:r>
          </w:p>
        </w:tc>
      </w:tr>
      <w:tr>
        <w:trPr>
          <w:cantSplit w:val="0"/>
          <w:trHeight w:val="508" w:hRule="atLeast"/>
          <w:tblHeader w:val="0"/>
        </w:trPr>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w:t>
            </w:r>
          </w:p>
        </w:tc>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 Inflammatory Bowel Diseases/ or enteritis/ or exp Crohn disease/ or exp ulcerative colitis/</w:t>
            </w:r>
          </w:p>
        </w:tc>
      </w:tr>
      <w:tr>
        <w:trPr>
          <w:cantSplit w:val="0"/>
          <w:trHeight w:val="1258" w:hRule="atLeast"/>
          <w:tblHeader w:val="0"/>
        </w:trPr>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w:t>
            </w:r>
          </w:p>
        </w:tc>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("inflammatory bowel disease*" or "ulcerative colitis" or "crohn disease*" or "crohns disease*" or (crohn* adj disease) or enteritis or ileitis or "inflammatory enteropath*" or "cleron disease" or "morbus crohn" or "regional enterocolitis" or "colitis ulcerativa" or "colitis ulcerosa" or "mucosal colitis" or "ulcerous colitis" or "ulcerative colorectitis" or "ulcerative procto colitis" or "ulcerative proctocolitis").ti,ab,hw,kf.</w:t>
            </w:r>
          </w:p>
        </w:tc>
      </w:tr>
      <w:tr>
        <w:trPr>
          <w:cantSplit w:val="0"/>
          <w:trHeight w:val="298" w:hRule="atLeast"/>
          <w:tblHeader w:val="0"/>
        </w:trPr>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6</w:t>
            </w:r>
          </w:p>
        </w:tc>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 or 5</w:t>
            </w:r>
          </w:p>
        </w:tc>
      </w:tr>
      <w:tr>
        <w:trPr>
          <w:cantSplit w:val="0"/>
          <w:trHeight w:val="298" w:hRule="atLeast"/>
          <w:tblHeader w:val="0"/>
        </w:trPr>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7</w:t>
            </w:r>
          </w:p>
        </w:tc>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 and 6</w:t>
            </w:r>
          </w:p>
        </w:tc>
      </w:tr>
      <w:tr>
        <w:trPr>
          <w:cantSplit w:val="0"/>
          <w:trHeight w:val="508" w:hRule="atLeast"/>
          <w:tblHeader w:val="0"/>
        </w:trPr>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8</w:t>
            </w:r>
          </w:p>
        </w:tc>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(metaanaly* or "meta analy*" or "meta synthes*" or metasynthes* or "umbrella review").ti,ab. or meta-analysis/</w:t>
            </w:r>
          </w:p>
        </w:tc>
      </w:tr>
      <w:tr>
        <w:trPr>
          <w:cantSplit w:val="0"/>
          <w:trHeight w:val="298" w:hRule="atLeast"/>
          <w:tblHeader w:val="0"/>
        </w:trPr>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9</w:t>
            </w:r>
          </w:p>
        </w:tc>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7 and 8</w:t>
            </w:r>
          </w:p>
        </w:tc>
      </w:tr>
      <w:tr>
        <w:trPr>
          <w:cantSplit w:val="0"/>
          <w:trHeight w:val="463" w:hRule="atLeast"/>
          <w:tblHeader w:val="0"/>
        </w:trPr>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10</w:t>
            </w:r>
          </w:p>
        </w:tc>
        <w:tc>
          <w:tcPr>
            <w:tcBorders>
              <w:top w:color="626262" w:space="0" w:sz="4" w:val="single"/>
              <w:left w:color="626262" w:space="0" w:sz="4" w:val="single"/>
              <w:bottom w:color="626262" w:space="0" w:sz="4" w:val="single"/>
              <w:right w:color="626262" w:space="0" w:sz="4" w:val="single"/>
            </w:tcBorders>
            <w:shd w:fill="ffffff" w:val="clear"/>
            <w:tcMar>
              <w:top w:w="80.0" w:type="dxa"/>
              <w:left w:w="80.0" w:type="dxa"/>
              <w:bottom w:w="80.0" w:type="dxa"/>
              <w:right w:w="80.0" w:type="dxa"/>
            </w:tcMar>
            <w:vAlign w:val="center"/>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remove duplicates from 9</w:t>
            </w:r>
          </w:p>
        </w:tc>
      </w:tr>
    </w:tbl>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29">
      <w:pPr>
        <w:rPr>
          <w:rFonts w:ascii="Calibri" w:cs="Calibri" w:eastAsia="Calibri" w:hAnsi="Calibri"/>
          <w:color w:val="000000"/>
          <w:sz w:val="22"/>
          <w:szCs w:val="22"/>
          <w:u w:val="none"/>
        </w:rPr>
      </w:pPr>
      <w:r w:rsidDel="00000000" w:rsidR="00000000" w:rsidRPr="00000000">
        <w:br w:type="page"/>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SCOPUS</w:t>
      </w:r>
    </w:p>
    <w:tbl>
      <w:tblPr>
        <w:tblStyle w:val="Table2"/>
        <w:tblW w:w="7005.0" w:type="dxa"/>
        <w:jc w:val="left"/>
        <w:tblInd w:w="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255"/>
        <w:gridCol w:w="6750"/>
        <w:tblGridChange w:id="0">
          <w:tblGrid>
            <w:gridCol w:w="255"/>
            <w:gridCol w:w="6750"/>
          </w:tblGrid>
        </w:tblGridChange>
      </w:tblGrid>
      <w:tr>
        <w:trPr>
          <w:cantSplit w:val="0"/>
          <w:trHeight w:val="74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240" w:line="276"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TITLE-ABS-KEY (((faecal or faeces or fecal or feces or stool or microbiota) W/3 (infus* or transplant* or transfer* or instill* or reconstitut*)) or bacteriotherap*)</w:t>
            </w:r>
          </w:p>
        </w:tc>
      </w:tr>
      <w:tr>
        <w:trPr>
          <w:cantSplit w:val="0"/>
          <w:trHeight w:val="184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2D">
            <w:pPr>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TITLE-ABS-KEY ("inflammatory bowel disease*" or "ulcerative colitis" or "crohn disease*" or "crohns disease*" or (crohn* adj disease) or enteritis or ileitis or "inflammatory enteropath*" or "cleron disease" or "morbus crohn" or "regional enterocolitis" or "colitis ulcerativa" or "colitis ulcerosa" or "mucosal colitis" or "ulcerous colitis" or "ulcerative colorectitis" or "ulcerative procto colitis" or "ulcerative proctocolitis")</w:t>
            </w:r>
          </w:p>
        </w:tc>
      </w:tr>
      <w:tr>
        <w:trPr>
          <w:cantSplit w:val="0"/>
          <w:trHeight w:val="52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TITLE-ABS-KEY (metaanaly* or "meta analy*" or "meta synthes*" or metasynthes* or "umbrella review")</w:t>
            </w:r>
          </w:p>
        </w:tc>
      </w:tr>
      <w:tr>
        <w:trPr>
          <w:cantSplit w:val="0"/>
          <w:trHeight w:val="2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 and 2 and 3 </w:t>
            </w:r>
          </w:p>
        </w:tc>
      </w:tr>
      <w:tr>
        <w:trPr>
          <w:cantSplit w:val="0"/>
          <w:trHeight w:val="50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INDEX(embase) OR INDEX(medline) OR PMID(0* OR 1* OR 2* OR 3* OR 4* OR 5* OR 6* OR 7* OR 8* OR 9*)</w:t>
            </w:r>
          </w:p>
        </w:tc>
      </w:tr>
      <w:tr>
        <w:trPr>
          <w:cantSplit w:val="0"/>
          <w:trHeight w:val="2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6</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 not 5</w:t>
            </w:r>
          </w:p>
        </w:tc>
      </w:tr>
    </w:tbl>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A">
      <w:pPr>
        <w:rPr>
          <w:rFonts w:ascii="Calibri" w:cs="Calibri" w:eastAsia="Calibri" w:hAnsi="Calibri"/>
          <w:color w:val="000000"/>
          <w:sz w:val="22"/>
          <w:szCs w:val="22"/>
          <w:u w:val="none"/>
        </w:rPr>
        <w:sectPr>
          <w:headerReference r:id="rId7" w:type="default"/>
          <w:footerReference r:id="rId8" w:type="default"/>
          <w:pgSz w:h="15840" w:w="12240" w:orient="portrait"/>
          <w:pgMar w:bottom="1440" w:top="1440" w:left="1440" w:right="1440" w:header="720" w:footer="720"/>
          <w:pgNumType w:start="1"/>
        </w:sectPr>
      </w:pPr>
      <w:r w:rsidDel="00000000" w:rsidR="00000000" w:rsidRPr="00000000">
        <w:br w:type="page"/>
      </w:r>
      <w:r w:rsidDel="00000000" w:rsidR="00000000" w:rsidRPr="00000000">
        <w:rPr>
          <w:rtl w:val="0"/>
        </w:rPr>
      </w:r>
    </w:p>
    <w:p w:rsidR="00000000" w:rsidDel="00000000" w:rsidP="00000000" w:rsidRDefault="00000000" w:rsidRPr="00000000" w14:paraId="0000003B">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Supplementary Table 1: Summary of the results of  AMSTAR 2 assessment for each meta-analysis.</w:t>
      </w:r>
    </w:p>
    <w:p w:rsidR="00000000" w:rsidDel="00000000" w:rsidP="00000000" w:rsidRDefault="00000000" w:rsidRPr="00000000" w14:paraId="0000003C">
      <w:pPr>
        <w:rPr>
          <w:rFonts w:ascii="Calibri" w:cs="Calibri" w:eastAsia="Calibri" w:hAnsi="Calibri"/>
          <w:sz w:val="22"/>
          <w:szCs w:val="22"/>
        </w:rPr>
      </w:pPr>
      <w:r w:rsidDel="00000000" w:rsidR="00000000" w:rsidRPr="00000000">
        <w:rPr>
          <w:rtl w:val="0"/>
        </w:rPr>
      </w:r>
    </w:p>
    <w:tbl>
      <w:tblPr>
        <w:tblStyle w:val="Table3"/>
        <w:tblW w:w="12939.999999999998" w:type="dxa"/>
        <w:jc w:val="left"/>
        <w:tblLayout w:type="fixed"/>
        <w:tblLook w:val="0400"/>
      </w:tblPr>
      <w:tblGrid>
        <w:gridCol w:w="620"/>
        <w:gridCol w:w="1429"/>
        <w:gridCol w:w="445"/>
        <w:gridCol w:w="725"/>
        <w:gridCol w:w="494"/>
        <w:gridCol w:w="1126"/>
        <w:gridCol w:w="437"/>
        <w:gridCol w:w="499"/>
        <w:gridCol w:w="1025"/>
        <w:gridCol w:w="533"/>
        <w:gridCol w:w="590"/>
        <w:gridCol w:w="836"/>
        <w:gridCol w:w="880"/>
        <w:gridCol w:w="502"/>
        <w:gridCol w:w="792"/>
        <w:gridCol w:w="826"/>
        <w:gridCol w:w="575"/>
        <w:gridCol w:w="606"/>
        <w:tblGridChange w:id="0">
          <w:tblGrid>
            <w:gridCol w:w="620"/>
            <w:gridCol w:w="1429"/>
            <w:gridCol w:w="445"/>
            <w:gridCol w:w="725"/>
            <w:gridCol w:w="494"/>
            <w:gridCol w:w="1126"/>
            <w:gridCol w:w="437"/>
            <w:gridCol w:w="499"/>
            <w:gridCol w:w="1025"/>
            <w:gridCol w:w="533"/>
            <w:gridCol w:w="590"/>
            <w:gridCol w:w="836"/>
            <w:gridCol w:w="880"/>
            <w:gridCol w:w="502"/>
            <w:gridCol w:w="792"/>
            <w:gridCol w:w="826"/>
            <w:gridCol w:w="575"/>
            <w:gridCol w:w="606"/>
          </w:tblGrid>
        </w:tblGridChange>
      </w:tblGrid>
      <w:tr>
        <w:trPr>
          <w:cantSplit w:val="0"/>
          <w:trHeight w:val="412" w:hRule="atLeast"/>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3D">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Q</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3E">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Item</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3F">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Shi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0">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Narula et al </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1">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Tan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2">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Paramsothy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3">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Liu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4">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Sun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5">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Scaldaferri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6">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Lam et al </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7">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Zhao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8">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Caldeira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9">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Chehade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A">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Cao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B">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Colman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C">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Costello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D">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Fang et al</w:t>
            </w:r>
          </w:p>
        </w:tc>
        <w:tc>
          <w:tcPr>
            <w:tcBorders>
              <w:top w:color="000000" w:space="0" w:sz="8" w:val="single"/>
              <w:left w:color="000000" w:space="0" w:sz="0" w:val="nil"/>
              <w:bottom w:color="000000" w:space="0" w:sz="8" w:val="single"/>
              <w:right w:color="000000" w:space="0" w:sz="8" w:val="single"/>
            </w:tcBorders>
            <w:shd w:fill="auto" w:val="clear"/>
          </w:tcPr>
          <w:p w:rsidR="00000000" w:rsidDel="00000000" w:rsidP="00000000" w:rsidRDefault="00000000" w:rsidRPr="00000000" w14:paraId="0000004E">
            <w:pP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Dang et al</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04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 Did the research questions and inclusion criteria for the review include the components of PICO?</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5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06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Population</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6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07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Intervention</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7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08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Comparator group</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8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09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Outcome</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9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0A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(Optional) Timeframe for follow-up</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A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0B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B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412"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0C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 Did the report of the review contain an explicit statement that the review methods were established prior to the conduct of the review and did the report justify any significant deviations from the protocol?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C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D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0D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Partial Yes,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E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0F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authors state that they had a written protocol or guide, including (below)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0F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review question(s)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0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1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 search strategy</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1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2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inclusion/exclusion criteria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2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3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 risk of bias assessment</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3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ALSO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4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protocol should be registered</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5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6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 meta-analysis/synthesis plan, if appropriate, and</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7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8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 plan for investigating causes of heterogeneity</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8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9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justification for any deviations from the protocol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9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A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A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B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3. Did the review authors explain their selection of the study designs for inclusion in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B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C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EITHER</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C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D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Explanation for including only RCTs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D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E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OR Explanation for including only NRSI</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E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1F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1F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OR Explanation for including both RCTs and NRSI</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0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1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1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2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 Did the review authors use a comprehensive literature search strategy?</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2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3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Partial Yes,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3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4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searched at least 2 databases (relevant to research question)</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4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5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provided key word and/or search strategy</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5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6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justified publication restrictions (e.g. language)</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6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7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ALSO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7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8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8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searched the reference lists / bibliographies of included studies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9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A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searched trial/study registries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A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B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included/consulted content experts in the field</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B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C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where relevant, searched for grey literature</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C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D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conducted search within 24 months of completion of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D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E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E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2F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5</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5. Did the review authors perform study selection in duplicate?</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2F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0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5</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EITHER</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0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1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1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5</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at least two reviewers independently agreed on selection of eligible studies and achieved consensus on which studies to include</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2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3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5</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OR two reviewers selected a sample of eligible studies and achieved good agreement (at least 80 percent), with the remainder selected by one reviewer.</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3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4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5</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4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5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6</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6. Did the review authors perform data extraction in duplicate?</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5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6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6</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EITHER</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6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7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6</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at least two reviewers achieved consensus on which data to extract from included studies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7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412"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8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6</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OR two reviewers extracted data from a sample of eligible studies and achieved good agreement (at least 80 percent), with the remainder extracted by one reviewer.</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8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9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6</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9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A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A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7</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7. Did the review authors provide a list of excluded studies and justify the exclusions?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B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C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7</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Partial Yes,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C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D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7</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provided a list of all potentially relevant studies that were read in full-text form but excluded from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D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E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7</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ALSO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E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3F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7</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Justified the exclusion from the review of each potentially relevant study</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3F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0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7</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0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1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 Did the review authors describe the included studies in adequate detail?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1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2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Partial Yes,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2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3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3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described populations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4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5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described interventions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5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6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described comparators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6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7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described outcomes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7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8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described research designs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8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9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ALSO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9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A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described population in detail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A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B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described intervention in detail (including doses where relevant)</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B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C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C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described comparator in detail (including doses where relevant)</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D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E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described study’s setting</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E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4F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timeframe for follow-up</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4F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0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0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 Did the review authors use a satisfactory technique for assessing the risk of bias (RoB) in individual studies that were included in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1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2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RCTs included in reviews: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2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3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Partial Yes,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3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4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unconcealed allocation, and</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4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5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5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lack of blinding of patients and assessors when assessing outcomes (unnecessary for objective outcomes such as all-cause mortality)</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6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7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ALSO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7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8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allocation sequence that was not truly random, and</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8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9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selection of the reported result from among multiple measurements or analyses of a specified outcome</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9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A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NRSI included in reviews: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A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B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Partial Yes,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B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C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from confounding, and</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C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D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from selection bias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D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E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5E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ALSO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5F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0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methods used to ascertain exposures and outcomes, and</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0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1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selection of the reported result from among multiple measurements or analyses of a specified outcome</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1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2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2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3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10. Did the review authors report on the sources of funding for the studies included in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3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4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4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412"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5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Must have reported on the sources of funding for individual studies included in the review. Note: Reporting that the reviewers looked for this information but it was not reported by study authors also qualifies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5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6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6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7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7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 If meta-analysis was performed did the review authors use appropriate methods for statistical combination of results?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8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9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RCTs included in reviews: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9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A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A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B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authors justified combining the data in a meta-analysis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B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C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they used an appropriate weighted technique to combine study results and adjusted for heterogeneity if present.</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C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D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investigated the causes of any heterogeneity</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D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E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NRSI included in reviews: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E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6F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6F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0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0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authors justified combining the data in a meta-analysis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1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2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they used an appropriate weighted technique to combine study results, adjusting for heterogeneity if present</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2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412"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3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they statistically combined effect estimates from NRSI that were adjusted for confounding, rather than combining raw data, or justified combining raw data when adjusted effect estimates were not available</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3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4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they reported separate summary estimates for RCTs and NRSI separately when both were included in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4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5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5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412"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6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12. If meta-analysis was performed, did the review authors assess the potential impact of RoB in individual studies on the results of the meta-analysis or other evidence synthesis?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6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7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EITHER</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7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8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included only low risk of bias RCTs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8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9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412"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9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OR, if the pooled estimate was based on RCTs and/or NRSI at variable RoB, the authors performed analyses to investigate possible impact of RoB on summary estimates of effect.</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A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B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12</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B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C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13. Did the review authors account for RoB in individual studies when interpreting/ discussing the results of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C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D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EITHER</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D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E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included only low risk of bias RCTs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E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7F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OR, if RCTs with moderate or high RoB, or NRSI were included the review provided a discussion of the likely impact of RoB on the results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7F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0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13</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0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1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14. Did the review authors provide a satisfactory explanation for, and discussion of, any heterogeneity observed in the results of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1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2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2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EITHER</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3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4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There was no significant heterogeneity in the results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4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412"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5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OR if heterogeneity was present the authors performed an investigation of sources of any heterogeneity in the results and discussed the impact of this on the results of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5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6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14</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6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412"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7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15</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15. If they performed quantitative synthesis did the review authors carry out an adequate investigation of publication bias (small study bias) and discuss its likely impact on the results of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7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8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15</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ALL</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8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9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15</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performed graphical or statistical tests for publication bias and discussed the likelihood and magnitude of impact of publication bias</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9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0</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A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15</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A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B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B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16</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16. Did the review authors report any potential sources of conflict of interest, including any funding they received for conducting the review?</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C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D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16</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Yes, EITHER</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D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E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16</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authors reported no competing interests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E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r>
      <w:tr>
        <w:trPr>
          <w:cantSplit w:val="0"/>
          <w:trHeight w:val="277"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8F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16</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OR The authors described their funding sources and how they managed potential conflicts of interest</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8F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r>
        <w:trPr>
          <w:cantSplit w:val="0"/>
          <w:trHeight w:val="176" w:hRule="atLeast"/>
          <w:tblHeader w:val="0"/>
        </w:trPr>
        <w:tc>
          <w:tcPr>
            <w:tcBorders>
              <w:top w:color="000000" w:space="0" w:sz="0" w:val="nil"/>
              <w:left w:color="000000" w:space="0" w:sz="8" w:val="single"/>
              <w:bottom w:color="000000" w:space="0" w:sz="8" w:val="single"/>
              <w:right w:color="000000" w:space="0" w:sz="8" w:val="single"/>
            </w:tcBorders>
            <w:shd w:fill="auto" w:val="clear"/>
          </w:tcPr>
          <w:p w:rsidR="00000000" w:rsidDel="00000000" w:rsidP="00000000" w:rsidRDefault="00000000" w:rsidRPr="00000000" w14:paraId="0000090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16</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Code result: 0 = No, 1 = Yes, NA</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9">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0F">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1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1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1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1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1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1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1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c>
          <w:tcPr>
            <w:tcBorders>
              <w:top w:color="000000" w:space="0" w:sz="0" w:val="nil"/>
              <w:left w:color="000000" w:space="0" w:sz="0" w:val="nil"/>
              <w:bottom w:color="000000" w:space="0" w:sz="8" w:val="single"/>
              <w:right w:color="000000" w:space="0" w:sz="8" w:val="single"/>
            </w:tcBorders>
            <w:shd w:fill="auto" w:val="clear"/>
          </w:tcPr>
          <w:p w:rsidR="00000000" w:rsidDel="00000000" w:rsidP="00000000" w:rsidRDefault="00000000" w:rsidRPr="00000000" w14:paraId="0000091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tc>
      </w:tr>
    </w:tbl>
    <w:p w:rsidR="00000000" w:rsidDel="00000000" w:rsidP="00000000" w:rsidRDefault="00000000" w:rsidRPr="00000000" w14:paraId="000009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2240" w:w="15840" w:orient="landscape"/>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9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4"/>
        <w:tblW w:w="12951.999999999998"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76"/>
        <w:gridCol w:w="2227"/>
        <w:gridCol w:w="947"/>
        <w:gridCol w:w="2010"/>
        <w:gridCol w:w="1349"/>
        <w:gridCol w:w="1375"/>
        <w:gridCol w:w="1324"/>
        <w:gridCol w:w="1148"/>
        <w:gridCol w:w="1596"/>
        <w:tblGridChange w:id="0">
          <w:tblGrid>
            <w:gridCol w:w="976"/>
            <w:gridCol w:w="2227"/>
            <w:gridCol w:w="947"/>
            <w:gridCol w:w="2010"/>
            <w:gridCol w:w="1349"/>
            <w:gridCol w:w="1375"/>
            <w:gridCol w:w="1324"/>
            <w:gridCol w:w="1148"/>
            <w:gridCol w:w="1596"/>
          </w:tblGrid>
        </w:tblGridChange>
      </w:tblGrid>
      <w:tr>
        <w:trPr>
          <w:cantSplit w:val="0"/>
          <w:trHeight w:val="1775" w:hRule="atLeast"/>
          <w:tblHeader w:val="0"/>
        </w:trPr>
        <w:tc>
          <w:tcPr>
            <w:tcBorders>
              <w:top w:color="d9d9e3" w:space="0" w:sz="4" w:val="single"/>
              <w:left w:color="d9d9e3" w:space="0" w:sz="4" w:val="single"/>
              <w:bottom w:color="d9d9e3" w:space="0" w:sz="4" w:val="single"/>
              <w:right w:color="000000" w:space="0" w:sz="0" w:val="nil"/>
            </w:tcBorders>
            <w:tcMar>
              <w:top w:w="100.0" w:type="dxa"/>
              <w:left w:w="100.0" w:type="dxa"/>
              <w:bottom w:w="100.0" w:type="dxa"/>
              <w:right w:w="100.0" w:type="dxa"/>
            </w:tcMar>
            <w:vAlign w:val="bottom"/>
          </w:tcPr>
          <w:p w:rsidR="00000000" w:rsidDel="00000000" w:rsidP="00000000" w:rsidRDefault="00000000" w:rsidRPr="00000000" w14:paraId="0000091B">
            <w:pPr>
              <w:rPr>
                <w:b w:val="1"/>
                <w:sz w:val="22"/>
                <w:szCs w:val="22"/>
              </w:rPr>
            </w:pPr>
            <w:r w:rsidDel="00000000" w:rsidR="00000000" w:rsidRPr="00000000">
              <w:rPr>
                <w:b w:val="1"/>
                <w:sz w:val="22"/>
                <w:szCs w:val="22"/>
                <w:rtl w:val="0"/>
              </w:rPr>
              <w:t xml:space="preserve">Disease</w:t>
            </w:r>
          </w:p>
        </w:tc>
        <w:tc>
          <w:tcPr>
            <w:tcBorders>
              <w:top w:color="d9d9e3" w:space="0" w:sz="4" w:val="single"/>
              <w:left w:color="d9d9e3" w:space="0" w:sz="4" w:val="single"/>
              <w:bottom w:color="d9d9e3" w:space="0" w:sz="4" w:val="single"/>
              <w:right w:color="000000" w:space="0" w:sz="0" w:val="nil"/>
            </w:tcBorders>
            <w:tcMar>
              <w:top w:w="100.0" w:type="dxa"/>
              <w:left w:w="100.0" w:type="dxa"/>
              <w:bottom w:w="100.0" w:type="dxa"/>
              <w:right w:w="100.0" w:type="dxa"/>
            </w:tcMar>
            <w:vAlign w:val="bottom"/>
          </w:tcPr>
          <w:p w:rsidR="00000000" w:rsidDel="00000000" w:rsidP="00000000" w:rsidRDefault="00000000" w:rsidRPr="00000000" w14:paraId="0000091C">
            <w:pPr>
              <w:rPr>
                <w:b w:val="1"/>
                <w:sz w:val="22"/>
                <w:szCs w:val="22"/>
              </w:rPr>
            </w:pPr>
            <w:r w:rsidDel="00000000" w:rsidR="00000000" w:rsidRPr="00000000">
              <w:rPr>
                <w:b w:val="1"/>
                <w:sz w:val="22"/>
                <w:szCs w:val="22"/>
                <w:rtl w:val="0"/>
              </w:rPr>
              <w:t xml:space="preserve">Outcome</w:t>
            </w:r>
          </w:p>
        </w:tc>
        <w:tc>
          <w:tcPr>
            <w:tcBorders>
              <w:top w:color="d9d9e3" w:space="0" w:sz="4" w:val="single"/>
              <w:left w:color="d9d9e3" w:space="0" w:sz="4" w:val="single"/>
              <w:bottom w:color="d9d9e3" w:space="0" w:sz="4" w:val="single"/>
              <w:right w:color="000000" w:space="0" w:sz="0" w:val="nil"/>
            </w:tcBorders>
            <w:tcMar>
              <w:top w:w="100.0" w:type="dxa"/>
              <w:left w:w="100.0" w:type="dxa"/>
              <w:bottom w:w="100.0" w:type="dxa"/>
              <w:right w:w="100.0" w:type="dxa"/>
            </w:tcMar>
            <w:vAlign w:val="bottom"/>
          </w:tcPr>
          <w:p w:rsidR="00000000" w:rsidDel="00000000" w:rsidP="00000000" w:rsidRDefault="00000000" w:rsidRPr="00000000" w14:paraId="0000091D">
            <w:pPr>
              <w:rPr>
                <w:b w:val="1"/>
                <w:sz w:val="22"/>
                <w:szCs w:val="22"/>
              </w:rPr>
            </w:pPr>
            <w:r w:rsidDel="00000000" w:rsidR="00000000" w:rsidRPr="00000000">
              <w:rPr>
                <w:b w:val="1"/>
                <w:sz w:val="22"/>
                <w:szCs w:val="22"/>
                <w:rtl w:val="0"/>
              </w:rPr>
              <w:t xml:space="preserve">Risk of Bias</w:t>
            </w:r>
          </w:p>
        </w:tc>
        <w:tc>
          <w:tcPr>
            <w:tcBorders>
              <w:top w:color="d9d9e3" w:space="0" w:sz="4" w:val="single"/>
              <w:left w:color="d9d9e3" w:space="0" w:sz="4" w:val="single"/>
              <w:bottom w:color="d9d9e3" w:space="0" w:sz="4" w:val="single"/>
              <w:right w:color="000000" w:space="0" w:sz="0" w:val="nil"/>
            </w:tcBorders>
            <w:tcMar>
              <w:top w:w="100.0" w:type="dxa"/>
              <w:left w:w="100.0" w:type="dxa"/>
              <w:bottom w:w="100.0" w:type="dxa"/>
              <w:right w:w="100.0" w:type="dxa"/>
            </w:tcMar>
            <w:vAlign w:val="bottom"/>
          </w:tcPr>
          <w:p w:rsidR="00000000" w:rsidDel="00000000" w:rsidP="00000000" w:rsidRDefault="00000000" w:rsidRPr="00000000" w14:paraId="0000091E">
            <w:pPr>
              <w:rPr>
                <w:b w:val="1"/>
                <w:sz w:val="22"/>
                <w:szCs w:val="22"/>
              </w:rPr>
            </w:pPr>
            <w:r w:rsidDel="00000000" w:rsidR="00000000" w:rsidRPr="00000000">
              <w:rPr>
                <w:b w:val="1"/>
                <w:sz w:val="22"/>
                <w:szCs w:val="22"/>
                <w:rtl w:val="0"/>
              </w:rPr>
              <w:t xml:space="preserve">Inconsistency Assessment</w:t>
            </w:r>
          </w:p>
        </w:tc>
        <w:tc>
          <w:tcPr>
            <w:tcBorders>
              <w:top w:color="d9d9e3" w:space="0" w:sz="4" w:val="single"/>
              <w:left w:color="d9d9e3" w:space="0" w:sz="4" w:val="single"/>
              <w:bottom w:color="d9d9e3" w:space="0" w:sz="4" w:val="single"/>
              <w:right w:color="000000" w:space="0" w:sz="0" w:val="nil"/>
            </w:tcBorders>
            <w:tcMar>
              <w:top w:w="100.0" w:type="dxa"/>
              <w:left w:w="100.0" w:type="dxa"/>
              <w:bottom w:w="100.0" w:type="dxa"/>
              <w:right w:w="100.0" w:type="dxa"/>
            </w:tcMar>
            <w:vAlign w:val="bottom"/>
          </w:tcPr>
          <w:p w:rsidR="00000000" w:rsidDel="00000000" w:rsidP="00000000" w:rsidRDefault="00000000" w:rsidRPr="00000000" w14:paraId="0000091F">
            <w:pPr>
              <w:rPr>
                <w:b w:val="1"/>
                <w:sz w:val="22"/>
                <w:szCs w:val="22"/>
              </w:rPr>
            </w:pPr>
            <w:r w:rsidDel="00000000" w:rsidR="00000000" w:rsidRPr="00000000">
              <w:rPr>
                <w:b w:val="1"/>
                <w:sz w:val="22"/>
                <w:szCs w:val="22"/>
                <w:rtl w:val="0"/>
              </w:rPr>
              <w:t xml:space="preserve">Indirectness</w:t>
            </w:r>
          </w:p>
        </w:tc>
        <w:tc>
          <w:tcPr>
            <w:tcBorders>
              <w:top w:color="d9d9e3" w:space="0" w:sz="4" w:val="single"/>
              <w:left w:color="d9d9e3" w:space="0" w:sz="4" w:val="single"/>
              <w:bottom w:color="d9d9e3" w:space="0" w:sz="4" w:val="single"/>
              <w:right w:color="000000" w:space="0" w:sz="0" w:val="nil"/>
            </w:tcBorders>
            <w:tcMar>
              <w:top w:w="100.0" w:type="dxa"/>
              <w:left w:w="100.0" w:type="dxa"/>
              <w:bottom w:w="100.0" w:type="dxa"/>
              <w:right w:w="100.0" w:type="dxa"/>
            </w:tcMar>
            <w:vAlign w:val="bottom"/>
          </w:tcPr>
          <w:p w:rsidR="00000000" w:rsidDel="00000000" w:rsidP="00000000" w:rsidRDefault="00000000" w:rsidRPr="00000000" w14:paraId="00000920">
            <w:pPr>
              <w:rPr>
                <w:b w:val="1"/>
                <w:sz w:val="22"/>
                <w:szCs w:val="22"/>
              </w:rPr>
            </w:pPr>
            <w:r w:rsidDel="00000000" w:rsidR="00000000" w:rsidRPr="00000000">
              <w:rPr>
                <w:b w:val="1"/>
                <w:sz w:val="22"/>
                <w:szCs w:val="22"/>
                <w:rtl w:val="0"/>
              </w:rPr>
              <w:t xml:space="preserve">Imprecision</w:t>
            </w:r>
          </w:p>
        </w:tc>
        <w:tc>
          <w:tcPr>
            <w:tcBorders>
              <w:top w:color="d9d9e3" w:space="0" w:sz="4" w:val="single"/>
              <w:left w:color="d9d9e3" w:space="0" w:sz="4" w:val="single"/>
              <w:bottom w:color="d9d9e3" w:space="0" w:sz="4" w:val="single"/>
              <w:right w:color="000000" w:space="0" w:sz="0" w:val="nil"/>
            </w:tcBorders>
            <w:tcMar>
              <w:top w:w="100.0" w:type="dxa"/>
              <w:left w:w="100.0" w:type="dxa"/>
              <w:bottom w:w="100.0" w:type="dxa"/>
              <w:right w:w="100.0" w:type="dxa"/>
            </w:tcMar>
            <w:vAlign w:val="bottom"/>
          </w:tcPr>
          <w:p w:rsidR="00000000" w:rsidDel="00000000" w:rsidP="00000000" w:rsidRDefault="00000000" w:rsidRPr="00000000" w14:paraId="00000921">
            <w:pPr>
              <w:rPr>
                <w:b w:val="1"/>
                <w:sz w:val="22"/>
                <w:szCs w:val="22"/>
              </w:rPr>
            </w:pPr>
            <w:r w:rsidDel="00000000" w:rsidR="00000000" w:rsidRPr="00000000">
              <w:rPr>
                <w:b w:val="1"/>
                <w:sz w:val="22"/>
                <w:szCs w:val="22"/>
                <w:rtl w:val="0"/>
              </w:rPr>
              <w:t xml:space="preserve">Publication Bias</w:t>
            </w:r>
          </w:p>
        </w:tc>
        <w:tc>
          <w:tcPr>
            <w:tcBorders>
              <w:top w:color="d9d9e3" w:space="0" w:sz="4" w:val="single"/>
              <w:left w:color="d9d9e3" w:space="0" w:sz="4" w:val="single"/>
              <w:bottom w:color="d9d9e3" w:space="0" w:sz="4" w:val="single"/>
              <w:right w:color="000000" w:space="0" w:sz="0" w:val="nil"/>
            </w:tcBorders>
            <w:tcMar>
              <w:top w:w="100.0" w:type="dxa"/>
              <w:left w:w="100.0" w:type="dxa"/>
              <w:bottom w:w="100.0" w:type="dxa"/>
              <w:right w:w="100.0" w:type="dxa"/>
            </w:tcMar>
            <w:vAlign w:val="bottom"/>
          </w:tcPr>
          <w:p w:rsidR="00000000" w:rsidDel="00000000" w:rsidP="00000000" w:rsidRDefault="00000000" w:rsidRPr="00000000" w14:paraId="00000922">
            <w:pPr>
              <w:rPr>
                <w:b w:val="1"/>
                <w:sz w:val="22"/>
                <w:szCs w:val="22"/>
              </w:rPr>
            </w:pPr>
            <w:r w:rsidDel="00000000" w:rsidR="00000000" w:rsidRPr="00000000">
              <w:rPr>
                <w:b w:val="1"/>
                <w:sz w:val="22"/>
                <w:szCs w:val="22"/>
                <w:rtl w:val="0"/>
              </w:rPr>
              <w:t xml:space="preserve">Overall Certainty of Evidence</w:t>
            </w:r>
          </w:p>
        </w:tc>
        <w:tc>
          <w:tcPr>
            <w:tcBorders>
              <w:top w:color="d9d9e3" w:space="0" w:sz="4" w:val="single"/>
              <w:left w:color="d9d9e3" w:space="0" w:sz="4" w:val="single"/>
              <w:bottom w:color="d9d9e3" w:space="0" w:sz="4" w:val="single"/>
              <w:right w:color="d9d9e3" w:space="0" w:sz="4" w:val="single"/>
            </w:tcBorders>
            <w:tcMar>
              <w:top w:w="100.0" w:type="dxa"/>
              <w:left w:w="100.0" w:type="dxa"/>
              <w:bottom w:w="100.0" w:type="dxa"/>
              <w:right w:w="100.0" w:type="dxa"/>
            </w:tcMar>
            <w:vAlign w:val="bottom"/>
          </w:tcPr>
          <w:p w:rsidR="00000000" w:rsidDel="00000000" w:rsidP="00000000" w:rsidRDefault="00000000" w:rsidRPr="00000000" w14:paraId="00000923">
            <w:pPr>
              <w:rPr>
                <w:b w:val="1"/>
                <w:sz w:val="22"/>
                <w:szCs w:val="22"/>
              </w:rPr>
            </w:pPr>
            <w:r w:rsidDel="00000000" w:rsidR="00000000" w:rsidRPr="00000000">
              <w:rPr>
                <w:b w:val="1"/>
                <w:sz w:val="22"/>
                <w:szCs w:val="22"/>
                <w:rtl w:val="0"/>
              </w:rPr>
              <w:t xml:space="preserve">Rationale for Overall Certainty of Evidence</w:t>
            </w:r>
          </w:p>
        </w:tc>
      </w:tr>
      <w:tr>
        <w:trPr>
          <w:cantSplit w:val="0"/>
          <w:trHeight w:val="3575" w:hRule="atLeast"/>
          <w:tblHeader w:val="0"/>
        </w:trPr>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4">
            <w:pPr>
              <w:rPr>
                <w:sz w:val="22"/>
                <w:szCs w:val="22"/>
              </w:rPr>
            </w:pPr>
            <w:r w:rsidDel="00000000" w:rsidR="00000000" w:rsidRPr="00000000">
              <w:rPr>
                <w:sz w:val="22"/>
                <w:szCs w:val="22"/>
                <w:rtl w:val="0"/>
              </w:rPr>
              <w:t xml:space="preserve">IBD</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5">
            <w:pPr>
              <w:rPr>
                <w:sz w:val="22"/>
                <w:szCs w:val="22"/>
              </w:rPr>
            </w:pPr>
            <w:r w:rsidDel="00000000" w:rsidR="00000000" w:rsidRPr="00000000">
              <w:rPr>
                <w:sz w:val="22"/>
                <w:szCs w:val="22"/>
                <w:rtl w:val="0"/>
              </w:rPr>
              <w:t xml:space="preserve">Clinical Remission</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6">
            <w:pPr>
              <w:rPr>
                <w:sz w:val="22"/>
                <w:szCs w:val="22"/>
              </w:rPr>
            </w:pPr>
            <w:r w:rsidDel="00000000" w:rsidR="00000000" w:rsidRPr="00000000">
              <w:rPr>
                <w:sz w:val="22"/>
                <w:szCs w:val="22"/>
                <w:rtl w:val="0"/>
              </w:rPr>
              <w:t xml:space="preserve">Serious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7">
            <w:pPr>
              <w:rPr>
                <w:sz w:val="22"/>
                <w:szCs w:val="22"/>
              </w:rPr>
            </w:pPr>
            <w:r w:rsidDel="00000000" w:rsidR="00000000" w:rsidRPr="00000000">
              <w:rPr>
                <w:sz w:val="22"/>
                <w:szCs w:val="22"/>
                <w:rtl w:val="0"/>
              </w:rPr>
              <w:t xml:space="preserve">S (obs), NS (RCTs)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8">
            <w:pPr>
              <w:rPr>
                <w:sz w:val="22"/>
                <w:szCs w:val="22"/>
              </w:rPr>
            </w:pPr>
            <w:r w:rsidDel="00000000" w:rsidR="00000000" w:rsidRPr="00000000">
              <w:rPr>
                <w:sz w:val="22"/>
                <w:szCs w:val="22"/>
                <w:rtl w:val="0"/>
              </w:rPr>
              <w:t xml:space="preserve">NS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9">
            <w:pPr>
              <w:rPr>
                <w:sz w:val="22"/>
                <w:szCs w:val="22"/>
              </w:rPr>
            </w:pPr>
            <w:r w:rsidDel="00000000" w:rsidR="00000000" w:rsidRPr="00000000">
              <w:rPr>
                <w:sz w:val="22"/>
                <w:szCs w:val="22"/>
                <w:rtl w:val="0"/>
              </w:rPr>
              <w:t xml:space="preserve">NS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A">
            <w:pPr>
              <w:rPr>
                <w:sz w:val="22"/>
                <w:szCs w:val="22"/>
              </w:rPr>
            </w:pPr>
            <w:r w:rsidDel="00000000" w:rsidR="00000000" w:rsidRPr="00000000">
              <w:rPr>
                <w:sz w:val="22"/>
                <w:szCs w:val="22"/>
                <w:rtl w:val="0"/>
              </w:rPr>
              <w:t xml:space="preserve">Not reported</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B">
            <w:pPr>
              <w:rPr>
                <w:sz w:val="22"/>
                <w:szCs w:val="22"/>
              </w:rPr>
            </w:pPr>
            <w:r w:rsidDel="00000000" w:rsidR="00000000" w:rsidRPr="00000000">
              <w:rPr>
                <w:sz w:val="22"/>
                <w:szCs w:val="22"/>
                <w:rtl w:val="0"/>
              </w:rPr>
              <w:t xml:space="preserve">Moderate</w:t>
            </w:r>
          </w:p>
        </w:tc>
        <w:tc>
          <w:tcPr>
            <w:tcBorders>
              <w:top w:color="000000" w:space="0" w:sz="0" w:val="nil"/>
              <w:left w:color="d9d9e3" w:space="0" w:sz="4" w:val="single"/>
              <w:bottom w:color="d9d9e3" w:space="0" w:sz="4" w:val="single"/>
              <w:right w:color="d9d9e3" w:space="0" w:sz="4" w:val="single"/>
            </w:tcBorders>
            <w:tcMar>
              <w:top w:w="100.0" w:type="dxa"/>
              <w:left w:w="100.0" w:type="dxa"/>
              <w:bottom w:w="100.0" w:type="dxa"/>
              <w:right w:w="100.0" w:type="dxa"/>
            </w:tcMar>
            <w:vAlign w:val="center"/>
          </w:tcPr>
          <w:p w:rsidR="00000000" w:rsidDel="00000000" w:rsidP="00000000" w:rsidRDefault="00000000" w:rsidRPr="00000000" w14:paraId="0000092C">
            <w:pPr>
              <w:rPr>
                <w:sz w:val="22"/>
                <w:szCs w:val="22"/>
              </w:rPr>
            </w:pPr>
            <w:r w:rsidDel="00000000" w:rsidR="00000000" w:rsidRPr="00000000">
              <w:rPr>
                <w:sz w:val="22"/>
                <w:szCs w:val="22"/>
                <w:rtl w:val="0"/>
              </w:rPr>
              <w:t xml:space="preserve">Moderate due to serious risk of bias balanced by no serious inconsistency, indirectness, or imprecision in RCTs.</w:t>
            </w:r>
          </w:p>
        </w:tc>
      </w:tr>
      <w:tr>
        <w:trPr>
          <w:cantSplit w:val="0"/>
          <w:trHeight w:val="3575" w:hRule="atLeast"/>
          <w:tblHeader w:val="0"/>
        </w:trPr>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D">
            <w:pPr>
              <w:rPr>
                <w:sz w:val="22"/>
                <w:szCs w:val="22"/>
              </w:rPr>
            </w:pPr>
            <w:r w:rsidDel="00000000" w:rsidR="00000000" w:rsidRPr="00000000">
              <w:rPr>
                <w:sz w:val="22"/>
                <w:szCs w:val="22"/>
                <w:rtl w:val="0"/>
              </w:rPr>
              <w:t xml:space="preserve">IBD</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E">
            <w:pPr>
              <w:rPr>
                <w:sz w:val="22"/>
                <w:szCs w:val="22"/>
              </w:rPr>
            </w:pPr>
            <w:r w:rsidDel="00000000" w:rsidR="00000000" w:rsidRPr="00000000">
              <w:rPr>
                <w:sz w:val="22"/>
                <w:szCs w:val="22"/>
                <w:rtl w:val="0"/>
              </w:rPr>
              <w:t xml:space="preserve">Clinical Response</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2F">
            <w:pPr>
              <w:rPr>
                <w:sz w:val="22"/>
                <w:szCs w:val="22"/>
              </w:rPr>
            </w:pPr>
            <w:r w:rsidDel="00000000" w:rsidR="00000000" w:rsidRPr="00000000">
              <w:rPr>
                <w:sz w:val="22"/>
                <w:szCs w:val="22"/>
                <w:rtl w:val="0"/>
              </w:rPr>
              <w:t xml:space="preserve">Serious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0">
            <w:pPr>
              <w:rPr>
                <w:sz w:val="22"/>
                <w:szCs w:val="22"/>
              </w:rPr>
            </w:pPr>
            <w:r w:rsidDel="00000000" w:rsidR="00000000" w:rsidRPr="00000000">
              <w:rPr>
                <w:sz w:val="22"/>
                <w:szCs w:val="22"/>
                <w:rtl w:val="0"/>
              </w:rPr>
              <w:t xml:space="preserve">S (obs), S (RCTs)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1">
            <w:pPr>
              <w:rPr>
                <w:sz w:val="22"/>
                <w:szCs w:val="22"/>
              </w:rPr>
            </w:pPr>
            <w:r w:rsidDel="00000000" w:rsidR="00000000" w:rsidRPr="00000000">
              <w:rPr>
                <w:sz w:val="22"/>
                <w:szCs w:val="22"/>
                <w:rtl w:val="0"/>
              </w:rPr>
              <w:t xml:space="preserve">NS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2">
            <w:pPr>
              <w:rPr>
                <w:sz w:val="22"/>
                <w:szCs w:val="22"/>
              </w:rPr>
            </w:pPr>
            <w:r w:rsidDel="00000000" w:rsidR="00000000" w:rsidRPr="00000000">
              <w:rPr>
                <w:sz w:val="22"/>
                <w:szCs w:val="22"/>
                <w:rtl w:val="0"/>
              </w:rPr>
              <w:t xml:space="preserve">NS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3">
            <w:pPr>
              <w:rPr>
                <w:sz w:val="22"/>
                <w:szCs w:val="22"/>
              </w:rPr>
            </w:pPr>
            <w:r w:rsidDel="00000000" w:rsidR="00000000" w:rsidRPr="00000000">
              <w:rPr>
                <w:sz w:val="22"/>
                <w:szCs w:val="22"/>
                <w:rtl w:val="0"/>
              </w:rPr>
              <w:t xml:space="preserve">Not reported</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4">
            <w:pPr>
              <w:rPr>
                <w:sz w:val="22"/>
                <w:szCs w:val="22"/>
              </w:rPr>
            </w:pPr>
            <w:r w:rsidDel="00000000" w:rsidR="00000000" w:rsidRPr="00000000">
              <w:rPr>
                <w:sz w:val="22"/>
                <w:szCs w:val="22"/>
                <w:rtl w:val="0"/>
              </w:rPr>
              <w:t xml:space="preserve">Low</w:t>
            </w:r>
          </w:p>
        </w:tc>
        <w:tc>
          <w:tcPr>
            <w:tcBorders>
              <w:top w:color="000000" w:space="0" w:sz="0" w:val="nil"/>
              <w:left w:color="d9d9e3" w:space="0" w:sz="4" w:val="single"/>
              <w:bottom w:color="d9d9e3" w:space="0" w:sz="4" w:val="single"/>
              <w:right w:color="d9d9e3" w:space="0" w:sz="4" w:val="single"/>
            </w:tcBorders>
            <w:tcMar>
              <w:top w:w="100.0" w:type="dxa"/>
              <w:left w:w="100.0" w:type="dxa"/>
              <w:bottom w:w="100.0" w:type="dxa"/>
              <w:right w:w="100.0" w:type="dxa"/>
            </w:tcMar>
            <w:vAlign w:val="center"/>
          </w:tcPr>
          <w:p w:rsidR="00000000" w:rsidDel="00000000" w:rsidP="00000000" w:rsidRDefault="00000000" w:rsidRPr="00000000" w14:paraId="00000935">
            <w:pPr>
              <w:rPr>
                <w:sz w:val="22"/>
                <w:szCs w:val="22"/>
              </w:rPr>
            </w:pPr>
            <w:r w:rsidDel="00000000" w:rsidR="00000000" w:rsidRPr="00000000">
              <w:rPr>
                <w:sz w:val="22"/>
                <w:szCs w:val="22"/>
                <w:rtl w:val="0"/>
              </w:rPr>
              <w:t xml:space="preserve">Low due to serious risk of bias and serious inconsistency in both observational studies and RCTs.</w:t>
            </w:r>
          </w:p>
        </w:tc>
      </w:tr>
      <w:tr>
        <w:trPr>
          <w:cantSplit w:val="0"/>
          <w:trHeight w:val="3935" w:hRule="atLeast"/>
          <w:tblHeader w:val="0"/>
        </w:trPr>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6">
            <w:pPr>
              <w:rPr>
                <w:sz w:val="22"/>
                <w:szCs w:val="22"/>
              </w:rPr>
            </w:pPr>
            <w:r w:rsidDel="00000000" w:rsidR="00000000" w:rsidRPr="00000000">
              <w:rPr>
                <w:sz w:val="22"/>
                <w:szCs w:val="22"/>
                <w:rtl w:val="0"/>
              </w:rPr>
              <w:t xml:space="preserve">IBD</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7">
            <w:pPr>
              <w:rPr>
                <w:sz w:val="22"/>
                <w:szCs w:val="22"/>
              </w:rPr>
            </w:pPr>
            <w:r w:rsidDel="00000000" w:rsidR="00000000" w:rsidRPr="00000000">
              <w:rPr>
                <w:sz w:val="22"/>
                <w:szCs w:val="22"/>
                <w:rtl w:val="0"/>
              </w:rPr>
              <w:t xml:space="preserve">Endoscopic Remission/Response</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8">
            <w:pPr>
              <w:rPr>
                <w:sz w:val="22"/>
                <w:szCs w:val="22"/>
              </w:rPr>
            </w:pPr>
            <w:r w:rsidDel="00000000" w:rsidR="00000000" w:rsidRPr="00000000">
              <w:rPr>
                <w:sz w:val="22"/>
                <w:szCs w:val="22"/>
                <w:rtl w:val="0"/>
              </w:rPr>
              <w:t xml:space="preserve">Serious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9">
            <w:pPr>
              <w:rPr>
                <w:sz w:val="22"/>
                <w:szCs w:val="22"/>
              </w:rPr>
            </w:pPr>
            <w:r w:rsidDel="00000000" w:rsidR="00000000" w:rsidRPr="00000000">
              <w:rPr>
                <w:sz w:val="22"/>
                <w:szCs w:val="22"/>
                <w:rtl w:val="0"/>
              </w:rPr>
              <w:t xml:space="preserve">S (obs), NS (RCTs)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A">
            <w:pPr>
              <w:rPr>
                <w:sz w:val="22"/>
                <w:szCs w:val="22"/>
              </w:rPr>
            </w:pPr>
            <w:r w:rsidDel="00000000" w:rsidR="00000000" w:rsidRPr="00000000">
              <w:rPr>
                <w:sz w:val="22"/>
                <w:szCs w:val="22"/>
                <w:rtl w:val="0"/>
              </w:rPr>
              <w:t xml:space="preserve">NS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B">
            <w:pPr>
              <w:rPr>
                <w:sz w:val="22"/>
                <w:szCs w:val="22"/>
              </w:rPr>
            </w:pPr>
            <w:r w:rsidDel="00000000" w:rsidR="00000000" w:rsidRPr="00000000">
              <w:rPr>
                <w:sz w:val="22"/>
                <w:szCs w:val="22"/>
                <w:rtl w:val="0"/>
              </w:rPr>
              <w:t xml:space="preserve">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C">
            <w:pPr>
              <w:rPr>
                <w:sz w:val="22"/>
                <w:szCs w:val="22"/>
              </w:rPr>
            </w:pPr>
            <w:r w:rsidDel="00000000" w:rsidR="00000000" w:rsidRPr="00000000">
              <w:rPr>
                <w:sz w:val="22"/>
                <w:szCs w:val="22"/>
                <w:rtl w:val="0"/>
              </w:rPr>
              <w:t xml:space="preserve">Not reported</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D">
            <w:pPr>
              <w:rPr>
                <w:sz w:val="22"/>
                <w:szCs w:val="22"/>
              </w:rPr>
            </w:pPr>
            <w:r w:rsidDel="00000000" w:rsidR="00000000" w:rsidRPr="00000000">
              <w:rPr>
                <w:sz w:val="22"/>
                <w:szCs w:val="22"/>
                <w:rtl w:val="0"/>
              </w:rPr>
              <w:t xml:space="preserve">Low</w:t>
            </w:r>
          </w:p>
        </w:tc>
        <w:tc>
          <w:tcPr>
            <w:tcBorders>
              <w:top w:color="000000" w:space="0" w:sz="0" w:val="nil"/>
              <w:left w:color="d9d9e3" w:space="0" w:sz="4" w:val="single"/>
              <w:bottom w:color="d9d9e3" w:space="0" w:sz="4" w:val="single"/>
              <w:right w:color="d9d9e3" w:space="0" w:sz="4" w:val="single"/>
            </w:tcBorders>
            <w:tcMar>
              <w:top w:w="100.0" w:type="dxa"/>
              <w:left w:w="100.0" w:type="dxa"/>
              <w:bottom w:w="100.0" w:type="dxa"/>
              <w:right w:w="100.0" w:type="dxa"/>
            </w:tcMar>
            <w:vAlign w:val="center"/>
          </w:tcPr>
          <w:p w:rsidR="00000000" w:rsidDel="00000000" w:rsidP="00000000" w:rsidRDefault="00000000" w:rsidRPr="00000000" w14:paraId="0000093E">
            <w:pPr>
              <w:rPr>
                <w:sz w:val="22"/>
                <w:szCs w:val="22"/>
              </w:rPr>
            </w:pPr>
            <w:r w:rsidDel="00000000" w:rsidR="00000000" w:rsidRPr="00000000">
              <w:rPr>
                <w:sz w:val="22"/>
                <w:szCs w:val="22"/>
                <w:rtl w:val="0"/>
              </w:rPr>
              <w:t xml:space="preserve">Low due to serious risk of bias and serious imprecision, despite no serious inconsistency or indirectness.</w:t>
            </w:r>
          </w:p>
        </w:tc>
      </w:tr>
      <w:tr>
        <w:trPr>
          <w:cantSplit w:val="0"/>
          <w:trHeight w:val="3935" w:hRule="atLeast"/>
          <w:tblHeader w:val="0"/>
        </w:trPr>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3F">
            <w:pPr>
              <w:rPr>
                <w:sz w:val="22"/>
                <w:szCs w:val="22"/>
              </w:rPr>
            </w:pPr>
            <w:r w:rsidDel="00000000" w:rsidR="00000000" w:rsidRPr="00000000">
              <w:rPr>
                <w:sz w:val="22"/>
                <w:szCs w:val="22"/>
                <w:rtl w:val="0"/>
              </w:rPr>
              <w:t xml:space="preserve">IBD</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0">
            <w:pPr>
              <w:rPr>
                <w:sz w:val="22"/>
                <w:szCs w:val="22"/>
              </w:rPr>
            </w:pPr>
            <w:r w:rsidDel="00000000" w:rsidR="00000000" w:rsidRPr="00000000">
              <w:rPr>
                <w:sz w:val="22"/>
                <w:szCs w:val="22"/>
                <w:rtl w:val="0"/>
              </w:rPr>
              <w:t xml:space="preserve">Composite Endpoint of Clinical Remission/Response and Endoscopic Remission/Response</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1">
            <w:pPr>
              <w:rPr>
                <w:sz w:val="22"/>
                <w:szCs w:val="22"/>
              </w:rPr>
            </w:pPr>
            <w:r w:rsidDel="00000000" w:rsidR="00000000" w:rsidRPr="00000000">
              <w:rPr>
                <w:sz w:val="22"/>
                <w:szCs w:val="22"/>
                <w:rtl w:val="0"/>
              </w:rPr>
              <w:t xml:space="preserve">Serious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2">
            <w:pPr>
              <w:rPr>
                <w:sz w:val="22"/>
                <w:szCs w:val="22"/>
              </w:rPr>
            </w:pPr>
            <w:r w:rsidDel="00000000" w:rsidR="00000000" w:rsidRPr="00000000">
              <w:rPr>
                <w:sz w:val="22"/>
                <w:szCs w:val="22"/>
                <w:rtl w:val="0"/>
              </w:rPr>
              <w:t xml:space="preserve">NS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3">
            <w:pPr>
              <w:rPr>
                <w:sz w:val="22"/>
                <w:szCs w:val="22"/>
              </w:rPr>
            </w:pPr>
            <w:r w:rsidDel="00000000" w:rsidR="00000000" w:rsidRPr="00000000">
              <w:rPr>
                <w:sz w:val="22"/>
                <w:szCs w:val="22"/>
                <w:rtl w:val="0"/>
              </w:rPr>
              <w:t xml:space="preserve">NS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4">
            <w:pPr>
              <w:rPr>
                <w:sz w:val="22"/>
                <w:szCs w:val="22"/>
              </w:rPr>
            </w:pPr>
            <w:r w:rsidDel="00000000" w:rsidR="00000000" w:rsidRPr="00000000">
              <w:rPr>
                <w:sz w:val="22"/>
                <w:szCs w:val="22"/>
                <w:rtl w:val="0"/>
              </w:rPr>
              <w:t xml:space="preserve">VS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5">
            <w:pPr>
              <w:rPr>
                <w:sz w:val="22"/>
                <w:szCs w:val="22"/>
              </w:rPr>
            </w:pPr>
            <w:r w:rsidDel="00000000" w:rsidR="00000000" w:rsidRPr="00000000">
              <w:rPr>
                <w:sz w:val="22"/>
                <w:szCs w:val="22"/>
                <w:rtl w:val="0"/>
              </w:rPr>
              <w:t xml:space="preserve">Not reported</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6">
            <w:pPr>
              <w:rPr>
                <w:sz w:val="22"/>
                <w:szCs w:val="22"/>
              </w:rPr>
            </w:pPr>
            <w:r w:rsidDel="00000000" w:rsidR="00000000" w:rsidRPr="00000000">
              <w:rPr>
                <w:sz w:val="22"/>
                <w:szCs w:val="22"/>
                <w:rtl w:val="0"/>
              </w:rPr>
              <w:t xml:space="preserve">Low</w:t>
            </w:r>
          </w:p>
        </w:tc>
        <w:tc>
          <w:tcPr>
            <w:tcBorders>
              <w:top w:color="000000" w:space="0" w:sz="0" w:val="nil"/>
              <w:left w:color="d9d9e3" w:space="0" w:sz="4" w:val="single"/>
              <w:bottom w:color="d9d9e3" w:space="0" w:sz="4" w:val="single"/>
              <w:right w:color="d9d9e3" w:space="0" w:sz="4" w:val="single"/>
            </w:tcBorders>
            <w:tcMar>
              <w:top w:w="100.0" w:type="dxa"/>
              <w:left w:w="100.0" w:type="dxa"/>
              <w:bottom w:w="100.0" w:type="dxa"/>
              <w:right w:w="100.0" w:type="dxa"/>
            </w:tcMar>
            <w:vAlign w:val="center"/>
          </w:tcPr>
          <w:p w:rsidR="00000000" w:rsidDel="00000000" w:rsidP="00000000" w:rsidRDefault="00000000" w:rsidRPr="00000000" w14:paraId="00000947">
            <w:pPr>
              <w:rPr>
                <w:sz w:val="22"/>
                <w:szCs w:val="22"/>
              </w:rPr>
            </w:pPr>
            <w:r w:rsidDel="00000000" w:rsidR="00000000" w:rsidRPr="00000000">
              <w:rPr>
                <w:sz w:val="22"/>
                <w:szCs w:val="22"/>
                <w:rtl w:val="0"/>
              </w:rPr>
              <w:t xml:space="preserve">Low due to serious risk of bias and very serious imprecision, despite no serious inconsistency or indirectness.</w:t>
            </w:r>
          </w:p>
        </w:tc>
      </w:tr>
      <w:tr>
        <w:trPr>
          <w:cantSplit w:val="0"/>
          <w:trHeight w:val="3770" w:hRule="atLeast"/>
          <w:tblHeader w:val="0"/>
        </w:trPr>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8">
            <w:pPr>
              <w:rPr>
                <w:sz w:val="22"/>
                <w:szCs w:val="22"/>
              </w:rPr>
            </w:pPr>
            <w:r w:rsidDel="00000000" w:rsidR="00000000" w:rsidRPr="00000000">
              <w:rPr>
                <w:sz w:val="22"/>
                <w:szCs w:val="22"/>
                <w:rtl w:val="0"/>
              </w:rPr>
              <w:t xml:space="preserve">IBD</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9">
            <w:pPr>
              <w:rPr>
                <w:sz w:val="22"/>
                <w:szCs w:val="22"/>
              </w:rPr>
            </w:pPr>
            <w:r w:rsidDel="00000000" w:rsidR="00000000" w:rsidRPr="00000000">
              <w:rPr>
                <w:sz w:val="22"/>
                <w:szCs w:val="22"/>
                <w:rtl w:val="0"/>
              </w:rPr>
              <w:t xml:space="preserve">Serious Adverse Events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A">
            <w:pPr>
              <w:rPr>
                <w:sz w:val="22"/>
                <w:szCs w:val="22"/>
              </w:rPr>
            </w:pPr>
            <w:r w:rsidDel="00000000" w:rsidR="00000000" w:rsidRPr="00000000">
              <w:rPr>
                <w:sz w:val="22"/>
                <w:szCs w:val="22"/>
                <w:rtl w:val="0"/>
              </w:rPr>
              <w:t xml:space="preserve">Serious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B">
            <w:pPr>
              <w:rPr>
                <w:sz w:val="22"/>
                <w:szCs w:val="22"/>
              </w:rPr>
            </w:pPr>
            <w:r w:rsidDel="00000000" w:rsidR="00000000" w:rsidRPr="00000000">
              <w:rPr>
                <w:sz w:val="22"/>
                <w:szCs w:val="22"/>
                <w:rtl w:val="0"/>
              </w:rPr>
              <w:t xml:space="preserve">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C">
            <w:pPr>
              <w:rPr>
                <w:sz w:val="22"/>
                <w:szCs w:val="22"/>
              </w:rPr>
            </w:pPr>
            <w:r w:rsidDel="00000000" w:rsidR="00000000" w:rsidRPr="00000000">
              <w:rPr>
                <w:sz w:val="22"/>
                <w:szCs w:val="22"/>
                <w:rtl w:val="0"/>
              </w:rPr>
              <w:t xml:space="preserve">NS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D">
            <w:pPr>
              <w:rPr>
                <w:sz w:val="22"/>
                <w:szCs w:val="22"/>
              </w:rPr>
            </w:pPr>
            <w:r w:rsidDel="00000000" w:rsidR="00000000" w:rsidRPr="00000000">
              <w:rPr>
                <w:sz w:val="22"/>
                <w:szCs w:val="22"/>
                <w:rtl w:val="0"/>
              </w:rPr>
              <w:t xml:space="preserve">VS</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E">
            <w:pPr>
              <w:rPr>
                <w:sz w:val="22"/>
                <w:szCs w:val="22"/>
              </w:rPr>
            </w:pPr>
            <w:r w:rsidDel="00000000" w:rsidR="00000000" w:rsidRPr="00000000">
              <w:rPr>
                <w:sz w:val="22"/>
                <w:szCs w:val="22"/>
                <w:rtl w:val="0"/>
              </w:rPr>
              <w:t xml:space="preserve">Not reported</w:t>
            </w:r>
          </w:p>
        </w:tc>
        <w:tc>
          <w:tcPr>
            <w:tcBorders>
              <w:top w:color="000000" w:space="0" w:sz="0" w:val="nil"/>
              <w:left w:color="d9d9e3" w:space="0" w:sz="4" w:val="single"/>
              <w:bottom w:color="d9d9e3" w:space="0" w:sz="4"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94F">
            <w:pPr>
              <w:rPr>
                <w:sz w:val="22"/>
                <w:szCs w:val="22"/>
              </w:rPr>
            </w:pPr>
            <w:r w:rsidDel="00000000" w:rsidR="00000000" w:rsidRPr="00000000">
              <w:rPr>
                <w:sz w:val="22"/>
                <w:szCs w:val="22"/>
                <w:rtl w:val="0"/>
              </w:rPr>
              <w:t xml:space="preserve">Very Low</w:t>
            </w:r>
          </w:p>
        </w:tc>
        <w:tc>
          <w:tcPr>
            <w:tcBorders>
              <w:top w:color="000000" w:space="0" w:sz="0" w:val="nil"/>
              <w:left w:color="d9d9e3" w:space="0" w:sz="4" w:val="single"/>
              <w:bottom w:color="d9d9e3" w:space="0" w:sz="4" w:val="single"/>
              <w:right w:color="d9d9e3" w:space="0" w:sz="4" w:val="single"/>
            </w:tcBorders>
            <w:tcMar>
              <w:top w:w="100.0" w:type="dxa"/>
              <w:left w:w="100.0" w:type="dxa"/>
              <w:bottom w:w="100.0" w:type="dxa"/>
              <w:right w:w="100.0" w:type="dxa"/>
            </w:tcMar>
            <w:vAlign w:val="center"/>
          </w:tcPr>
          <w:p w:rsidR="00000000" w:rsidDel="00000000" w:rsidP="00000000" w:rsidRDefault="00000000" w:rsidRPr="00000000" w14:paraId="00000950">
            <w:pPr>
              <w:rPr>
                <w:sz w:val="22"/>
                <w:szCs w:val="22"/>
              </w:rPr>
            </w:pPr>
            <w:r w:rsidDel="00000000" w:rsidR="00000000" w:rsidRPr="00000000">
              <w:rPr>
                <w:sz w:val="22"/>
                <w:szCs w:val="22"/>
                <w:rtl w:val="0"/>
              </w:rPr>
              <w:t xml:space="preserve">Very Low due to serious risk of bias, serious inconsistency, and very serious imprecision, significantly impacting certainty.</w:t>
            </w:r>
          </w:p>
        </w:tc>
      </w:tr>
    </w:tbl>
    <w:p w:rsidR="00000000" w:rsidDel="00000000" w:rsidP="00000000" w:rsidRDefault="00000000" w:rsidRPr="00000000" w14:paraId="00000951">
      <w:pPr>
        <w:keepNext w:val="0"/>
        <w:keepLines w:val="0"/>
        <w:pageBreakBefore w:val="0"/>
        <w:widowControl w:val="1"/>
        <w:pBdr>
          <w:top w:space="0" w:sz="0" w:val="nil"/>
          <w:left w:space="0" w:sz="0" w:val="nil"/>
          <w:bottom w:space="0" w:sz="0" w:val="nil"/>
          <w:right w:space="0" w:sz="0" w:val="nil"/>
          <w:between w:space="0" w:sz="0" w:val="nil"/>
        </w:pBdr>
        <w:shd w:fill="auto" w:val="clear"/>
        <w:spacing w:after="213" w:before="0" w:line="240"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bookmarkStart w:colFirst="0" w:colLast="0" w:name="_heading=h.gjdgxs" w:id="0"/>
      <w:bookmarkEnd w:id="0"/>
      <w:r w:rsidDel="00000000" w:rsidR="00000000" w:rsidRPr="00000000">
        <w:rPr>
          <w:rFonts w:ascii="Calibri" w:cs="Calibri" w:eastAsia="Calibri" w:hAnsi="Calibri"/>
          <w:b w:val="1"/>
          <w:i w:val="0"/>
          <w:smallCaps w:val="0"/>
          <w:strike w:val="0"/>
          <w:color w:val="000000"/>
          <w:sz w:val="22"/>
          <w:szCs w:val="22"/>
          <w:highlight w:val="white"/>
          <w:u w:val="none"/>
          <w:vertAlign w:val="baseline"/>
          <w:rtl w:val="0"/>
        </w:rPr>
        <w:t xml:space="preserve">Supplemental Table 2: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GRADE Assessment of Fecal Microbiota Transplantation Outcomes in Inflammatory Bowel Disease </w:t>
      </w:r>
      <w:r w:rsidDel="00000000" w:rsidR="00000000" w:rsidRPr="00000000">
        <w:rPr>
          <w:rFonts w:ascii="Calibri" w:cs="Calibri" w:eastAsia="Calibri" w:hAnsi="Calibri"/>
          <w:b w:val="1"/>
          <w:i w:val="0"/>
          <w:smallCaps w:val="0"/>
          <w:strike w:val="0"/>
          <w:color w:val="000000"/>
          <w:sz w:val="22"/>
          <w:szCs w:val="22"/>
          <w:highlight w:val="white"/>
          <w:u w:val="none"/>
          <w:vertAlign w:val="baseline"/>
          <w:rtl w:val="0"/>
        </w:rPr>
        <w:t xml:space="preserve">in umbrella review</w:t>
      </w:r>
      <w:r w:rsidDel="00000000" w:rsidR="00000000" w:rsidRPr="00000000">
        <w:rPr>
          <w:rtl w:val="0"/>
        </w:rPr>
      </w:r>
    </w:p>
    <w:p w:rsidR="00000000" w:rsidDel="00000000" w:rsidP="00000000" w:rsidRDefault="00000000" w:rsidRPr="00000000" w14:paraId="00000952">
      <w:pPr>
        <w:rPr>
          <w:rFonts w:ascii="Calibri" w:cs="Calibri" w:eastAsia="Calibri" w:hAnsi="Calibri"/>
          <w:b w:val="1"/>
          <w:color w:val="000000"/>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953">
      <w:pPr>
        <w:jc w:val="center"/>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Supplementary Table 3 Summary of the results of GRADE assessment for each meta-analysis included in umbrella review.</w:t>
      </w:r>
    </w:p>
    <w:p w:rsidR="00000000" w:rsidDel="00000000" w:rsidP="00000000" w:rsidRDefault="00000000" w:rsidRPr="00000000" w14:paraId="00000954">
      <w:pPr>
        <w:rPr>
          <w:rFonts w:ascii="Helvetica Neue" w:cs="Helvetica Neue" w:eastAsia="Helvetica Neue" w:hAnsi="Helvetica Neue"/>
          <w:sz w:val="20"/>
          <w:szCs w:val="20"/>
        </w:rPr>
      </w:pPr>
      <w:r w:rsidDel="00000000" w:rsidR="00000000" w:rsidRPr="00000000">
        <w:rPr>
          <w:rtl w:val="0"/>
        </w:rPr>
      </w:r>
    </w:p>
    <w:tbl>
      <w:tblPr>
        <w:tblStyle w:val="Table5"/>
        <w:tblW w:w="1295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03"/>
        <w:gridCol w:w="1109"/>
        <w:gridCol w:w="2200"/>
        <w:gridCol w:w="676"/>
        <w:gridCol w:w="1715"/>
        <w:gridCol w:w="1513"/>
        <w:gridCol w:w="1464"/>
        <w:gridCol w:w="1415"/>
        <w:gridCol w:w="1293"/>
        <w:gridCol w:w="168"/>
        <w:tblGridChange w:id="0">
          <w:tblGrid>
            <w:gridCol w:w="1403"/>
            <w:gridCol w:w="1109"/>
            <w:gridCol w:w="2200"/>
            <w:gridCol w:w="676"/>
            <w:gridCol w:w="1715"/>
            <w:gridCol w:w="1513"/>
            <w:gridCol w:w="1464"/>
            <w:gridCol w:w="1415"/>
            <w:gridCol w:w="1293"/>
            <w:gridCol w:w="168"/>
          </w:tblGrid>
        </w:tblGridChange>
      </w:tblGrid>
      <w:tr>
        <w:trPr>
          <w:cantSplit w:val="0"/>
          <w:trHeight w:val="690" w:hRule="atLeast"/>
          <w:tblHeader w:val="0"/>
        </w:trPr>
        <w:tc>
          <w:tcPr>
            <w:vMerge w:val="restart"/>
            <w:tcBorders>
              <w:top w:color="000000" w:space="0" w:sz="4" w:val="single"/>
              <w:left w:color="000000" w:space="0" w:sz="4" w:val="single"/>
              <w:bottom w:color="000000" w:space="0" w:sz="4" w:val="single"/>
              <w:right w:color="000000" w:space="0" w:sz="4" w:val="single"/>
            </w:tcBorders>
            <w:tcMar>
              <w:top w:w="60.0" w:type="dxa"/>
              <w:left w:w="60.0" w:type="dxa"/>
              <w:bottom w:w="60.0" w:type="dxa"/>
              <w:right w:w="60.0" w:type="dxa"/>
            </w:tcMar>
          </w:tcPr>
          <w:p w:rsidR="00000000" w:rsidDel="00000000" w:rsidP="00000000" w:rsidRDefault="00000000" w:rsidRPr="00000000" w14:paraId="0000095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Source</w:t>
            </w:r>
          </w:p>
        </w:tc>
        <w:tc>
          <w:tcPr>
            <w:vMerge w:val="restart"/>
            <w:tcBorders>
              <w:top w:color="000000" w:space="0" w:sz="4" w:val="single"/>
              <w:left w:color="000000" w:space="0" w:sz="4" w:val="single"/>
              <w:bottom w:color="000000" w:space="0" w:sz="4" w:val="single"/>
              <w:right w:color="000000" w:space="0" w:sz="4" w:val="single"/>
            </w:tcBorders>
            <w:tcMar>
              <w:top w:w="60.0" w:type="dxa"/>
              <w:left w:w="60.0" w:type="dxa"/>
              <w:bottom w:w="60.0" w:type="dxa"/>
              <w:right w:w="60.0" w:type="dxa"/>
            </w:tcMar>
          </w:tcPr>
          <w:p w:rsidR="00000000" w:rsidDel="00000000" w:rsidP="00000000" w:rsidRDefault="00000000" w:rsidRPr="00000000" w14:paraId="0000095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Disease</w:t>
            </w:r>
          </w:p>
        </w:tc>
        <w:tc>
          <w:tcPr>
            <w:vMerge w:val="restart"/>
            <w:tcBorders>
              <w:top w:color="000000" w:space="0" w:sz="4" w:val="single"/>
              <w:left w:color="000000" w:space="0" w:sz="4" w:val="single"/>
              <w:bottom w:color="000000" w:space="0" w:sz="4" w:val="single"/>
              <w:right w:color="000000" w:space="0" w:sz="4" w:val="single"/>
            </w:tcBorders>
            <w:tcMar>
              <w:top w:w="60.0" w:type="dxa"/>
              <w:left w:w="60.0" w:type="dxa"/>
              <w:bottom w:w="60.0" w:type="dxa"/>
              <w:right w:w="60.0" w:type="dxa"/>
            </w:tcMar>
          </w:tcPr>
          <w:p w:rsidR="00000000" w:rsidDel="00000000" w:rsidP="00000000" w:rsidRDefault="00000000" w:rsidRPr="00000000" w14:paraId="0000095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Outcome</w:t>
            </w:r>
          </w:p>
        </w:tc>
        <w:tc>
          <w:tcPr>
            <w:gridSpan w:val="6"/>
            <w:tcBorders>
              <w:top w:color="000000" w:space="0" w:sz="4" w:val="single"/>
              <w:left w:color="000000" w:space="0" w:sz="4" w:val="single"/>
              <w:bottom w:color="000000" w:space="0" w:sz="4" w:val="single"/>
              <w:right w:color="000000" w:space="0" w:sz="4" w:val="single"/>
            </w:tcBorders>
            <w:tcMar>
              <w:top w:w="60.0" w:type="dxa"/>
              <w:left w:w="60.0" w:type="dxa"/>
              <w:bottom w:w="60.0" w:type="dxa"/>
              <w:right w:w="60.0" w:type="dxa"/>
            </w:tcMar>
          </w:tcPr>
          <w:p w:rsidR="00000000" w:rsidDel="00000000" w:rsidP="00000000" w:rsidRDefault="00000000" w:rsidRPr="00000000" w14:paraId="0000095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GRADE evidence (Not serious (NS), serious (S),</w:t>
            </w:r>
          </w:p>
          <w:p w:rsidR="00000000" w:rsidDel="00000000" w:rsidP="00000000" w:rsidRDefault="00000000" w:rsidRPr="00000000" w14:paraId="0000095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serious (VS))</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5F">
            <w:pPr>
              <w:widowControl w:val="0"/>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60.0" w:type="dxa"/>
              <w:left w:w="60.0" w:type="dxa"/>
              <w:bottom w:w="60.0" w:type="dxa"/>
              <w:right w:w="60.0" w:type="dxa"/>
            </w:tcMar>
          </w:tcPr>
          <w:p w:rsidR="00000000" w:rsidDel="00000000" w:rsidP="00000000" w:rsidRDefault="00000000" w:rsidRPr="00000000" w14:paraId="000009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60.0" w:type="dxa"/>
              <w:left w:w="60.0" w:type="dxa"/>
              <w:bottom w:w="60.0" w:type="dxa"/>
              <w:right w:w="60.0" w:type="dxa"/>
            </w:tcMar>
          </w:tcPr>
          <w:p w:rsidR="00000000" w:rsidDel="00000000" w:rsidP="00000000" w:rsidRDefault="00000000" w:rsidRPr="00000000" w14:paraId="000009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60.0" w:type="dxa"/>
              <w:left w:w="60.0" w:type="dxa"/>
              <w:bottom w:w="60.0" w:type="dxa"/>
              <w:right w:w="60.0" w:type="dxa"/>
            </w:tcMar>
          </w:tcPr>
          <w:p w:rsidR="00000000" w:rsidDel="00000000" w:rsidP="00000000" w:rsidRDefault="00000000" w:rsidRPr="00000000" w14:paraId="000009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Risk of bias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Inconsistency, </w:t>
            </w:r>
            <w:r w:rsidDel="00000000" w:rsidR="00000000" w:rsidRPr="00000000">
              <w:rPr>
                <w:rFonts w:ascii="Helvetica Neue" w:cs="Helvetica Neue" w:eastAsia="Helvetica Neue" w:hAnsi="Helvetica Neue"/>
                <w:i w:val="1"/>
                <w:sz w:val="20"/>
                <w:szCs w:val="20"/>
                <w:rtl w:val="0"/>
              </w:rPr>
              <w:t xml:space="preserve">I</w:t>
            </w:r>
            <w:r w:rsidDel="00000000" w:rsidR="00000000" w:rsidRPr="00000000">
              <w:rPr>
                <w:rFonts w:ascii="Helvetica Neue" w:cs="Helvetica Neue" w:eastAsia="Helvetica Neue" w:hAnsi="Helvetica Neue"/>
                <w:sz w:val="20"/>
                <w:szCs w:val="20"/>
                <w:vertAlign w:val="superscript"/>
                <w:rtl w:val="0"/>
              </w:rPr>
              <w:t xml:space="preserve">2</w:t>
            </w:r>
            <w:r w:rsidDel="00000000" w:rsidR="00000000" w:rsidRPr="00000000">
              <w:rPr>
                <w:rFonts w:ascii="Helvetica Neue" w:cs="Helvetica Neue" w:eastAsia="Helvetica Neue" w:hAnsi="Helvetica Neue"/>
                <w:sz w:val="20"/>
                <w:szCs w:val="20"/>
                <w:rtl w:val="0"/>
              </w:rPr>
              <w:t xml:space="preserve">, %</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Indirectness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Imprecision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Publication bias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Overall certainty of evidence</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69">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A">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Cao</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B">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 </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C">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6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High</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73">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4">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5">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6">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8">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High</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7D">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E">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Chehade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7F">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0">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Combined Clinical and Endoscopic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87">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8">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9">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A">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Endoscopic remission or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8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91">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2">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3">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4">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 or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NS47</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9B">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C">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D">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E">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Specific Adverse events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9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A5">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6">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Cladeira</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7">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IBD</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8">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NS45</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A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High</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AF">
            <w:pPr>
              <w:rPr>
                <w:rFonts w:ascii="Helvetica Neue" w:cs="Helvetica Neue" w:eastAsia="Helvetica Neue" w:hAnsi="Helvetica Neue"/>
                <w:sz w:val="20"/>
                <w:szCs w:val="20"/>
              </w:rPr>
            </w:pPr>
            <w:r w:rsidDel="00000000" w:rsidR="00000000" w:rsidRPr="00000000">
              <w:rPr>
                <w:rtl w:val="0"/>
              </w:rPr>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0">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1">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2">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S55</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High</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B9">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A">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B">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C">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Adverse events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NA</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B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C3">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4">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Colman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5">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IBD</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6">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 Cohort</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NS37</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CD">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E">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CF">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0">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D7">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8">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9">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CD</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A">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 </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NS37</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D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E1">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2">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Costello</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3">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4">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EB">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C">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D">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E">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E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S52</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F5">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6">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7">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8">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Endoscopic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9F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9FF">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0">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Dang</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1">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2">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S52</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09">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A">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B">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C">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0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2">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13">
            <w:pPr>
              <w:rPr>
                <w:rFonts w:ascii="Helvetica Neue" w:cs="Helvetica Neue" w:eastAsia="Helvetica Neue" w:hAnsi="Helvetica Neue"/>
                <w:sz w:val="20"/>
                <w:szCs w:val="20"/>
              </w:rPr>
            </w:pPr>
            <w:r w:rsidDel="00000000" w:rsidR="00000000" w:rsidRPr="00000000">
              <w:rPr>
                <w:rtl w:val="0"/>
              </w:rPr>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4">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Lam</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5">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6">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1D">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E">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1F">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0">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NS49</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27">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8">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9">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A">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Steroid-free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S69</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2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31">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2">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3">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4">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Serious adverse events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3B">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C">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Liu</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D">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E">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Combined clinical remission with endoscopic remission/response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3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high</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45">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6">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7">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8">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4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high</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4F">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0">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1">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2">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Endoscopic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NS6</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high</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59">
            <w:pPr>
              <w:rPr>
                <w:rFonts w:ascii="Helvetica Neue" w:cs="Helvetica Neue" w:eastAsia="Helvetica Neue" w:hAnsi="Helvetica Neue"/>
                <w:sz w:val="20"/>
                <w:szCs w:val="20"/>
              </w:rPr>
            </w:pP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A">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B">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C">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Serious adverse events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5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high</w:t>
            </w:r>
          </w:p>
        </w:tc>
        <w:tc>
          <w:tcPr>
            <w:tcBorders>
              <w:top w:color="000000" w:space="0" w:sz="0" w:val="nil"/>
              <w:left w:color="000000" w:space="0" w:sz="4" w:val="single"/>
              <w:bottom w:color="000000" w:space="0" w:sz="0" w:val="nil"/>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63">
            <w:pPr>
              <w:rPr>
                <w:rFonts w:ascii="Helvetica Neue" w:cs="Helvetica Neue" w:eastAsia="Helvetica Neue" w:hAnsi="Helvetica Neue"/>
                <w:sz w:val="20"/>
                <w:szCs w:val="20"/>
              </w:rPr>
            </w:pPr>
            <w:r w:rsidDel="00000000" w:rsidR="00000000" w:rsidRPr="00000000">
              <w:rPr>
                <w:rtl w:val="0"/>
              </w:rPr>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4">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Narula</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5">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6">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Combined clinical and endoscopic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c>
          <w:tcPr>
            <w:tcBorders>
              <w:top w:color="000000" w:space="0" w:sz="0" w:val="nil"/>
              <w:left w:color="000000" w:space="0" w:sz="4" w:val="single"/>
              <w:bottom w:color="000000" w:space="0" w:sz="4" w:val="single"/>
              <w:right w:color="000000" w:space="0" w:sz="0" w:val="nil"/>
            </w:tcBorders>
            <w:shd w:fill="auto" w:val="clear"/>
            <w:tcMar>
              <w:top w:w="60.0" w:type="dxa"/>
              <w:left w:w="60.0" w:type="dxa"/>
              <w:bottom w:w="60.0" w:type="dxa"/>
              <w:right w:w="60.0" w:type="dxa"/>
            </w:tcMar>
          </w:tcPr>
          <w:p w:rsidR="00000000" w:rsidDel="00000000" w:rsidP="00000000" w:rsidRDefault="00000000" w:rsidRPr="00000000" w14:paraId="00000A6D">
            <w:pPr>
              <w:rPr>
                <w:rFonts w:ascii="Helvetica Neue" w:cs="Helvetica Neue" w:eastAsia="Helvetica Neue" w:hAnsi="Helvetica Neue"/>
                <w:sz w:val="20"/>
                <w:szCs w:val="20"/>
              </w:rPr>
            </w:pPr>
            <w:r w:rsidDel="00000000" w:rsidR="00000000" w:rsidRPr="00000000">
              <w:rPr>
                <w:rtl w:val="0"/>
              </w:rPr>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E">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6F">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0">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NS31</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7">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8">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9">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Endoscopic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S77</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7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0">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1">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2">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Serious adverse events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9">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Paramsothy</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A">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CD</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B">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S71</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8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2">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3">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CD</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4">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S52</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B">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C">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Pouchitis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D">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9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NA</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1">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r>
      <w:tr>
        <w:trPr>
          <w:cantSplit w:val="0"/>
          <w:trHeight w:val="135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4">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5">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6">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S54</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D">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E">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AF">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S58</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6">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Scaldaferi</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7">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8">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S68</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BF">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Shi</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0">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1">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NS37</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8">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9">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A">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NS40</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C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1">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2">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3">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Adverse events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NA</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A">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B">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C">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Mucosal healing </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NA</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D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3">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4">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5">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quality of life assessment</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NA</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C">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Sun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D">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E">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E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NS33</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5">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Tan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6">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IBD</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7">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9">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NS38</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r>
      <w:tr>
        <w:trPr>
          <w:cantSplit w:val="0"/>
          <w:trHeight w:val="135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E">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AFF">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0">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response</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2">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S51</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Very 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7">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Zhao</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8">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UC</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9">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 </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A">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B">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S61</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0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0">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1">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2">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Clinical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3">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4">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S69</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5">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6">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7">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8">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9">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A">
            <w:pPr>
              <w:widowControl w:val="0"/>
              <w:rPr>
                <w:rFonts w:ascii="Helvetica Neue" w:cs="Helvetica Neue" w:eastAsia="Helvetica Neue" w:hAnsi="Helvetica Neu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B">
            <w:pPr>
              <w:spacing w:after="1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Endoscopic remission</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C">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D">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S68</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E">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1F">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20">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NS</w:t>
            </w:r>
          </w:p>
        </w:tc>
        <w:tc>
          <w:tcPr>
            <w:tcBorders>
              <w:top w:color="000000" w:space="0" w:sz="4" w:val="single"/>
              <w:left w:color="000000" w:space="0" w:sz="4" w:val="single"/>
              <w:bottom w:color="000000" w:space="0" w:sz="4" w:val="single"/>
              <w:right w:color="000000" w:space="0" w:sz="4" w:val="single"/>
            </w:tcBorders>
            <w:shd w:fill="auto" w:val="clear"/>
            <w:tcMar>
              <w:top w:w="60.0" w:type="dxa"/>
              <w:left w:w="60.0" w:type="dxa"/>
              <w:bottom w:w="60.0" w:type="dxa"/>
              <w:right w:w="60.0" w:type="dxa"/>
            </w:tcMar>
          </w:tcPr>
          <w:p w:rsidR="00000000" w:rsidDel="00000000" w:rsidP="00000000" w:rsidRDefault="00000000" w:rsidRPr="00000000" w14:paraId="00000B21">
            <w:pPr>
              <w:spacing w:after="120" w:lineRule="auto"/>
              <w:ind w:left="8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w:t>
            </w:r>
          </w:p>
        </w:tc>
      </w:tr>
    </w:tbl>
    <w:p w:rsidR="00000000" w:rsidDel="00000000" w:rsidP="00000000" w:rsidRDefault="00000000" w:rsidRPr="00000000" w14:paraId="00000B22">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B23">
      <w:pPr>
        <w:rPr>
          <w:rFonts w:ascii="Helvetica Neue" w:cs="Helvetica Neue" w:eastAsia="Helvetica Neue" w:hAnsi="Helvetica Neue"/>
          <w:sz w:val="20"/>
          <w:szCs w:val="20"/>
        </w:rPr>
      </w:pPr>
      <w:r w:rsidDel="00000000" w:rsidR="00000000" w:rsidRPr="00000000">
        <w:br w:type="page"/>
      </w:r>
      <w:r w:rsidDel="00000000" w:rsidR="00000000" w:rsidRPr="00000000">
        <w:rPr>
          <w:rFonts w:ascii="Helvetica Neue" w:cs="Helvetica Neue" w:eastAsia="Helvetica Neue" w:hAnsi="Helvetica Neue"/>
          <w:sz w:val="20"/>
          <w:szCs w:val="20"/>
          <w:rtl w:val="0"/>
        </w:rPr>
        <w:t xml:space="preserve">GRADE Working Group grades of evidence</w:t>
      </w:r>
    </w:p>
    <w:p w:rsidR="00000000" w:rsidDel="00000000" w:rsidP="00000000" w:rsidRDefault="00000000" w:rsidRPr="00000000" w14:paraId="00000B24">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High certainty: We are very confident that the true effect lies close to that of the estimate of the effect</w:t>
      </w:r>
    </w:p>
    <w:p w:rsidR="00000000" w:rsidDel="00000000" w:rsidP="00000000" w:rsidRDefault="00000000" w:rsidRPr="00000000" w14:paraId="00000B25">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Moderate certainty: We are moderately confident in the effect estimate: The true effect is likely to be close to the estimate of the effect, but there is a possibility that it is substantially different</w:t>
      </w:r>
    </w:p>
    <w:p w:rsidR="00000000" w:rsidDel="00000000" w:rsidP="00000000" w:rsidRDefault="00000000" w:rsidRPr="00000000" w14:paraId="00000B26">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Low certainty: Our confidence in the effect estimate is limited: The true effect may be substantially different from the estimate of the effect</w:t>
      </w:r>
    </w:p>
    <w:p w:rsidR="00000000" w:rsidDel="00000000" w:rsidP="00000000" w:rsidRDefault="00000000" w:rsidRPr="00000000" w14:paraId="00000B27">
      <w:pPr>
        <w:rPr>
          <w:rFonts w:ascii="Calibri" w:cs="Calibri" w:eastAsia="Calibri" w:hAnsi="Calibri"/>
          <w:b w:val="1"/>
          <w:i w:val="0"/>
          <w:smallCaps w:val="0"/>
          <w:strike w:val="0"/>
          <w:color w:val="000000"/>
          <w:sz w:val="22"/>
          <w:szCs w:val="22"/>
          <w:u w:val="none"/>
          <w:shd w:fill="auto" w:val="clear"/>
          <w:vertAlign w:val="baseline"/>
        </w:rPr>
        <w:sectPr>
          <w:type w:val="nextPage"/>
          <w:pgSz w:h="12240" w:w="15840" w:orient="landscape"/>
          <w:pgMar w:bottom="1440" w:top="1440" w:left="1440" w:right="1440" w:header="720" w:footer="720"/>
          <w:pgNumType w:start="1"/>
        </w:sectPr>
      </w:pPr>
      <w:r w:rsidDel="00000000" w:rsidR="00000000" w:rsidRPr="00000000">
        <w:rPr>
          <w:rFonts w:ascii="Helvetica Neue" w:cs="Helvetica Neue" w:eastAsia="Helvetica Neue" w:hAnsi="Helvetica Neue"/>
          <w:sz w:val="20"/>
          <w:szCs w:val="20"/>
          <w:rtl w:val="0"/>
        </w:rPr>
        <w:t xml:space="preserve">Very low certainty: We have very little confidence in the effect estimate: The true effect is likely to be substantially different from the esti</w:t>
      </w:r>
      <w:r w:rsidDel="00000000" w:rsidR="00000000" w:rsidRPr="00000000">
        <w:rPr>
          <w:rtl w:val="0"/>
        </w:rPr>
      </w:r>
    </w:p>
    <w:p w:rsidR="00000000" w:rsidDel="00000000" w:rsidP="00000000" w:rsidRDefault="00000000" w:rsidRPr="00000000" w14:paraId="00000B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type w:val="nextPage"/>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B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B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smallCaps w:val="0"/>
        <w:strike w:val="0"/>
        <w:shd w:fill="auto" w:val="clear"/>
        <w:vertAlign w:val="baseline"/>
      </w:rPr>
    </w:lvl>
    <w:lvl w:ilvl="1">
      <w:start w:val="1"/>
      <w:numFmt w:val="bullet"/>
      <w:lvlText w:val="○"/>
      <w:lvlJc w:val="left"/>
      <w:pPr>
        <w:ind w:left="1440" w:hanging="360"/>
      </w:pPr>
      <w:rPr>
        <w:smallCaps w:val="0"/>
        <w:strike w:val="0"/>
        <w:shd w:fill="auto" w:val="clear"/>
        <w:vertAlign w:val="baseline"/>
      </w:rPr>
    </w:lvl>
    <w:lvl w:ilvl="2">
      <w:start w:val="1"/>
      <w:numFmt w:val="bullet"/>
      <w:lvlText w:val="■"/>
      <w:lvlJc w:val="left"/>
      <w:pPr>
        <w:ind w:left="2160" w:hanging="360"/>
      </w:pPr>
      <w:rPr>
        <w:smallCaps w:val="0"/>
        <w:strike w:val="0"/>
        <w:shd w:fill="auto" w:val="clear"/>
        <w:vertAlign w:val="baseline"/>
      </w:rPr>
    </w:lvl>
    <w:lvl w:ilvl="3">
      <w:start w:val="1"/>
      <w:numFmt w:val="bullet"/>
      <w:lvlText w:val="●"/>
      <w:lvlJc w:val="left"/>
      <w:pPr>
        <w:ind w:left="2880" w:hanging="360"/>
      </w:pPr>
      <w:rPr>
        <w:smallCaps w:val="0"/>
        <w:strike w:val="0"/>
        <w:shd w:fill="auto" w:val="clear"/>
        <w:vertAlign w:val="baseline"/>
      </w:rPr>
    </w:lvl>
    <w:lvl w:ilvl="4">
      <w:start w:val="1"/>
      <w:numFmt w:val="bullet"/>
      <w:lvlText w:val="○"/>
      <w:lvlJc w:val="left"/>
      <w:pPr>
        <w:ind w:left="3600" w:hanging="360"/>
      </w:pPr>
      <w:rPr>
        <w:smallCaps w:val="0"/>
        <w:strike w:val="0"/>
        <w:shd w:fill="auto" w:val="clear"/>
        <w:vertAlign w:val="baseline"/>
      </w:rPr>
    </w:lvl>
    <w:lvl w:ilvl="5">
      <w:start w:val="1"/>
      <w:numFmt w:val="bullet"/>
      <w:lvlText w:val="■"/>
      <w:lvlJc w:val="left"/>
      <w:pPr>
        <w:ind w:left="4320" w:hanging="360"/>
      </w:pPr>
      <w:rPr>
        <w:smallCaps w:val="0"/>
        <w:strike w:val="0"/>
        <w:shd w:fill="auto" w:val="clear"/>
        <w:vertAlign w:val="baseline"/>
      </w:rPr>
    </w:lvl>
    <w:lvl w:ilvl="6">
      <w:start w:val="1"/>
      <w:numFmt w:val="bullet"/>
      <w:lvlText w:val="●"/>
      <w:lvlJc w:val="left"/>
      <w:pPr>
        <w:ind w:left="5040" w:hanging="360"/>
      </w:pPr>
      <w:rPr>
        <w:smallCaps w:val="0"/>
        <w:strike w:val="0"/>
        <w:shd w:fill="auto" w:val="clear"/>
        <w:vertAlign w:val="baseline"/>
      </w:rPr>
    </w:lvl>
    <w:lvl w:ilvl="7">
      <w:start w:val="1"/>
      <w:numFmt w:val="bullet"/>
      <w:lvlText w:val="○"/>
      <w:lvlJc w:val="left"/>
      <w:pPr>
        <w:ind w:left="5760" w:hanging="360"/>
      </w:pPr>
      <w:rPr>
        <w:smallCaps w:val="0"/>
        <w:strike w:val="0"/>
        <w:shd w:fill="auto" w:val="clear"/>
        <w:vertAlign w:val="baseline"/>
      </w:rPr>
    </w:lvl>
    <w:lvl w:ilvl="8">
      <w:start w:val="1"/>
      <w:numFmt w:val="bullet"/>
      <w:lvlText w:val="■"/>
      <w:lvlJc w:val="left"/>
      <w:pPr>
        <w:ind w:left="6480" w:hanging="360"/>
      </w:pPr>
      <w:rPr>
        <w:smallCaps w:val="0"/>
        <w:strike w:val="0"/>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120" w:before="400" w:line="276" w:lineRule="auto"/>
    </w:pPr>
    <w:rPr>
      <w:rFonts w:ascii="Arial" w:cs="Arial" w:eastAsia="Arial" w:hAnsi="Arial"/>
      <w:sz w:val="40"/>
      <w:szCs w:val="40"/>
    </w:rPr>
  </w:style>
  <w:style w:type="paragraph" w:styleId="Heading2">
    <w:name w:val="heading 2"/>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120" w:before="360" w:line="276" w:lineRule="auto"/>
    </w:pPr>
    <w:rPr>
      <w:rFonts w:ascii="Arial" w:cs="Arial" w:eastAsia="Arial" w:hAnsi="Arial"/>
      <w:sz w:val="32"/>
      <w:szCs w:val="32"/>
    </w:rPr>
  </w:style>
  <w:style w:type="paragraph" w:styleId="Heading3">
    <w:name w:val="heading 3"/>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80" w:before="320" w:line="276" w:lineRule="auto"/>
    </w:pPr>
    <w:rPr>
      <w:rFonts w:ascii="Arial" w:cs="Arial" w:eastAsia="Arial" w:hAnsi="Arial"/>
      <w:color w:val="434343"/>
      <w:sz w:val="28"/>
      <w:szCs w:val="28"/>
    </w:rPr>
  </w:style>
  <w:style w:type="paragraph" w:styleId="Heading4">
    <w:name w:val="heading 4"/>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80" w:before="280" w:line="276" w:lineRule="auto"/>
    </w:pPr>
    <w:rPr>
      <w:rFonts w:ascii="Arial" w:cs="Arial" w:eastAsia="Arial" w:hAnsi="Arial"/>
      <w:color w:val="666666"/>
    </w:rPr>
  </w:style>
  <w:style w:type="paragraph" w:styleId="Heading5">
    <w:name w:val="heading 5"/>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80" w:before="240" w:line="276" w:lineRule="auto"/>
    </w:pPr>
    <w:rPr>
      <w:rFonts w:ascii="Arial" w:cs="Arial" w:eastAsia="Arial" w:hAnsi="Arial"/>
      <w:color w:val="666666"/>
      <w:sz w:val="22"/>
      <w:szCs w:val="22"/>
    </w:rPr>
  </w:style>
  <w:style w:type="paragraph" w:styleId="Heading6">
    <w:name w:val="heading 6"/>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80" w:before="240" w:line="276" w:lineRule="auto"/>
    </w:pPr>
    <w:rPr>
      <w:rFonts w:ascii="Arial" w:cs="Arial" w:eastAsia="Arial" w:hAnsi="Arial"/>
      <w:i w:val="1"/>
      <w:color w:val="666666"/>
      <w:sz w:val="22"/>
      <w:szCs w:val="22"/>
    </w:rPr>
  </w:style>
  <w:style w:type="paragraph" w:styleId="Title">
    <w:name w:val="Title"/>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60" w:line="276" w:lineRule="auto"/>
    </w:pPr>
    <w:rPr>
      <w:rFonts w:ascii="Arial" w:cs="Arial" w:eastAsia="Arial" w:hAnsi="Arial"/>
      <w:sz w:val="52"/>
      <w:szCs w:val="52"/>
    </w:rPr>
  </w:style>
  <w:style w:type="paragraph" w:styleId="Normal" w:default="1">
    <w:name w:val="Normal"/>
    <w:rPr>
      <w:sz w:val="24"/>
      <w:szCs w:val="24"/>
    </w:rPr>
  </w:style>
  <w:style w:type="paragraph" w:styleId="Heading1">
    <w:name w:val="heading 1"/>
    <w:basedOn w:val="Normal"/>
    <w:next w:val="Normal"/>
    <w:link w:val="Heading1Char"/>
    <w:rsid w:val="007D0909"/>
    <w:pPr>
      <w:keepNext w:val="1"/>
      <w:keepLines w:val="1"/>
      <w:pBdr>
        <w:top w:color="auto" w:space="0" w:sz="0" w:val="none"/>
        <w:left w:color="auto" w:space="0" w:sz="0" w:val="none"/>
        <w:bottom w:color="auto" w:space="0" w:sz="0" w:val="none"/>
        <w:right w:color="auto" w:space="0" w:sz="0" w:val="none"/>
        <w:between w:color="auto" w:space="0" w:sz="0" w:val="none"/>
        <w:bar w:color="auto" w:space="0" w:sz="0" w:val="none"/>
      </w:pBdr>
      <w:spacing w:after="120" w:before="400" w:line="276" w:lineRule="auto"/>
      <w:outlineLvl w:val="0"/>
    </w:pPr>
    <w:rPr>
      <w:rFonts w:ascii="Arial" w:cs="Arial" w:eastAsia="Arial" w:hAnsi="Arial"/>
      <w:sz w:val="40"/>
      <w:szCs w:val="40"/>
      <w:bdr w:color="auto" w:space="0" w:sz="0" w:val="none"/>
      <w:lang w:val="en"/>
    </w:rPr>
  </w:style>
  <w:style w:type="paragraph" w:styleId="Heading2">
    <w:name w:val="heading 2"/>
    <w:basedOn w:val="Normal"/>
    <w:next w:val="Normal"/>
    <w:link w:val="Heading2Char"/>
    <w:rsid w:val="007D0909"/>
    <w:pPr>
      <w:keepNext w:val="1"/>
      <w:keepLines w:val="1"/>
      <w:pBdr>
        <w:top w:color="auto" w:space="0" w:sz="0" w:val="none"/>
        <w:left w:color="auto" w:space="0" w:sz="0" w:val="none"/>
        <w:bottom w:color="auto" w:space="0" w:sz="0" w:val="none"/>
        <w:right w:color="auto" w:space="0" w:sz="0" w:val="none"/>
        <w:between w:color="auto" w:space="0" w:sz="0" w:val="none"/>
        <w:bar w:color="auto" w:space="0" w:sz="0" w:val="none"/>
      </w:pBdr>
      <w:spacing w:after="120" w:before="360" w:line="276" w:lineRule="auto"/>
      <w:outlineLvl w:val="1"/>
    </w:pPr>
    <w:rPr>
      <w:rFonts w:ascii="Arial" w:cs="Arial" w:eastAsia="Arial" w:hAnsi="Arial"/>
      <w:sz w:val="32"/>
      <w:szCs w:val="32"/>
      <w:bdr w:color="auto" w:space="0" w:sz="0" w:val="none"/>
      <w:lang w:val="en"/>
    </w:rPr>
  </w:style>
  <w:style w:type="paragraph" w:styleId="Heading3">
    <w:name w:val="heading 3"/>
    <w:basedOn w:val="Normal"/>
    <w:next w:val="Normal"/>
    <w:link w:val="Heading3Char"/>
    <w:rsid w:val="007D0909"/>
    <w:pPr>
      <w:keepNext w:val="1"/>
      <w:keepLines w:val="1"/>
      <w:pBdr>
        <w:top w:color="auto" w:space="0" w:sz="0" w:val="none"/>
        <w:left w:color="auto" w:space="0" w:sz="0" w:val="none"/>
        <w:bottom w:color="auto" w:space="0" w:sz="0" w:val="none"/>
        <w:right w:color="auto" w:space="0" w:sz="0" w:val="none"/>
        <w:between w:color="auto" w:space="0" w:sz="0" w:val="none"/>
        <w:bar w:color="auto" w:space="0" w:sz="0" w:val="none"/>
      </w:pBdr>
      <w:spacing w:after="80" w:before="320" w:line="276" w:lineRule="auto"/>
      <w:outlineLvl w:val="2"/>
    </w:pPr>
    <w:rPr>
      <w:rFonts w:ascii="Arial" w:cs="Arial" w:eastAsia="Arial" w:hAnsi="Arial"/>
      <w:color w:val="434343"/>
      <w:sz w:val="28"/>
      <w:szCs w:val="28"/>
      <w:bdr w:color="auto" w:space="0" w:sz="0" w:val="none"/>
      <w:lang w:val="en"/>
    </w:rPr>
  </w:style>
  <w:style w:type="paragraph" w:styleId="Heading4">
    <w:name w:val="heading 4"/>
    <w:basedOn w:val="Normal"/>
    <w:next w:val="Normal"/>
    <w:link w:val="Heading4Char"/>
    <w:rsid w:val="007D0909"/>
    <w:pPr>
      <w:keepNext w:val="1"/>
      <w:keepLines w:val="1"/>
      <w:pBdr>
        <w:top w:color="auto" w:space="0" w:sz="0" w:val="none"/>
        <w:left w:color="auto" w:space="0" w:sz="0" w:val="none"/>
        <w:bottom w:color="auto" w:space="0" w:sz="0" w:val="none"/>
        <w:right w:color="auto" w:space="0" w:sz="0" w:val="none"/>
        <w:between w:color="auto" w:space="0" w:sz="0" w:val="none"/>
        <w:bar w:color="auto" w:space="0" w:sz="0" w:val="none"/>
      </w:pBdr>
      <w:spacing w:after="80" w:before="280" w:line="276" w:lineRule="auto"/>
      <w:outlineLvl w:val="3"/>
    </w:pPr>
    <w:rPr>
      <w:rFonts w:ascii="Arial" w:cs="Arial" w:eastAsia="Arial" w:hAnsi="Arial"/>
      <w:color w:val="666666"/>
      <w:bdr w:color="auto" w:space="0" w:sz="0" w:val="none"/>
      <w:lang w:val="en"/>
    </w:rPr>
  </w:style>
  <w:style w:type="paragraph" w:styleId="Heading5">
    <w:name w:val="heading 5"/>
    <w:basedOn w:val="Normal"/>
    <w:next w:val="Normal"/>
    <w:link w:val="Heading5Char"/>
    <w:rsid w:val="007D0909"/>
    <w:pPr>
      <w:keepNext w:val="1"/>
      <w:keepLines w:val="1"/>
      <w:pBdr>
        <w:top w:color="auto" w:space="0" w:sz="0" w:val="none"/>
        <w:left w:color="auto" w:space="0" w:sz="0" w:val="none"/>
        <w:bottom w:color="auto" w:space="0" w:sz="0" w:val="none"/>
        <w:right w:color="auto" w:space="0" w:sz="0" w:val="none"/>
        <w:between w:color="auto" w:space="0" w:sz="0" w:val="none"/>
        <w:bar w:color="auto" w:space="0" w:sz="0" w:val="none"/>
      </w:pBdr>
      <w:spacing w:after="80" w:before="240" w:line="276" w:lineRule="auto"/>
      <w:outlineLvl w:val="4"/>
    </w:pPr>
    <w:rPr>
      <w:rFonts w:ascii="Arial" w:cs="Arial" w:eastAsia="Arial" w:hAnsi="Arial"/>
      <w:color w:val="666666"/>
      <w:sz w:val="22"/>
      <w:szCs w:val="22"/>
      <w:bdr w:color="auto" w:space="0" w:sz="0" w:val="none"/>
      <w:lang w:val="en"/>
    </w:rPr>
  </w:style>
  <w:style w:type="paragraph" w:styleId="Heading6">
    <w:name w:val="heading 6"/>
    <w:basedOn w:val="Normal"/>
    <w:next w:val="Normal"/>
    <w:link w:val="Heading6Char"/>
    <w:rsid w:val="007D0909"/>
    <w:pPr>
      <w:keepNext w:val="1"/>
      <w:keepLines w:val="1"/>
      <w:pBdr>
        <w:top w:color="auto" w:space="0" w:sz="0" w:val="none"/>
        <w:left w:color="auto" w:space="0" w:sz="0" w:val="none"/>
        <w:bottom w:color="auto" w:space="0" w:sz="0" w:val="none"/>
        <w:right w:color="auto" w:space="0" w:sz="0" w:val="none"/>
        <w:between w:color="auto" w:space="0" w:sz="0" w:val="none"/>
        <w:bar w:color="auto" w:space="0" w:sz="0" w:val="none"/>
      </w:pBdr>
      <w:spacing w:after="80" w:before="240" w:line="276" w:lineRule="auto"/>
      <w:outlineLvl w:val="5"/>
    </w:pPr>
    <w:rPr>
      <w:rFonts w:ascii="Arial" w:cs="Arial" w:eastAsia="Arial" w:hAnsi="Arial"/>
      <w:i w:val="1"/>
      <w:color w:val="666666"/>
      <w:sz w:val="22"/>
      <w:szCs w:val="22"/>
      <w:bdr w:color="auto" w:space="0" w:sz="0" w:val="none"/>
      <w:lang w:val="en"/>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uiPriority w:val="99"/>
    <w:rPr>
      <w:u w:val="single"/>
    </w:rPr>
  </w:style>
  <w:style w:type="paragraph" w:styleId="HeaderFooter" w:customStyle="1">
    <w:name w:val="Header &amp; Footer"/>
    <w:pPr>
      <w:tabs>
        <w:tab w:val="right" w:pos="9020"/>
      </w:tabs>
    </w:pPr>
    <w:rPr>
      <w:rFonts w:ascii="Helvetica Neue" w:cs="Arial Unicode MS" w:hAnsi="Helvetica Neue"/>
      <w:color w:val="000000"/>
      <w:sz w:val="24"/>
      <w:szCs w:val="24"/>
      <w14:textOutline w14:cap="flat" w14:cmpd="sng" w14:algn="ctr">
        <w14:noFill/>
        <w14:prstDash w14:val="solid"/>
        <w14:bevel/>
      </w14:textOutline>
    </w:rPr>
  </w:style>
  <w:style w:type="paragraph" w:styleId="Body" w:customStyle="1">
    <w:name w:val="Body"/>
    <w:pPr>
      <w:spacing w:line="276" w:lineRule="auto"/>
    </w:pPr>
    <w:rPr>
      <w:rFonts w:ascii="Arial" w:cs="Arial Unicode MS" w:hAnsi="Arial"/>
      <w:color w:val="000000"/>
      <w:sz w:val="22"/>
      <w:szCs w:val="22"/>
      <w:u w:color="000000"/>
      <w14:textOutline w14:cap="flat" w14:cmpd="sng" w14:algn="ctr">
        <w14:noFill/>
        <w14:prstDash w14:val="solid"/>
        <w14:bevel/>
      </w14:textOutline>
    </w:rPr>
  </w:style>
  <w:style w:type="paragraph" w:styleId="Default" w:customStyle="1">
    <w:name w:val="Default"/>
    <w:rPr>
      <w:rFonts w:ascii="Helvetica Neue" w:cs="Arial Unicode MS" w:hAnsi="Helvetica Neue"/>
      <w:color w:val="000000"/>
      <w:sz w:val="22"/>
      <w:szCs w:val="22"/>
      <w:lang w:val="de-DE"/>
      <w14:textOutline w14:cap="flat" w14:cmpd="sng" w14:algn="ctr">
        <w14:noFill/>
        <w14:prstDash w14:val="solid"/>
        <w14:bevel/>
      </w14:textOutline>
    </w:rPr>
  </w:style>
  <w:style w:type="character" w:styleId="Heading1Char" w:customStyle="1">
    <w:name w:val="Heading 1 Char"/>
    <w:basedOn w:val="DefaultParagraphFont"/>
    <w:link w:val="Heading1"/>
    <w:rsid w:val="007D0909"/>
    <w:rPr>
      <w:rFonts w:ascii="Arial" w:cs="Arial" w:eastAsia="Arial" w:hAnsi="Arial"/>
      <w:sz w:val="40"/>
      <w:szCs w:val="40"/>
      <w:bdr w:color="auto" w:space="0" w:sz="0" w:val="none"/>
      <w:lang w:val="en"/>
    </w:rPr>
  </w:style>
  <w:style w:type="character" w:styleId="Heading2Char" w:customStyle="1">
    <w:name w:val="Heading 2 Char"/>
    <w:basedOn w:val="DefaultParagraphFont"/>
    <w:link w:val="Heading2"/>
    <w:rsid w:val="007D0909"/>
    <w:rPr>
      <w:rFonts w:ascii="Arial" w:cs="Arial" w:eastAsia="Arial" w:hAnsi="Arial"/>
      <w:sz w:val="32"/>
      <w:szCs w:val="32"/>
      <w:bdr w:color="auto" w:space="0" w:sz="0" w:val="none"/>
      <w:lang w:val="en"/>
    </w:rPr>
  </w:style>
  <w:style w:type="character" w:styleId="Heading3Char" w:customStyle="1">
    <w:name w:val="Heading 3 Char"/>
    <w:basedOn w:val="DefaultParagraphFont"/>
    <w:link w:val="Heading3"/>
    <w:rsid w:val="007D0909"/>
    <w:rPr>
      <w:rFonts w:ascii="Arial" w:cs="Arial" w:eastAsia="Arial" w:hAnsi="Arial"/>
      <w:color w:val="434343"/>
      <w:sz w:val="28"/>
      <w:szCs w:val="28"/>
      <w:bdr w:color="auto" w:space="0" w:sz="0" w:val="none"/>
      <w:lang w:val="en"/>
    </w:rPr>
  </w:style>
  <w:style w:type="character" w:styleId="Heading4Char" w:customStyle="1">
    <w:name w:val="Heading 4 Char"/>
    <w:basedOn w:val="DefaultParagraphFont"/>
    <w:link w:val="Heading4"/>
    <w:rsid w:val="007D0909"/>
    <w:rPr>
      <w:rFonts w:ascii="Arial" w:cs="Arial" w:eastAsia="Arial" w:hAnsi="Arial"/>
      <w:color w:val="666666"/>
      <w:sz w:val="24"/>
      <w:szCs w:val="24"/>
      <w:bdr w:color="auto" w:space="0" w:sz="0" w:val="none"/>
      <w:lang w:val="en"/>
    </w:rPr>
  </w:style>
  <w:style w:type="character" w:styleId="Heading5Char" w:customStyle="1">
    <w:name w:val="Heading 5 Char"/>
    <w:basedOn w:val="DefaultParagraphFont"/>
    <w:link w:val="Heading5"/>
    <w:rsid w:val="007D0909"/>
    <w:rPr>
      <w:rFonts w:ascii="Arial" w:cs="Arial" w:eastAsia="Arial" w:hAnsi="Arial"/>
      <w:color w:val="666666"/>
      <w:sz w:val="22"/>
      <w:szCs w:val="22"/>
      <w:bdr w:color="auto" w:space="0" w:sz="0" w:val="none"/>
      <w:lang w:val="en"/>
    </w:rPr>
  </w:style>
  <w:style w:type="character" w:styleId="Heading6Char" w:customStyle="1">
    <w:name w:val="Heading 6 Char"/>
    <w:basedOn w:val="DefaultParagraphFont"/>
    <w:link w:val="Heading6"/>
    <w:rsid w:val="007D0909"/>
    <w:rPr>
      <w:rFonts w:ascii="Arial" w:cs="Arial" w:eastAsia="Arial" w:hAnsi="Arial"/>
      <w:i w:val="1"/>
      <w:color w:val="666666"/>
      <w:sz w:val="22"/>
      <w:szCs w:val="22"/>
      <w:bdr w:color="auto" w:space="0" w:sz="0" w:val="none"/>
      <w:lang w:val="en"/>
    </w:rPr>
  </w:style>
  <w:style w:type="paragraph" w:styleId="Title">
    <w:name w:val="Title"/>
    <w:basedOn w:val="Normal"/>
    <w:next w:val="Normal"/>
    <w:link w:val="TitleChar"/>
    <w:rsid w:val="007D0909"/>
    <w:pPr>
      <w:keepNext w:val="1"/>
      <w:keepLines w:val="1"/>
      <w:pBdr>
        <w:top w:color="auto" w:space="0" w:sz="0" w:val="none"/>
        <w:left w:color="auto" w:space="0" w:sz="0" w:val="none"/>
        <w:bottom w:color="auto" w:space="0" w:sz="0" w:val="none"/>
        <w:right w:color="auto" w:space="0" w:sz="0" w:val="none"/>
        <w:between w:color="auto" w:space="0" w:sz="0" w:val="none"/>
        <w:bar w:color="auto" w:space="0" w:sz="0" w:val="none"/>
      </w:pBdr>
      <w:spacing w:after="60" w:line="276" w:lineRule="auto"/>
    </w:pPr>
    <w:rPr>
      <w:rFonts w:ascii="Arial" w:cs="Arial" w:eastAsia="Arial" w:hAnsi="Arial"/>
      <w:sz w:val="52"/>
      <w:szCs w:val="52"/>
      <w:bdr w:color="auto" w:space="0" w:sz="0" w:val="none"/>
      <w:lang w:val="en"/>
    </w:rPr>
  </w:style>
  <w:style w:type="character" w:styleId="TitleChar" w:customStyle="1">
    <w:name w:val="Title Char"/>
    <w:basedOn w:val="DefaultParagraphFont"/>
    <w:link w:val="Title"/>
    <w:rsid w:val="007D0909"/>
    <w:rPr>
      <w:rFonts w:ascii="Arial" w:cs="Arial" w:eastAsia="Arial" w:hAnsi="Arial"/>
      <w:sz w:val="52"/>
      <w:szCs w:val="52"/>
      <w:bdr w:color="auto" w:space="0" w:sz="0" w:val="none"/>
      <w:lang w:val="en"/>
    </w:rPr>
  </w:style>
  <w:style w:type="paragraph" w:styleId="Subtitle">
    <w:name w:val="Subtitle"/>
    <w:basedOn w:val="Normal"/>
    <w:next w:val="Normal"/>
    <w:link w:val="SubtitleChar"/>
    <w:rsid w:val="007D0909"/>
    <w:pPr>
      <w:keepNext w:val="1"/>
      <w:keepLines w:val="1"/>
      <w:pBdr>
        <w:top w:color="auto" w:space="0" w:sz="0" w:val="none"/>
        <w:left w:color="auto" w:space="0" w:sz="0" w:val="none"/>
        <w:bottom w:color="auto" w:space="0" w:sz="0" w:val="none"/>
        <w:right w:color="auto" w:space="0" w:sz="0" w:val="none"/>
        <w:between w:color="auto" w:space="0" w:sz="0" w:val="none"/>
        <w:bar w:color="auto" w:space="0" w:sz="0" w:val="none"/>
      </w:pBdr>
      <w:spacing w:after="320" w:line="276" w:lineRule="auto"/>
    </w:pPr>
    <w:rPr>
      <w:rFonts w:ascii="Arial" w:cs="Arial" w:eastAsia="Arial" w:hAnsi="Arial"/>
      <w:color w:val="666666"/>
      <w:sz w:val="30"/>
      <w:szCs w:val="30"/>
      <w:bdr w:color="auto" w:space="0" w:sz="0" w:val="none"/>
      <w:lang w:val="en"/>
    </w:rPr>
  </w:style>
  <w:style w:type="character" w:styleId="SubtitleChar" w:customStyle="1">
    <w:name w:val="Subtitle Char"/>
    <w:basedOn w:val="DefaultParagraphFont"/>
    <w:link w:val="Subtitle"/>
    <w:rsid w:val="007D0909"/>
    <w:rPr>
      <w:rFonts w:ascii="Arial" w:cs="Arial" w:eastAsia="Arial" w:hAnsi="Arial"/>
      <w:color w:val="666666"/>
      <w:sz w:val="30"/>
      <w:szCs w:val="30"/>
      <w:bdr w:color="auto" w:space="0" w:sz="0" w:val="none"/>
      <w:lang w:val="en"/>
    </w:rPr>
  </w:style>
  <w:style w:type="paragraph" w:styleId="Header">
    <w:name w:val="header"/>
    <w:basedOn w:val="Normal"/>
    <w:link w:val="HeaderChar"/>
    <w:uiPriority w:val="99"/>
    <w:unhideWhenUsed w:val="1"/>
    <w:rsid w:val="007D0909"/>
    <w:pPr>
      <w:pBdr>
        <w:top w:color="auto" w:space="0" w:sz="0" w:val="none"/>
        <w:left w:color="auto" w:space="0" w:sz="0" w:val="none"/>
        <w:bottom w:color="auto" w:space="0" w:sz="0" w:val="none"/>
        <w:right w:color="auto" w:space="0" w:sz="0" w:val="none"/>
        <w:between w:color="auto" w:space="0" w:sz="0" w:val="none"/>
        <w:bar w:color="auto" w:space="0" w:sz="0" w:val="none"/>
      </w:pBdr>
      <w:tabs>
        <w:tab w:val="center" w:pos="4680"/>
        <w:tab w:val="right" w:pos="9360"/>
      </w:tabs>
    </w:pPr>
    <w:rPr>
      <w:rFonts w:ascii="Arial" w:cs="Arial" w:eastAsia="Arial" w:hAnsi="Arial"/>
      <w:sz w:val="22"/>
      <w:szCs w:val="22"/>
      <w:bdr w:color="auto" w:space="0" w:sz="0" w:val="none"/>
      <w:lang w:val="en"/>
    </w:rPr>
  </w:style>
  <w:style w:type="character" w:styleId="HeaderChar" w:customStyle="1">
    <w:name w:val="Header Char"/>
    <w:basedOn w:val="DefaultParagraphFont"/>
    <w:link w:val="Header"/>
    <w:uiPriority w:val="99"/>
    <w:rsid w:val="007D0909"/>
    <w:rPr>
      <w:rFonts w:ascii="Arial" w:cs="Arial" w:eastAsia="Arial" w:hAnsi="Arial"/>
      <w:sz w:val="22"/>
      <w:szCs w:val="22"/>
      <w:bdr w:color="auto" w:space="0" w:sz="0" w:val="none"/>
      <w:lang w:val="en"/>
    </w:rPr>
  </w:style>
  <w:style w:type="paragraph" w:styleId="Footer">
    <w:name w:val="footer"/>
    <w:basedOn w:val="Normal"/>
    <w:link w:val="FooterChar"/>
    <w:uiPriority w:val="99"/>
    <w:unhideWhenUsed w:val="1"/>
    <w:rsid w:val="007D0909"/>
    <w:pPr>
      <w:pBdr>
        <w:top w:color="auto" w:space="0" w:sz="0" w:val="none"/>
        <w:left w:color="auto" w:space="0" w:sz="0" w:val="none"/>
        <w:bottom w:color="auto" w:space="0" w:sz="0" w:val="none"/>
        <w:right w:color="auto" w:space="0" w:sz="0" w:val="none"/>
        <w:between w:color="auto" w:space="0" w:sz="0" w:val="none"/>
        <w:bar w:color="auto" w:space="0" w:sz="0" w:val="none"/>
      </w:pBdr>
      <w:tabs>
        <w:tab w:val="center" w:pos="4680"/>
        <w:tab w:val="right" w:pos="9360"/>
      </w:tabs>
    </w:pPr>
    <w:rPr>
      <w:rFonts w:ascii="Arial" w:cs="Arial" w:eastAsia="Arial" w:hAnsi="Arial"/>
      <w:sz w:val="22"/>
      <w:szCs w:val="22"/>
      <w:bdr w:color="auto" w:space="0" w:sz="0" w:val="none"/>
      <w:lang w:val="en"/>
    </w:rPr>
  </w:style>
  <w:style w:type="character" w:styleId="FooterChar" w:customStyle="1">
    <w:name w:val="Footer Char"/>
    <w:basedOn w:val="DefaultParagraphFont"/>
    <w:link w:val="Footer"/>
    <w:uiPriority w:val="99"/>
    <w:rsid w:val="007D0909"/>
    <w:rPr>
      <w:rFonts w:ascii="Arial" w:cs="Arial" w:eastAsia="Arial" w:hAnsi="Arial"/>
      <w:sz w:val="22"/>
      <w:szCs w:val="22"/>
      <w:bdr w:color="auto" w:space="0" w:sz="0" w:val="none"/>
      <w:lang w:val="en"/>
    </w:rPr>
  </w:style>
  <w:style w:type="paragraph" w:styleId="Revision">
    <w:name w:val="Revision"/>
    <w:hidden w:val="1"/>
    <w:uiPriority w:val="99"/>
    <w:semiHidden w:val="1"/>
    <w:rsid w:val="007D0909"/>
    <w:pPr>
      <w:pBdr>
        <w:top w:color="auto" w:space="0" w:sz="0" w:val="none"/>
        <w:left w:color="auto" w:space="0" w:sz="0" w:val="none"/>
        <w:bottom w:color="auto" w:space="0" w:sz="0" w:val="none"/>
        <w:right w:color="auto" w:space="0" w:sz="0" w:val="none"/>
        <w:between w:color="auto" w:space="0" w:sz="0" w:val="none"/>
        <w:bar w:color="auto" w:space="0" w:sz="0" w:val="none"/>
      </w:pBdr>
    </w:pPr>
    <w:rPr>
      <w:rFonts w:ascii="Arial" w:cs="Arial" w:eastAsia="Arial" w:hAnsi="Arial"/>
      <w:sz w:val="22"/>
      <w:szCs w:val="22"/>
      <w:bdr w:color="auto" w:space="0" w:sz="0" w:val="none"/>
      <w:lang w:val="en"/>
    </w:rPr>
  </w:style>
  <w:style w:type="character" w:styleId="CommentReference">
    <w:name w:val="annotation reference"/>
    <w:basedOn w:val="DefaultParagraphFont"/>
    <w:uiPriority w:val="99"/>
    <w:semiHidden w:val="1"/>
    <w:unhideWhenUsed w:val="1"/>
    <w:rsid w:val="007D0909"/>
    <w:rPr>
      <w:sz w:val="16"/>
      <w:szCs w:val="16"/>
    </w:rPr>
  </w:style>
  <w:style w:type="paragraph" w:styleId="CommentText">
    <w:name w:val="annotation text"/>
    <w:basedOn w:val="Normal"/>
    <w:link w:val="CommentTextChar"/>
    <w:uiPriority w:val="99"/>
    <w:unhideWhenUsed w:val="1"/>
    <w:rsid w:val="007D0909"/>
    <w:pPr>
      <w:pBdr>
        <w:top w:color="auto" w:space="0" w:sz="0" w:val="none"/>
        <w:left w:color="auto" w:space="0" w:sz="0" w:val="none"/>
        <w:bottom w:color="auto" w:space="0" w:sz="0" w:val="none"/>
        <w:right w:color="auto" w:space="0" w:sz="0" w:val="none"/>
        <w:between w:color="auto" w:space="0" w:sz="0" w:val="none"/>
        <w:bar w:color="auto" w:space="0" w:sz="0" w:val="none"/>
      </w:pBdr>
    </w:pPr>
    <w:rPr>
      <w:rFonts w:ascii="Arial" w:cs="Arial" w:eastAsia="Arial" w:hAnsi="Arial"/>
      <w:sz w:val="20"/>
      <w:szCs w:val="20"/>
      <w:bdr w:color="auto" w:space="0" w:sz="0" w:val="none"/>
      <w:lang w:val="en"/>
    </w:rPr>
  </w:style>
  <w:style w:type="character" w:styleId="CommentTextChar" w:customStyle="1">
    <w:name w:val="Comment Text Char"/>
    <w:basedOn w:val="DefaultParagraphFont"/>
    <w:link w:val="CommentText"/>
    <w:uiPriority w:val="99"/>
    <w:rsid w:val="007D0909"/>
    <w:rPr>
      <w:rFonts w:ascii="Arial" w:cs="Arial" w:eastAsia="Arial" w:hAnsi="Arial"/>
      <w:bdr w:color="auto" w:space="0" w:sz="0" w:val="none"/>
      <w:lang w:val="en"/>
    </w:rPr>
  </w:style>
  <w:style w:type="paragraph" w:styleId="CommentSubject">
    <w:name w:val="annotation subject"/>
    <w:basedOn w:val="CommentText"/>
    <w:next w:val="CommentText"/>
    <w:link w:val="CommentSubjectChar"/>
    <w:uiPriority w:val="99"/>
    <w:semiHidden w:val="1"/>
    <w:unhideWhenUsed w:val="1"/>
    <w:rsid w:val="007D0909"/>
    <w:rPr>
      <w:b w:val="1"/>
      <w:bCs w:val="1"/>
    </w:rPr>
  </w:style>
  <w:style w:type="character" w:styleId="CommentSubjectChar" w:customStyle="1">
    <w:name w:val="Comment Subject Char"/>
    <w:basedOn w:val="CommentTextChar"/>
    <w:link w:val="CommentSubject"/>
    <w:uiPriority w:val="99"/>
    <w:semiHidden w:val="1"/>
    <w:rsid w:val="007D0909"/>
    <w:rPr>
      <w:rFonts w:ascii="Arial" w:cs="Arial" w:eastAsia="Arial" w:hAnsi="Arial"/>
      <w:b w:val="1"/>
      <w:bCs w:val="1"/>
      <w:bdr w:color="auto" w:space="0" w:sz="0" w:val="none"/>
      <w:lang w:val="en"/>
    </w:rPr>
  </w:style>
  <w:style w:type="character" w:styleId="FollowedHyperlink">
    <w:name w:val="FollowedHyperlink"/>
    <w:basedOn w:val="DefaultParagraphFont"/>
    <w:uiPriority w:val="99"/>
    <w:semiHidden w:val="1"/>
    <w:unhideWhenUsed w:val="1"/>
    <w:rsid w:val="007D0909"/>
    <w:rPr>
      <w:color w:val="954f72"/>
      <w:u w:val="single"/>
    </w:rPr>
  </w:style>
  <w:style w:type="paragraph" w:styleId="msonormal0" w:customStyle="1">
    <w:name w:val="msonormal"/>
    <w:basedOn w:val="Normal"/>
    <w:rsid w:val="007D0909"/>
    <w:pPr>
      <w:pBdr>
        <w:top w:color="auto" w:space="0" w:sz="0" w:val="none"/>
        <w:left w:color="auto" w:space="0" w:sz="0" w:val="none"/>
        <w:bottom w:color="auto" w:space="0" w:sz="0" w:val="none"/>
        <w:right w:color="auto" w:space="0" w:sz="0" w:val="none"/>
        <w:between w:color="auto" w:space="0" w:sz="0" w:val="none"/>
        <w:bar w:color="auto" w:space="0" w:sz="0" w:val="none"/>
      </w:pBdr>
      <w:spacing w:after="100" w:afterAutospacing="1" w:before="100" w:beforeAutospacing="1"/>
    </w:pPr>
    <w:rPr>
      <w:rFonts w:eastAsia="Times New Roman"/>
      <w:bdr w:color="auto" w:space="0" w:sz="0" w:val="none"/>
    </w:rPr>
  </w:style>
  <w:style w:type="paragraph" w:styleId="xl63" w:customStyle="1">
    <w:name w:val="xl63"/>
    <w:basedOn w:val="Normal"/>
    <w:rsid w:val="007D0909"/>
    <w:pPr>
      <w:pBdr>
        <w:top w:color="000000" w:space="0" w:sz="8" w:val="single"/>
        <w:left w:color="auto" w:space="0" w:sz="0" w:val="none"/>
        <w:bottom w:color="000000" w:space="0" w:sz="8" w:val="single"/>
        <w:right w:color="000000" w:space="0" w:sz="8" w:val="single"/>
        <w:between w:color="auto" w:space="0" w:sz="0" w:val="none"/>
        <w:bar w:color="auto" w:space="0" w:sz="0" w:val="none"/>
      </w:pBdr>
      <w:spacing w:after="100" w:afterAutospacing="1" w:before="100" w:beforeAutospacing="1"/>
      <w:textAlignment w:val="top"/>
    </w:pPr>
    <w:rPr>
      <w:rFonts w:eastAsia="Times New Roman"/>
      <w:b w:val="1"/>
      <w:bCs w:val="1"/>
      <w:sz w:val="18"/>
      <w:szCs w:val="18"/>
      <w:bdr w:color="auto" w:space="0" w:sz="0" w:val="none"/>
    </w:rPr>
  </w:style>
  <w:style w:type="paragraph" w:styleId="xl64" w:customStyle="1">
    <w:name w:val="xl64"/>
    <w:basedOn w:val="Normal"/>
    <w:rsid w:val="007D0909"/>
    <w:pPr>
      <w:pBdr>
        <w:top w:color="auto" w:space="0" w:sz="0" w:val="none"/>
        <w:left w:color="auto" w:space="0" w:sz="0" w:val="none"/>
        <w:bottom w:color="000000" w:space="0" w:sz="8" w:val="single"/>
        <w:right w:color="000000" w:space="0" w:sz="8" w:val="single"/>
        <w:between w:color="auto" w:space="0" w:sz="0" w:val="none"/>
        <w:bar w:color="auto" w:space="0" w:sz="0" w:val="none"/>
      </w:pBdr>
      <w:spacing w:after="100" w:afterAutospacing="1" w:before="100" w:beforeAutospacing="1"/>
      <w:textAlignment w:val="top"/>
    </w:pPr>
    <w:rPr>
      <w:rFonts w:eastAsia="Times New Roman"/>
      <w:sz w:val="18"/>
      <w:szCs w:val="18"/>
      <w:bdr w:color="auto" w:space="0" w:sz="0" w:val="none"/>
    </w:rPr>
  </w:style>
  <w:style w:type="paragraph" w:styleId="xl65" w:customStyle="1">
    <w:name w:val="xl65"/>
    <w:basedOn w:val="Normal"/>
    <w:rsid w:val="007D0909"/>
    <w:pPr>
      <w:pBdr>
        <w:top w:color="000000" w:space="0" w:sz="8" w:val="single"/>
        <w:left w:color="000000" w:space="0" w:sz="8" w:val="single"/>
        <w:bottom w:color="000000" w:space="0" w:sz="8" w:val="single"/>
        <w:right w:color="000000" w:space="0" w:sz="8" w:val="single"/>
        <w:between w:color="auto" w:space="0" w:sz="0" w:val="none"/>
        <w:bar w:color="auto" w:space="0" w:sz="0" w:val="none"/>
      </w:pBdr>
      <w:spacing w:after="100" w:afterAutospacing="1" w:before="100" w:beforeAutospacing="1"/>
      <w:textAlignment w:val="top"/>
    </w:pPr>
    <w:rPr>
      <w:rFonts w:eastAsia="Times New Roman"/>
      <w:b w:val="1"/>
      <w:bCs w:val="1"/>
      <w:sz w:val="18"/>
      <w:szCs w:val="18"/>
      <w:bdr w:color="auto" w:space="0" w:sz="0" w:val="none"/>
    </w:rPr>
  </w:style>
  <w:style w:type="paragraph" w:styleId="xl66" w:customStyle="1">
    <w:name w:val="xl66"/>
    <w:basedOn w:val="Normal"/>
    <w:rsid w:val="007D0909"/>
    <w:pPr>
      <w:pBdr>
        <w:top w:color="auto" w:space="0" w:sz="0" w:val="none"/>
        <w:left w:color="000000" w:space="0" w:sz="8" w:val="single"/>
        <w:bottom w:color="000000" w:space="0" w:sz="8" w:val="single"/>
        <w:right w:color="000000" w:space="0" w:sz="8" w:val="single"/>
        <w:between w:color="auto" w:space="0" w:sz="0" w:val="none"/>
        <w:bar w:color="auto" w:space="0" w:sz="0" w:val="none"/>
      </w:pBdr>
      <w:spacing w:after="100" w:afterAutospacing="1" w:before="100" w:beforeAutospacing="1"/>
      <w:textAlignment w:val="top"/>
    </w:pPr>
    <w:rPr>
      <w:rFonts w:eastAsia="Times New Roman"/>
      <w:sz w:val="18"/>
      <w:szCs w:val="18"/>
      <w:bdr w:color="auto" w:space="0" w:sz="0" w:val="none"/>
    </w:rPr>
  </w:style>
  <w:style w:type="paragraph" w:styleId="xl67" w:customStyle="1">
    <w:name w:val="xl67"/>
    <w:basedOn w:val="Normal"/>
    <w:rsid w:val="007D0909"/>
    <w:pPr>
      <w:pBdr>
        <w:top w:color="auto" w:space="0" w:sz="0" w:val="none"/>
        <w:left w:color="auto" w:space="0" w:sz="0" w:val="none"/>
        <w:bottom w:color="auto" w:space="0" w:sz="0" w:val="none"/>
        <w:right w:color="auto" w:space="0" w:sz="0" w:val="none"/>
        <w:between w:color="auto" w:space="0" w:sz="0" w:val="none"/>
        <w:bar w:color="auto" w:space="0" w:sz="0" w:val="none"/>
      </w:pBdr>
      <w:spacing w:after="100" w:afterAutospacing="1" w:before="100" w:beforeAutospacing="1"/>
    </w:pPr>
    <w:rPr>
      <w:rFonts w:eastAsia="Times New Roman"/>
      <w:bdr w:color="auto" w:space="0" w:sz="0" w:val="none"/>
    </w:rPr>
  </w:style>
  <w:style w:type="paragraph" w:styleId="BalloonText">
    <w:name w:val="Balloon Text"/>
    <w:basedOn w:val="Normal"/>
    <w:link w:val="BalloonTextChar"/>
    <w:uiPriority w:val="99"/>
    <w:semiHidden w:val="1"/>
    <w:unhideWhenUsed w:val="1"/>
    <w:rsid w:val="007D0909"/>
    <w:pPr>
      <w:pBdr>
        <w:top w:color="auto" w:space="0" w:sz="0" w:val="none"/>
        <w:left w:color="auto" w:space="0" w:sz="0" w:val="none"/>
        <w:bottom w:color="auto" w:space="0" w:sz="0" w:val="none"/>
        <w:right w:color="auto" w:space="0" w:sz="0" w:val="none"/>
        <w:between w:color="auto" w:space="0" w:sz="0" w:val="none"/>
        <w:bar w:color="auto" w:space="0" w:sz="0" w:val="none"/>
      </w:pBdr>
    </w:pPr>
    <w:rPr>
      <w:rFonts w:ascii="Segoe UI" w:cs="Segoe UI" w:eastAsia="Arial" w:hAnsi="Segoe UI"/>
      <w:sz w:val="18"/>
      <w:szCs w:val="18"/>
      <w:bdr w:color="auto" w:space="0" w:sz="0" w:val="none"/>
      <w:lang w:val="en"/>
    </w:rPr>
  </w:style>
  <w:style w:type="character" w:styleId="BalloonTextChar" w:customStyle="1">
    <w:name w:val="Balloon Text Char"/>
    <w:basedOn w:val="DefaultParagraphFont"/>
    <w:link w:val="BalloonText"/>
    <w:uiPriority w:val="99"/>
    <w:semiHidden w:val="1"/>
    <w:rsid w:val="007D0909"/>
    <w:rPr>
      <w:rFonts w:ascii="Segoe UI" w:cs="Segoe UI" w:eastAsia="Arial" w:hAnsi="Segoe UI"/>
      <w:sz w:val="18"/>
      <w:szCs w:val="18"/>
      <w:bdr w:color="auto" w:space="0" w:sz="0" w:val="none"/>
      <w:lang w:val="en"/>
    </w:rPr>
  </w:style>
  <w:style w:type="paragraph" w:styleId="NormalWeb">
    <w:name w:val="Normal (Web)"/>
    <w:basedOn w:val="Normal"/>
    <w:uiPriority w:val="99"/>
    <w:semiHidden w:val="1"/>
    <w:unhideWhenUsed w:val="1"/>
    <w:rsid w:val="007D0909"/>
    <w:pPr>
      <w:pBdr>
        <w:top w:color="auto" w:space="0" w:sz="0" w:val="none"/>
        <w:left w:color="auto" w:space="0" w:sz="0" w:val="none"/>
        <w:bottom w:color="auto" w:space="0" w:sz="0" w:val="none"/>
        <w:right w:color="auto" w:space="0" w:sz="0" w:val="none"/>
        <w:between w:color="auto" w:space="0" w:sz="0" w:val="none"/>
        <w:bar w:color="auto" w:space="0" w:sz="0" w:val="none"/>
      </w:pBdr>
      <w:spacing w:after="100" w:afterAutospacing="1" w:before="100" w:beforeAutospacing="1"/>
    </w:pPr>
    <w:rPr>
      <w:rFonts w:eastAsiaTheme="minorEastAsia"/>
      <w:bdr w:color="auto" w:space="0" w:sz="0" w:val="none"/>
    </w:rPr>
  </w:style>
  <w:style w:type="paragraph" w:styleId="Subtitle">
    <w:name w:val="Subtitle"/>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320" w:line="276" w:lineRule="auto"/>
    </w:pPr>
    <w:rPr>
      <w:rFonts w:ascii="Arial" w:cs="Arial" w:eastAsia="Arial" w:hAnsi="Arial"/>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BcXAjMpTN3JrnfATJnnKYl2vWw==">CgMxLjAyCGguZ2pkZ3hzOAByITEzVFlqcnY0ZlpobUhCZUh3VnFhOTBYQ3RXX1JXR3JudA==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2023-11-26T00:58:00Z</dcterms:created>
  <dc:creator>Rasheed, Umair (VWoA-IECC)</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3987f306-99fe-4762-b8ba-5218e0c4131e</vt:lpwstr>
  </property>
  <property fmtid="{D5CDD505-2E9C-101B-9397-08002B2CF9AE}" pid="3" name="SecurityClassification">
    <vt:lpwstr>Public</vt:lpwstr>
  </property>
  <property fmtid="{D5CDD505-2E9C-101B-9397-08002B2CF9AE}" pid="4" name="Retention">
    <vt:lpwstr/>
  </property>
  <property fmtid="{D5CDD505-2E9C-101B-9397-08002B2CF9AE}" pid="5" name="qConsentD">
    <vt:lpwstr/>
  </property>
</Properties>
</file>