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658C6C" w14:textId="74F2A86C" w:rsidR="0075173C" w:rsidRPr="00B14C1C" w:rsidRDefault="0075173C" w:rsidP="0075173C">
      <w:pPr>
        <w:spacing w:beforeLines="50" w:before="156"/>
        <w:jc w:val="center"/>
        <w:outlineLvl w:val="0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 w:hint="eastAsia"/>
          <w:b/>
          <w:bCs/>
          <w:sz w:val="18"/>
          <w:szCs w:val="18"/>
        </w:rPr>
        <w:t>Ta</w:t>
      </w:r>
      <w:r>
        <w:rPr>
          <w:rFonts w:ascii="Times New Roman" w:hAnsi="Times New Roman"/>
          <w:b/>
          <w:bCs/>
          <w:sz w:val="18"/>
          <w:szCs w:val="18"/>
        </w:rPr>
        <w:t xml:space="preserve">ble </w:t>
      </w:r>
      <w:r>
        <w:rPr>
          <w:rFonts w:ascii="Times New Roman" w:hAnsi="Times New Roman"/>
          <w:b/>
          <w:bCs/>
          <w:sz w:val="18"/>
          <w:szCs w:val="18"/>
        </w:rPr>
        <w:t>S8</w:t>
      </w:r>
      <w:r>
        <w:rPr>
          <w:rFonts w:ascii="Times New Roman" w:hAnsi="Times New Roman"/>
          <w:b/>
          <w:bCs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>Statistical significance of Mann-Whitney test among PIC, MI, BI and Rp of different markers.</w:t>
      </w:r>
    </w:p>
    <w:tbl>
      <w:tblPr>
        <w:tblW w:w="1034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93"/>
        <w:gridCol w:w="1032"/>
        <w:gridCol w:w="952"/>
        <w:gridCol w:w="656"/>
        <w:gridCol w:w="403"/>
        <w:gridCol w:w="1116"/>
        <w:gridCol w:w="736"/>
        <w:gridCol w:w="403"/>
        <w:gridCol w:w="939"/>
        <w:gridCol w:w="736"/>
        <w:gridCol w:w="403"/>
        <w:gridCol w:w="987"/>
        <w:gridCol w:w="736"/>
        <w:gridCol w:w="403"/>
      </w:tblGrid>
      <w:tr w:rsidR="0075173C" w14:paraId="32C31169" w14:textId="77777777" w:rsidTr="00F66855">
        <w:trPr>
          <w:trHeight w:val="290"/>
          <w:jc w:val="center"/>
        </w:trPr>
        <w:tc>
          <w:tcPr>
            <w:tcW w:w="4036" w:type="dxa"/>
            <w:gridSpan w:val="5"/>
            <w:shd w:val="clear" w:color="auto" w:fill="auto"/>
            <w:noWrap/>
            <w:vAlign w:val="center"/>
          </w:tcPr>
          <w:p w14:paraId="40C8ED7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PIC</w:t>
            </w:r>
          </w:p>
        </w:tc>
        <w:tc>
          <w:tcPr>
            <w:tcW w:w="2255" w:type="dxa"/>
            <w:gridSpan w:val="3"/>
            <w:shd w:val="clear" w:color="auto" w:fill="auto"/>
            <w:noWrap/>
            <w:vAlign w:val="center"/>
          </w:tcPr>
          <w:p w14:paraId="774ACD16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</w:t>
            </w:r>
          </w:p>
        </w:tc>
        <w:tc>
          <w:tcPr>
            <w:tcW w:w="2078" w:type="dxa"/>
            <w:gridSpan w:val="3"/>
            <w:shd w:val="clear" w:color="auto" w:fill="auto"/>
            <w:noWrap/>
            <w:vAlign w:val="center"/>
          </w:tcPr>
          <w:p w14:paraId="0BAAC38D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BI</w:t>
            </w:r>
          </w:p>
        </w:tc>
        <w:tc>
          <w:tcPr>
            <w:tcW w:w="1979" w:type="dxa"/>
            <w:gridSpan w:val="3"/>
            <w:shd w:val="clear" w:color="auto" w:fill="auto"/>
            <w:noWrap/>
            <w:vAlign w:val="center"/>
          </w:tcPr>
          <w:p w14:paraId="311CA3C2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Rp</w:t>
            </w:r>
          </w:p>
        </w:tc>
      </w:tr>
      <w:tr w:rsidR="0075173C" w14:paraId="5B8C6425" w14:textId="77777777" w:rsidTr="00F66855">
        <w:trPr>
          <w:trHeight w:val="280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14:paraId="007FAB0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Calibri" w:eastAsia="等线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3CD0389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1B1853B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0F50B51B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26407892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125E2F84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2519074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4E1F8024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2983C24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3EC1693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1CEE8F78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0702A751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BD9952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256" w:type="dxa"/>
            <w:shd w:val="clear" w:color="auto" w:fill="auto"/>
            <w:noWrap/>
            <w:vAlign w:val="center"/>
          </w:tcPr>
          <w:p w14:paraId="353C0B5B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</w:tr>
      <w:tr w:rsidR="0075173C" w14:paraId="2E1E0123" w14:textId="77777777" w:rsidTr="00F66855">
        <w:trPr>
          <w:trHeight w:val="280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14:paraId="33EAC13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ESGA-SL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5003831E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31CA06D1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2E744F80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3F1AB798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7F0210BD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0D4930A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4BDC323C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9801125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211EA11E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2F17CC3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3F0275C2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5C6C5F2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56" w:type="dxa"/>
            <w:shd w:val="clear" w:color="auto" w:fill="auto"/>
            <w:noWrap/>
            <w:vAlign w:val="center"/>
          </w:tcPr>
          <w:p w14:paraId="448B468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75173C" w14:paraId="13BE5B7E" w14:textId="77777777" w:rsidTr="00F66855">
        <w:trPr>
          <w:trHeight w:val="280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14:paraId="501E6FDC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ESGA-ML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3AB62416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0.356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78933FAC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43FEA7F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1B7E7996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5E0B349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EECD75F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0F0F4DE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592C4A18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132356E2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4DC8DF9D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2E3756C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1C0850AE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6" w:type="dxa"/>
            <w:shd w:val="clear" w:color="auto" w:fill="auto"/>
            <w:noWrap/>
            <w:vAlign w:val="center"/>
          </w:tcPr>
          <w:p w14:paraId="060BF4E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75173C" w14:paraId="2D752FB8" w14:textId="77777777" w:rsidTr="00F66855">
        <w:trPr>
          <w:trHeight w:val="280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14:paraId="08C8BF01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ESGS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18542EC1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0.222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70926E1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0.036*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3C96493D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6C847DC0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1D931B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0.474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74557386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0D3DDC6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193D5E05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24CB04B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33141C3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258B4432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0.559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6AC40050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256" w:type="dxa"/>
            <w:shd w:val="clear" w:color="auto" w:fill="auto"/>
            <w:noWrap/>
            <w:vAlign w:val="center"/>
          </w:tcPr>
          <w:p w14:paraId="7C4CE835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75173C" w14:paraId="6F8A0776" w14:textId="77777777" w:rsidTr="00F66855">
        <w:trPr>
          <w:trHeight w:val="290"/>
          <w:jc w:val="center"/>
        </w:trPr>
        <w:tc>
          <w:tcPr>
            <w:tcW w:w="993" w:type="dxa"/>
            <w:shd w:val="clear" w:color="auto" w:fill="auto"/>
            <w:noWrap/>
            <w:vAlign w:val="center"/>
          </w:tcPr>
          <w:p w14:paraId="03B46011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ES</w:t>
            </w:r>
          </w:p>
        </w:tc>
        <w:tc>
          <w:tcPr>
            <w:tcW w:w="1032" w:type="dxa"/>
            <w:shd w:val="clear" w:color="auto" w:fill="auto"/>
            <w:noWrap/>
            <w:vAlign w:val="center"/>
          </w:tcPr>
          <w:p w14:paraId="39D624D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0.134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674F726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0.001**</w:t>
            </w:r>
          </w:p>
        </w:tc>
        <w:tc>
          <w:tcPr>
            <w:tcW w:w="656" w:type="dxa"/>
            <w:shd w:val="clear" w:color="auto" w:fill="auto"/>
            <w:noWrap/>
            <w:vAlign w:val="center"/>
          </w:tcPr>
          <w:p w14:paraId="6DE53C7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0.012*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0E4CEFDB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 w14:paraId="389A6393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0.009**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15EACF07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0.007**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6C15041A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939" w:type="dxa"/>
            <w:shd w:val="clear" w:color="auto" w:fill="auto"/>
            <w:noWrap/>
            <w:vAlign w:val="center"/>
          </w:tcPr>
          <w:p w14:paraId="7D4B3B00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0.001**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4A235C05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0.004**</w:t>
            </w:r>
          </w:p>
        </w:tc>
        <w:tc>
          <w:tcPr>
            <w:tcW w:w="403" w:type="dxa"/>
            <w:shd w:val="clear" w:color="auto" w:fill="auto"/>
            <w:noWrap/>
            <w:vAlign w:val="center"/>
          </w:tcPr>
          <w:p w14:paraId="498E10BF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987" w:type="dxa"/>
            <w:shd w:val="clear" w:color="auto" w:fill="auto"/>
            <w:noWrap/>
            <w:vAlign w:val="center"/>
          </w:tcPr>
          <w:p w14:paraId="6A253C90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0.004**</w:t>
            </w:r>
          </w:p>
        </w:tc>
        <w:tc>
          <w:tcPr>
            <w:tcW w:w="736" w:type="dxa"/>
            <w:shd w:val="clear" w:color="auto" w:fill="auto"/>
            <w:noWrap/>
            <w:vAlign w:val="center"/>
          </w:tcPr>
          <w:p w14:paraId="31913D99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0.004**</w:t>
            </w:r>
          </w:p>
        </w:tc>
        <w:tc>
          <w:tcPr>
            <w:tcW w:w="256" w:type="dxa"/>
            <w:shd w:val="clear" w:color="auto" w:fill="auto"/>
            <w:noWrap/>
            <w:vAlign w:val="center"/>
          </w:tcPr>
          <w:p w14:paraId="2BF4F5E4" w14:textId="77777777" w:rsidR="0075173C" w:rsidRDefault="0075173C" w:rsidP="00F66855">
            <w:pPr>
              <w:widowControl/>
              <w:spacing w:line="200" w:lineRule="exact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/</w:t>
            </w:r>
          </w:p>
        </w:tc>
      </w:tr>
    </w:tbl>
    <w:p w14:paraId="45338B8E" w14:textId="1BF2AEB0" w:rsidR="00AB719E" w:rsidRDefault="0075173C">
      <w:r>
        <w:rPr>
          <w:rFonts w:ascii="Times New Roman" w:hAnsi="Times New Roman"/>
          <w:sz w:val="18"/>
          <w:szCs w:val="18"/>
        </w:rPr>
        <w:t xml:space="preserve">PIC, polymorphism information content. MI, marker index. BI, band informativeness. Rp, resolving power. </w:t>
      </w:r>
      <w:r>
        <w:rPr>
          <w:rFonts w:ascii="Times New Roman" w:hAnsi="Times New Roman"/>
          <w:sz w:val="18"/>
          <w:szCs w:val="18"/>
          <w:vertAlign w:val="superscript"/>
        </w:rPr>
        <w:t>*</w:t>
      </w:r>
      <w:r>
        <w:rPr>
          <w:rFonts w:ascii="Times New Roman" w:hAnsi="Times New Roman"/>
          <w:sz w:val="18"/>
          <w:szCs w:val="18"/>
        </w:rPr>
        <w:t xml:space="preserve">, </w:t>
      </w:r>
      <w:r>
        <w:rPr>
          <w:rFonts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 0.05. </w:t>
      </w:r>
      <w:r>
        <w:rPr>
          <w:rFonts w:ascii="Times New Roman" w:hAnsi="Times New Roman"/>
          <w:sz w:val="18"/>
          <w:szCs w:val="18"/>
          <w:vertAlign w:val="superscript"/>
        </w:rPr>
        <w:t>**</w:t>
      </w:r>
      <w:r>
        <w:rPr>
          <w:rFonts w:ascii="Times New Roman" w:hAnsi="Times New Roman"/>
          <w:sz w:val="18"/>
          <w:szCs w:val="18"/>
        </w:rPr>
        <w:t xml:space="preserve">, </w:t>
      </w:r>
      <w:r>
        <w:rPr>
          <w:rFonts w:ascii="Times New Roman" w:hAnsi="Times New Roman"/>
          <w:i/>
          <w:iCs/>
          <w:sz w:val="18"/>
          <w:szCs w:val="18"/>
        </w:rPr>
        <w:t>P</w:t>
      </w:r>
      <w:r>
        <w:rPr>
          <w:rFonts w:ascii="Times New Roman" w:hAnsi="Times New Roman"/>
          <w:sz w:val="18"/>
          <w:szCs w:val="18"/>
        </w:rPr>
        <w:t xml:space="preserve"> &lt; 0.01. </w:t>
      </w:r>
      <w:r>
        <w:rPr>
          <w:rFonts w:ascii="Times New Roman" w:hAnsi="Times New Roman"/>
          <w:sz w:val="18"/>
          <w:szCs w:val="18"/>
        </w:rPr>
        <w:t>The ESGS and ES primers were all multi loci markers</w:t>
      </w:r>
      <w:r>
        <w:rPr>
          <w:rFonts w:ascii="Times New Roman" w:hAnsi="Times New Roman" w:hint="eastAsia"/>
          <w:sz w:val="18"/>
          <w:szCs w:val="18"/>
        </w:rPr>
        <w:t>.</w:t>
      </w:r>
      <w:bookmarkStart w:id="0" w:name="_GoBack"/>
      <w:bookmarkEnd w:id="0"/>
    </w:p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10F"/>
    <w:rsid w:val="00455226"/>
    <w:rsid w:val="0075173C"/>
    <w:rsid w:val="007C210F"/>
    <w:rsid w:val="00AB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12CAA"/>
  <w15:chartTrackingRefBased/>
  <w15:docId w15:val="{6B6FD349-67D3-4BD0-8B89-FF6F59935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17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2</cp:revision>
  <dcterms:created xsi:type="dcterms:W3CDTF">2020-07-20T14:21:00Z</dcterms:created>
  <dcterms:modified xsi:type="dcterms:W3CDTF">2020-07-20T14:23:00Z</dcterms:modified>
</cp:coreProperties>
</file>