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459" w:leftChars="-695" w:right="-1573" w:rightChars="-749" w:firstLine="0" w:firstLineChars="0"/>
        <w:rPr>
          <w:rFonts w:hint="default" w:ascii="Times New Roman Regular" w:hAnsi="Times New Roman Regular" w:cs="Times New Roman Regular"/>
          <w:b w:val="0"/>
          <w:bCs w:val="0"/>
          <w:lang w:val="en-US" w:eastAsia="zh-CN"/>
        </w:rPr>
      </w:pPr>
      <w:r>
        <w:rPr>
          <w:rFonts w:hint="default" w:ascii="Times New Roman Bold" w:hAnsi="Times New Roman Bold" w:cs="Times New Roman Bold"/>
          <w:b/>
          <w:bCs w:val="0"/>
        </w:rPr>
        <w:t xml:space="preserve">Supplementary </w:t>
      </w:r>
      <w:r>
        <w:rPr>
          <w:rFonts w:hint="default" w:ascii="Times New Roman Bold" w:hAnsi="Times New Roman Bold" w:cs="Times New Roman Bold"/>
          <w:b/>
          <w:bCs w:val="0"/>
          <w:lang w:val="en-US"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 w:val="0"/>
          <w:lang w:val="en-US" w:eastAsia="zh-CN"/>
        </w:rPr>
        <w:t xml:space="preserve">Baseline </w:t>
      </w:r>
      <w:r>
        <w:rPr>
          <w:rFonts w:hint="eastAsia" w:ascii="Times New Roman Regular" w:hAnsi="Times New Roman Regular" w:cs="Times New Roman Regular"/>
          <w:b w:val="0"/>
          <w:bCs w:val="0"/>
          <w:lang w:val="en-US" w:eastAsia="zh-CN"/>
        </w:rPr>
        <w:t>c</w:t>
      </w:r>
      <w:r>
        <w:rPr>
          <w:rFonts w:hint="default" w:ascii="Times New Roman Regular" w:hAnsi="Times New Roman Regular" w:cs="Times New Roman Regular"/>
          <w:b w:val="0"/>
          <w:bCs w:val="0"/>
          <w:lang w:val="en-US" w:eastAsia="zh-CN"/>
        </w:rPr>
        <w:t xml:space="preserve">haracteristics of </w:t>
      </w:r>
      <w:r>
        <w:rPr>
          <w:rFonts w:hint="eastAsia" w:ascii="Times New Roman Regular" w:hAnsi="Times New Roman Regular" w:cs="Times New Roman Regular"/>
          <w:b w:val="0"/>
          <w:bCs w:val="0"/>
          <w:lang w:val="en-US" w:eastAsia="zh-CN"/>
        </w:rPr>
        <w:t>s</w:t>
      </w:r>
      <w:r>
        <w:rPr>
          <w:rFonts w:hint="default" w:ascii="Times New Roman Regular" w:hAnsi="Times New Roman Regular" w:cs="Times New Roman Regular"/>
          <w:b w:val="0"/>
          <w:bCs w:val="0"/>
          <w:lang w:val="en-US" w:eastAsia="zh-CN"/>
        </w:rPr>
        <w:t xml:space="preserve">tudy </w:t>
      </w:r>
      <w:r>
        <w:rPr>
          <w:rFonts w:hint="eastAsia" w:ascii="Times New Roman Regular" w:hAnsi="Times New Roman Regular" w:cs="Times New Roman Regular"/>
          <w:b w:val="0"/>
          <w:bCs w:val="0"/>
          <w:lang w:val="en-US" w:eastAsia="zh-CN"/>
        </w:rPr>
        <w:t>p</w:t>
      </w:r>
      <w:r>
        <w:rPr>
          <w:rFonts w:hint="default" w:ascii="Times New Roman Regular" w:hAnsi="Times New Roman Regular" w:cs="Times New Roman Regular"/>
          <w:b w:val="0"/>
          <w:bCs w:val="0"/>
          <w:lang w:val="en-US" w:eastAsia="zh-CN"/>
        </w:rPr>
        <w:t xml:space="preserve">opulation by </w:t>
      </w:r>
      <w:r>
        <w:rPr>
          <w:rFonts w:hint="eastAsia" w:ascii="Times New Roman Regular" w:hAnsi="Times New Roman Regular" w:cs="Times New Roman Regular"/>
          <w:kern w:val="2"/>
          <w:sz w:val="21"/>
          <w:szCs w:val="21"/>
          <w:vertAlign w:val="baseline"/>
          <w:lang w:val="en-US" w:eastAsia="zh-CN" w:bidi="ar-SA"/>
        </w:rPr>
        <w:t xml:space="preserve">perioperative cumulative PIMs exposure </w:t>
      </w:r>
      <w:r>
        <w:rPr>
          <w:rFonts w:hint="eastAsia" w:ascii="Times New Roman Regular" w:hAnsi="Times New Roman Regular" w:cs="Times New Roman Regular"/>
          <w:b w:val="0"/>
          <w:bCs w:val="0"/>
          <w:lang w:val="en-US" w:eastAsia="zh-CN"/>
        </w:rPr>
        <w:t>c</w:t>
      </w:r>
      <w:r>
        <w:rPr>
          <w:rFonts w:hint="default" w:ascii="Times New Roman Regular" w:hAnsi="Times New Roman Regular" w:cs="Times New Roman Regular"/>
          <w:b w:val="0"/>
          <w:bCs w:val="0"/>
          <w:lang w:val="en-US" w:eastAsia="zh-CN"/>
        </w:rPr>
        <w:t>ategory</w:t>
      </w:r>
    </w:p>
    <w:tbl>
      <w:tblPr>
        <w:tblStyle w:val="4"/>
        <w:tblW w:w="11620" w:type="dxa"/>
        <w:tblInd w:w="-14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714"/>
        <w:gridCol w:w="1947"/>
        <w:gridCol w:w="2942"/>
        <w:gridCol w:w="2095"/>
        <w:gridCol w:w="922"/>
      </w:tblGrid>
      <w:tr>
        <w:tc>
          <w:tcPr>
            <w:tcW w:w="37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lang w:val="en-US" w:eastAsia="zh-CN"/>
              </w:rPr>
              <w:t>C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lang w:val="en-US" w:eastAsia="zh-CN"/>
              </w:rPr>
              <w:t>haracteristics</w:t>
            </w:r>
          </w:p>
        </w:tc>
        <w:tc>
          <w:tcPr>
            <w:tcW w:w="19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No exposure，n=61</w:t>
            </w:r>
          </w:p>
        </w:tc>
        <w:tc>
          <w:tcPr>
            <w:tcW w:w="29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Low-moderate exposure, n=210</w:t>
            </w: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High exposure, n=168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vertAlign w:val="baseline"/>
                <w:lang w:val="en-US" w:eastAsia="zh-CN"/>
              </w:rPr>
              <w:t>P</w:t>
            </w:r>
          </w:p>
        </w:tc>
      </w:tr>
      <w:tr>
        <w:tc>
          <w:tcPr>
            <w:tcW w:w="371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>Demographics</w:t>
            </w:r>
          </w:p>
        </w:tc>
        <w:tc>
          <w:tcPr>
            <w:tcW w:w="19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>Age, years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0.180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 xml:space="preserve">  ＜70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31 (50.1)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94 (44.8)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64 (38.1)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 xml:space="preserve">  ≥70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30 (49.2)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116 (55.2)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104 (61.9)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>Sex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0.052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 xml:space="preserve">  Male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41 (67.2)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109 (51.9)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83 (49.4)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 xml:space="preserve">  Female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20 (32.8)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101 (48.1)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85 (50.6)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BMI, kg/m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vertAlign w:val="superscript"/>
                <w:lang w:val="en-US" w:eastAsia="zh-CN" w:bidi="ar-SA"/>
              </w:rPr>
              <w:t>2</w:t>
            </w: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0.160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 xml:space="preserve">  ＜23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22 (36.1)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87 (41.4)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82 (48.8)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 xml:space="preserve">  ≥23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39 (63.9)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123 (58.6)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86 (51.1)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Comorbidities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 xml:space="preserve">  Pulmonary circulatory disease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8 (13.1)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39 (18.6)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36 (21.4)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0.359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 xml:space="preserve">  D</w:t>
            </w: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iabetes mellitus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8 (13.1)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44 (21.0)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54 (32.1)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0.004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C</w:t>
            </w: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ardiac-cerebral vascular disease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11 (18.0)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47 (22.4)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59 (35.1)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0.005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Neurodegenerative disease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 (1.6)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9 (4.3)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25 (14.9)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＜0.001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R</w:t>
            </w: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heumatic disease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 (0.0)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10 (4.8)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27 (16.1)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＜0.001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C</w:t>
            </w: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ancer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11 (18.3)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66 (31.4)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62 (36.9)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0.025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P</w:t>
            </w: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eptic ulcer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6 (9.8)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15 (7.1)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14 (8.3)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0.772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 xml:space="preserve">  Hypertension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35 (57.4)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118 (56.2)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102 (60.7)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0.671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>CCI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＜0.001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＜5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42 (68.9)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99 (47.1)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58 (34.5)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≥5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19 (31.1)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111 (52.9)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110 (65.5)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>ASA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＜0.001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＜3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58 (95.1)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167 (79.5)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100 (59.5)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≥3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3 (4.9)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43 (20.5)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68 (40.5)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>Site of surgery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＜0.001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 xml:space="preserve">  P</w:t>
            </w: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eripheral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19 (31.1)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61 (29.0)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81 (48.2)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10" w:firstLineChars="10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 Intra-thoracic or abdominal 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15 (24.6)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71 (33.8)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49 (29.2)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P</w:t>
            </w: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elvic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27 (44.3)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78 (37.1)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38 (22.6)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 xml:space="preserve">Type of anesthesia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＜0.001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Spinal or epidural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17 (27.9)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152 (72.4)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111 (66.1)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Nerve block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8 (13.1)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15 (7.1)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17 (10.1)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General 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36 (59.0)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43 (20.5)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40 (23.8)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 of anesthesia, min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＜0.001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＜120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49 (80.3)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100 (47.6)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49 (29.2)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≥120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12 (19.7)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110 (52.4)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119 (70.8)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Preoperative biochemical values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>C</w:t>
            </w: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reatinine clearance rate, mL/min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0.275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＜60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17 (27.9)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60 (28.6)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60 (35.7)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≥60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44 (72.1)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150 (71.4)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108 (64.3)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Albumin, g/L, median (25th, 75th)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42.0 (39.2, 44.2)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40.5 (36.1, 44.5)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35.3 (31.3, 39.8)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＜0.001</w:t>
            </w:r>
          </w:p>
        </w:tc>
      </w:tr>
      <w:tr>
        <w:tc>
          <w:tcPr>
            <w:tcW w:w="37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rPr>
                <w:rFonts w:hint="eastAsia" w:ascii="Times New Roman Regular" w:hAnsi="Times New Roman Regular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Hemoglobin, g/L, median (25th, 75th)</w:t>
            </w:r>
          </w:p>
        </w:tc>
        <w:tc>
          <w:tcPr>
            <w:tcW w:w="194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132.0 (119.0, 140.0)</w:t>
            </w:r>
          </w:p>
        </w:tc>
        <w:tc>
          <w:tcPr>
            <w:tcW w:w="29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126.0 (111.3, 13</w:t>
            </w:r>
            <w:bookmarkStart w:id="0" w:name="_GoBack"/>
            <w:bookmarkEnd w:id="0"/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6.8)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109.0 (94.8, 123.0)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＜0.001</w:t>
            </w:r>
          </w:p>
        </w:tc>
      </w:tr>
    </w:tbl>
    <w:p>
      <w:pPr>
        <w:ind w:left="-1459" w:leftChars="-695" w:right="-1573" w:rightChars="-749" w:firstLine="0" w:firstLineChars="0"/>
        <w:rPr>
          <w:rFonts w:hint="default" w:ascii="Times New Roman Regular" w:hAnsi="Times New Roman Regular" w:cs="Times New Roman Regular"/>
          <w:b w:val="0"/>
          <w:bCs w:val="0"/>
          <w:lang w:val="en-US" w:eastAsia="zh-CN"/>
        </w:rPr>
      </w:pPr>
      <w:r>
        <w:rPr>
          <w:rFonts w:hint="default" w:ascii="Times New Roman Bold" w:hAnsi="Times New Roman Bold" w:cs="Times New Roman Bold"/>
          <w:b/>
          <w:bCs w:val="0"/>
        </w:rPr>
        <w:t xml:space="preserve">Supplementary </w:t>
      </w:r>
      <w:r>
        <w:rPr>
          <w:rFonts w:hint="default" w:ascii="Times New Roman Bold" w:hAnsi="Times New Roman Bold" w:cs="Times New Roman Bold"/>
          <w:b/>
          <w:bCs w:val="0"/>
          <w:lang w:val="en-US" w:eastAsia="zh-CN"/>
        </w:rPr>
        <w:t>table</w:t>
      </w:r>
      <w:r>
        <w:rPr>
          <w:rFonts w:hint="default" w:ascii="Times New Roman Regular" w:hAnsi="Times New Roman Regular" w:cs="Times New Roman Regular"/>
          <w:b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continued</w:t>
      </w:r>
    </w:p>
    <w:tbl>
      <w:tblPr>
        <w:tblStyle w:val="4"/>
        <w:tblW w:w="11608" w:type="dxa"/>
        <w:tblInd w:w="-14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3"/>
        <w:gridCol w:w="1936"/>
        <w:gridCol w:w="2932"/>
        <w:gridCol w:w="2095"/>
        <w:gridCol w:w="952"/>
      </w:tblGrid>
      <w:tr>
        <w:tc>
          <w:tcPr>
            <w:tcW w:w="36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lang w:val="en-US" w:eastAsia="zh-CN"/>
              </w:rPr>
              <w:t>C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lang w:val="en-US" w:eastAsia="zh-CN"/>
              </w:rPr>
              <w:t>haracteristics</w:t>
            </w:r>
          </w:p>
        </w:tc>
        <w:tc>
          <w:tcPr>
            <w:tcW w:w="19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No exposure，n=61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Low-moderate exposure, n=210</w:t>
            </w: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High exposure, n=168</w:t>
            </w: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vertAlign w:val="baseline"/>
                <w:lang w:val="en-US" w:eastAsia="zh-CN"/>
              </w:rPr>
              <w:t>P</w:t>
            </w:r>
          </w:p>
        </w:tc>
      </w:tr>
      <w:tr>
        <w:tc>
          <w:tcPr>
            <w:tcW w:w="369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>Postoperative complication morbidity</w:t>
            </w:r>
          </w:p>
        </w:tc>
        <w:tc>
          <w:tcPr>
            <w:tcW w:w="193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＜0.001</w:t>
            </w:r>
          </w:p>
        </w:tc>
      </w:tr>
      <w:tr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 xml:space="preserve">  No complication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61 (100.0)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186 (88.6)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122 (72.6)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  <w:tr>
        <w:tc>
          <w:tcPr>
            <w:tcW w:w="3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lang w:val="en-US" w:eastAsia="zh-CN"/>
              </w:rPr>
              <w:t xml:space="preserve">  Incidence of 1 or more complications 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0 (0.0)</w:t>
            </w:r>
          </w:p>
        </w:tc>
        <w:tc>
          <w:tcPr>
            <w:tcW w:w="293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24 (11.4)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  <w:t>46 (27.4)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 Regular" w:hAnsi="Times New Roman Regular" w:cs="Times New Roman Regular"/>
                <w:b w:val="0"/>
                <w:bCs w:val="0"/>
                <w:vertAlign w:val="baseline"/>
                <w:lang w:val="en-US" w:eastAsia="zh-CN"/>
              </w:rPr>
            </w:pPr>
          </w:p>
        </w:tc>
      </w:tr>
    </w:tbl>
    <w:p>
      <w:pPr>
        <w:ind w:left="-1459" w:leftChars="-695" w:right="-1772" w:rightChars="-844" w:firstLine="0" w:firstLineChars="0"/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t xml:space="preserve">All categories are shown as frequency and (percentage) unless otherwise indicated. Abbreviations: BMI, body mass index; CCI, Charlson Comorbidity Index; ASA, American Society of Anesthesiology; PIM, potentially inappropriate medication.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AdvP977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B4DED"/>
    <w:rsid w:val="3E7B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2024-06-17T09:39:00Z</dcterms:created>
  <dc:creator>momo</dc:creator>
  <cp:lastModifiedBy>momo</cp:lastModifiedBy>
  <dcterms:modified xsi:type="dcterms:W3CDTF">2024-06-17T15:48:21Z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E8E80806B9E3B3C7C6936F66919E3A30_41</vt:lpwstr>
  </property>
</Properties>
</file>