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24103" w14:textId="32529D8C" w:rsidR="006F793A" w:rsidRPr="00F71117" w:rsidRDefault="006F793A" w:rsidP="00F71117">
      <w:pPr>
        <w:spacing w:line="360" w:lineRule="auto"/>
        <w:rPr>
          <w:rFonts w:ascii="Arial" w:hAnsi="Arial" w:cs="Arial"/>
          <w:b/>
          <w:bCs/>
          <w:sz w:val="24"/>
          <w:szCs w:val="24"/>
          <w:lang w:val="en-GB"/>
        </w:rPr>
      </w:pPr>
      <w:bookmarkStart w:id="0" w:name="_Hlk171618826"/>
      <w:r w:rsidRPr="00F71117">
        <w:rPr>
          <w:rFonts w:ascii="Arial" w:hAnsi="Arial" w:cs="Arial"/>
          <w:b/>
          <w:bCs/>
          <w:sz w:val="24"/>
          <w:szCs w:val="24"/>
          <w:lang w:val="en-GB"/>
        </w:rPr>
        <w:t>Supplemental Information</w:t>
      </w:r>
    </w:p>
    <w:bookmarkEnd w:id="0"/>
    <w:p w14:paraId="1FF4EA99" w14:textId="1017FF3B" w:rsidR="006F793A" w:rsidRPr="00F71117" w:rsidRDefault="006F793A" w:rsidP="00307747">
      <w:pPr>
        <w:spacing w:line="360" w:lineRule="auto"/>
        <w:jc w:val="center"/>
        <w:rPr>
          <w:rFonts w:ascii="Arial" w:hAnsi="Arial" w:cs="Arial"/>
          <w:b/>
          <w:bCs/>
          <w:sz w:val="24"/>
          <w:szCs w:val="24"/>
          <w:lang w:val="en-GB"/>
        </w:rPr>
      </w:pPr>
      <w:r w:rsidRPr="00F71117">
        <w:rPr>
          <w:rFonts w:ascii="Arial" w:hAnsi="Arial" w:cs="Arial"/>
          <w:b/>
          <w:bCs/>
          <w:sz w:val="24"/>
          <w:szCs w:val="24"/>
          <w:lang w:val="en-GB"/>
        </w:rPr>
        <w:t>Materials and methods</w:t>
      </w:r>
    </w:p>
    <w:p w14:paraId="248EBD46" w14:textId="24EDEF3D" w:rsidR="00EC333A" w:rsidRPr="00F71117" w:rsidRDefault="00F71117" w:rsidP="00F71117">
      <w:pPr>
        <w:spacing w:line="360" w:lineRule="auto"/>
        <w:rPr>
          <w:rFonts w:ascii="Arial" w:hAnsi="Arial" w:cs="Arial"/>
          <w:b/>
          <w:bCs/>
          <w:iCs/>
          <w:sz w:val="24"/>
          <w:szCs w:val="24"/>
          <w:lang w:val="en-GB"/>
        </w:rPr>
      </w:pPr>
      <w:r>
        <w:rPr>
          <w:rFonts w:ascii="Arial" w:hAnsi="Arial" w:cs="Arial" w:hint="eastAsia"/>
          <w:b/>
          <w:bCs/>
          <w:iCs/>
          <w:sz w:val="24"/>
          <w:szCs w:val="24"/>
          <w:lang w:val="en-GB"/>
        </w:rPr>
        <w:t xml:space="preserve">1. </w:t>
      </w:r>
      <w:r w:rsidR="00EC333A" w:rsidRPr="00F71117">
        <w:rPr>
          <w:rFonts w:ascii="Arial" w:hAnsi="Arial" w:cs="Arial"/>
          <w:b/>
          <w:bCs/>
          <w:iCs/>
          <w:sz w:val="24"/>
          <w:szCs w:val="24"/>
          <w:lang w:val="en-GB"/>
        </w:rPr>
        <w:t xml:space="preserve">Experimental design </w:t>
      </w:r>
    </w:p>
    <w:p w14:paraId="12FFEFA3" w14:textId="77777777" w:rsidR="00EC333A" w:rsidRPr="00F71117" w:rsidRDefault="00EC333A" w:rsidP="00F71117">
      <w:pPr>
        <w:spacing w:line="360" w:lineRule="auto"/>
        <w:ind w:firstLineChars="200" w:firstLine="480"/>
        <w:rPr>
          <w:rFonts w:ascii="Arial" w:hAnsi="Arial" w:cs="Arial"/>
          <w:iCs/>
          <w:sz w:val="24"/>
          <w:szCs w:val="24"/>
          <w:lang w:val="en-GB"/>
        </w:rPr>
      </w:pPr>
      <w:r w:rsidRPr="00F71117">
        <w:rPr>
          <w:rFonts w:ascii="Arial" w:hAnsi="Arial" w:cs="Arial"/>
          <w:sz w:val="24"/>
          <w:szCs w:val="24"/>
          <w:lang w:val="en-GB"/>
        </w:rPr>
        <w:t xml:space="preserve">In the present study, all the mice were randomly assigned to different experimental groups as described below. </w:t>
      </w:r>
      <w:r w:rsidRPr="00F71117">
        <w:rPr>
          <w:rFonts w:ascii="Arial" w:hAnsi="Arial" w:cs="Arial"/>
          <w:iCs/>
          <w:sz w:val="24"/>
          <w:szCs w:val="24"/>
          <w:lang w:val="en-GB"/>
        </w:rPr>
        <w:t>The timelines of the two different experiments are shown in the experimental diagrams.</w:t>
      </w:r>
    </w:p>
    <w:p w14:paraId="7F990572" w14:textId="7BD60A12" w:rsidR="00EC333A" w:rsidRPr="00F71117" w:rsidRDefault="00F71117" w:rsidP="00F71117">
      <w:pPr>
        <w:spacing w:line="360" w:lineRule="auto"/>
        <w:rPr>
          <w:rFonts w:ascii="Arial" w:hAnsi="Arial" w:cs="Arial"/>
          <w:b/>
          <w:bCs/>
          <w:i/>
          <w:sz w:val="24"/>
          <w:szCs w:val="24"/>
          <w:lang w:val="en-GB"/>
        </w:rPr>
      </w:pPr>
      <w:r w:rsidRPr="00F71117">
        <w:rPr>
          <w:rFonts w:ascii="Arial" w:hAnsi="Arial" w:cs="Arial" w:hint="eastAsia"/>
          <w:b/>
          <w:bCs/>
          <w:iCs/>
          <w:sz w:val="24"/>
          <w:szCs w:val="24"/>
          <w:lang w:val="en-GB"/>
        </w:rPr>
        <w:t>1.1</w:t>
      </w:r>
      <w:r>
        <w:rPr>
          <w:rFonts w:ascii="Arial" w:hAnsi="Arial" w:cs="Arial" w:hint="eastAsia"/>
          <w:b/>
          <w:bCs/>
          <w:i/>
          <w:sz w:val="24"/>
          <w:szCs w:val="24"/>
          <w:lang w:val="en-GB"/>
        </w:rPr>
        <w:t xml:space="preserve"> </w:t>
      </w:r>
      <w:r w:rsidR="00EC333A" w:rsidRPr="00F71117">
        <w:rPr>
          <w:rFonts w:ascii="Arial" w:hAnsi="Arial" w:cs="Arial"/>
          <w:b/>
          <w:bCs/>
          <w:i/>
          <w:sz w:val="24"/>
          <w:szCs w:val="24"/>
          <w:lang w:val="en-GB"/>
        </w:rPr>
        <w:t>Experiment 1</w:t>
      </w:r>
    </w:p>
    <w:p w14:paraId="2C72E053" w14:textId="05E16341" w:rsidR="00EC333A" w:rsidRPr="00F71117" w:rsidRDefault="00EC333A" w:rsidP="00F71117">
      <w:pPr>
        <w:spacing w:line="360" w:lineRule="auto"/>
        <w:ind w:firstLineChars="200" w:firstLine="480"/>
        <w:rPr>
          <w:rFonts w:ascii="Arial" w:hAnsi="Arial" w:cs="Arial"/>
          <w:sz w:val="24"/>
          <w:szCs w:val="24"/>
          <w:lang w:val="en-GB"/>
        </w:rPr>
      </w:pPr>
      <w:r w:rsidRPr="00F71117">
        <w:rPr>
          <w:rFonts w:ascii="Arial" w:hAnsi="Arial" w:cs="Arial"/>
          <w:sz w:val="24"/>
          <w:szCs w:val="24"/>
          <w:lang w:val="en-GB"/>
        </w:rPr>
        <w:t xml:space="preserve">To explore the pathology of depression, CUS was utilized to mimic the major </w:t>
      </w:r>
      <w:proofErr w:type="spellStart"/>
      <w:r w:rsidRPr="00F71117">
        <w:rPr>
          <w:rFonts w:ascii="Arial" w:hAnsi="Arial" w:cs="Arial"/>
          <w:sz w:val="24"/>
          <w:szCs w:val="24"/>
          <w:lang w:val="en-GB"/>
        </w:rPr>
        <w:t>behavioral</w:t>
      </w:r>
      <w:proofErr w:type="spellEnd"/>
      <w:r w:rsidRPr="00F71117">
        <w:rPr>
          <w:rFonts w:ascii="Arial" w:hAnsi="Arial" w:cs="Arial"/>
          <w:sz w:val="24"/>
          <w:szCs w:val="24"/>
          <w:lang w:val="en-GB"/>
        </w:rPr>
        <w:t xml:space="preserve"> features of depression </w:t>
      </w:r>
      <w:sdt>
        <w:sdtPr>
          <w:rPr>
            <w:rFonts w:ascii="Arial" w:hAnsi="Arial" w:cs="Arial"/>
            <w:sz w:val="24"/>
            <w:szCs w:val="24"/>
            <w:lang w:val="en-GB"/>
          </w:rPr>
          <w:tag w:val="MENDELEY_CITATION_v3_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"/>
          <w:id w:val="-2140862112"/>
          <w:placeholder>
            <w:docPart w:val="4551DDC4B054480BAC54E88C042CC7F2"/>
          </w:placeholder>
        </w:sdtPr>
        <w:sdtContent>
          <w:r w:rsidR="00F71117" w:rsidRPr="00F71117">
            <w:rPr>
              <w:rFonts w:ascii="Arial" w:hAnsi="Arial" w:cs="Arial"/>
              <w:sz w:val="24"/>
              <w:szCs w:val="24"/>
            </w:rPr>
            <w:t>[1]</w:t>
          </w:r>
        </w:sdtContent>
      </w:sdt>
      <w:r w:rsidRPr="00F71117">
        <w:rPr>
          <w:rFonts w:ascii="Arial" w:hAnsi="Arial" w:cs="Arial"/>
          <w:sz w:val="24"/>
          <w:szCs w:val="24"/>
          <w:lang w:val="en-GB"/>
        </w:rPr>
        <w:t xml:space="preserve">. Adult male C57BL/6J mice were randomly divided into the Control group (n = 19) and the CUS group (n = 23) after adaptive feeding. The Control group mice were raised under normal conditions for 4 weeks without any intervention. The CUS group mice were subjected to different types of stressors for four successive weeks. The </w:t>
      </w:r>
      <w:proofErr w:type="spellStart"/>
      <w:r w:rsidRPr="00F71117">
        <w:rPr>
          <w:rFonts w:ascii="Arial" w:hAnsi="Arial" w:cs="Arial"/>
          <w:sz w:val="24"/>
          <w:szCs w:val="24"/>
          <w:lang w:val="en-GB"/>
        </w:rPr>
        <w:t>behavioral</w:t>
      </w:r>
      <w:proofErr w:type="spellEnd"/>
      <w:r w:rsidRPr="00F71117">
        <w:rPr>
          <w:rFonts w:ascii="Arial" w:hAnsi="Arial" w:cs="Arial"/>
          <w:sz w:val="24"/>
          <w:szCs w:val="24"/>
          <w:lang w:val="en-GB"/>
        </w:rPr>
        <w:t xml:space="preserve"> tests were performed 24 h after the last stress procedure.</w:t>
      </w:r>
    </w:p>
    <w:p w14:paraId="4E149802" w14:textId="376ACD80" w:rsidR="00EC333A" w:rsidRPr="00F71117" w:rsidRDefault="00F71117" w:rsidP="00F71117">
      <w:pPr>
        <w:spacing w:line="360" w:lineRule="auto"/>
        <w:rPr>
          <w:rFonts w:ascii="Arial" w:hAnsi="Arial" w:cs="Arial"/>
          <w:b/>
          <w:bCs/>
          <w:i/>
          <w:sz w:val="24"/>
          <w:szCs w:val="24"/>
          <w:lang w:val="en-GB"/>
        </w:rPr>
      </w:pPr>
      <w:r w:rsidRPr="00F71117">
        <w:rPr>
          <w:rFonts w:ascii="Arial" w:hAnsi="Arial" w:cs="Arial" w:hint="eastAsia"/>
          <w:b/>
          <w:bCs/>
          <w:iCs/>
          <w:sz w:val="24"/>
          <w:szCs w:val="24"/>
          <w:lang w:val="en-GB"/>
        </w:rPr>
        <w:t xml:space="preserve">1.2 </w:t>
      </w:r>
      <w:r w:rsidR="00EC333A" w:rsidRPr="00F71117">
        <w:rPr>
          <w:rFonts w:ascii="Arial" w:hAnsi="Arial" w:cs="Arial"/>
          <w:b/>
          <w:bCs/>
          <w:i/>
          <w:sz w:val="24"/>
          <w:szCs w:val="24"/>
          <w:lang w:val="en-GB"/>
        </w:rPr>
        <w:t>Experiment 2</w:t>
      </w:r>
    </w:p>
    <w:p w14:paraId="738731CF" w14:textId="6B4E770C" w:rsidR="00EC333A" w:rsidRPr="00F71117" w:rsidRDefault="00EC333A" w:rsidP="00F71117">
      <w:pPr>
        <w:spacing w:line="360" w:lineRule="auto"/>
        <w:ind w:firstLineChars="200" w:firstLine="480"/>
        <w:rPr>
          <w:rFonts w:ascii="Arial" w:hAnsi="Arial" w:cs="Arial"/>
          <w:sz w:val="24"/>
          <w:szCs w:val="24"/>
          <w:lang w:val="en-GB"/>
        </w:rPr>
      </w:pPr>
      <w:r w:rsidRPr="00F71117">
        <w:rPr>
          <w:rFonts w:ascii="Arial" w:hAnsi="Arial" w:cs="Arial"/>
          <w:sz w:val="24"/>
          <w:szCs w:val="24"/>
        </w:rPr>
        <w:t xml:space="preserve">To verify the role of the hippocampal adiponectin/AdipoR1 pathway in the development of depressive-like behaviors and synaptic </w:t>
      </w:r>
      <w:r w:rsidRPr="00F71117">
        <w:rPr>
          <w:rFonts w:ascii="Arial" w:eastAsia="楷体" w:hAnsi="Arial" w:cs="Arial"/>
          <w:kern w:val="0"/>
          <w:sz w:val="24"/>
          <w:szCs w:val="24"/>
        </w:rPr>
        <w:t>plasticity</w:t>
      </w:r>
      <w:r w:rsidRPr="00F71117">
        <w:rPr>
          <w:rFonts w:ascii="Arial" w:hAnsi="Arial" w:cs="Arial"/>
          <w:sz w:val="24"/>
          <w:szCs w:val="24"/>
        </w:rPr>
        <w:t xml:space="preserve">, hippocampal AdipoR1 was knocked down via the stereotactic injection of an AAV into the </w:t>
      </w:r>
      <w:bookmarkStart w:id="1" w:name="OLE_LINK2"/>
      <w:r w:rsidRPr="00F71117">
        <w:rPr>
          <w:rFonts w:ascii="Arial" w:hAnsi="Arial" w:cs="Arial"/>
          <w:sz w:val="24"/>
          <w:szCs w:val="24"/>
        </w:rPr>
        <w:t>bilateral</w:t>
      </w:r>
      <w:bookmarkEnd w:id="1"/>
      <w:r w:rsidRPr="00F71117">
        <w:rPr>
          <w:rFonts w:ascii="Arial" w:hAnsi="Arial" w:cs="Arial"/>
          <w:sz w:val="24"/>
          <w:szCs w:val="24"/>
        </w:rPr>
        <w:t xml:space="preserve"> hippocampi of otherwise healthy mice.</w:t>
      </w:r>
      <w:r w:rsidRPr="00F71117">
        <w:rPr>
          <w:rFonts w:ascii="Arial" w:eastAsia="宋体" w:hAnsi="Arial" w:cs="Arial"/>
          <w:bCs/>
          <w:sz w:val="24"/>
          <w:szCs w:val="24"/>
        </w:rPr>
        <w:t xml:space="preserve"> After adaptive feeding, a</w:t>
      </w:r>
      <w:proofErr w:type="spellStart"/>
      <w:r w:rsidRPr="00F71117">
        <w:rPr>
          <w:rFonts w:ascii="Arial" w:hAnsi="Arial" w:cs="Arial"/>
          <w:sz w:val="24"/>
          <w:szCs w:val="24"/>
          <w:lang w:val="en-GB"/>
        </w:rPr>
        <w:t>dult</w:t>
      </w:r>
      <w:proofErr w:type="spellEnd"/>
      <w:r w:rsidRPr="00F71117">
        <w:rPr>
          <w:rFonts w:ascii="Arial" w:hAnsi="Arial" w:cs="Arial"/>
          <w:sz w:val="24"/>
          <w:szCs w:val="24"/>
          <w:lang w:val="en-GB"/>
        </w:rPr>
        <w:t xml:space="preserve"> male C57BL/6J mice</w:t>
      </w:r>
      <w:r w:rsidRPr="00F71117">
        <w:rPr>
          <w:rFonts w:ascii="Arial" w:hAnsi="Arial" w:cs="Arial"/>
          <w:sz w:val="24"/>
          <w:szCs w:val="24"/>
        </w:rPr>
        <w:t xml:space="preserve"> were randomly divided into the </w:t>
      </w:r>
      <w:r w:rsidRPr="00F71117">
        <w:rPr>
          <w:rFonts w:ascii="Arial" w:eastAsia="宋体" w:hAnsi="Arial" w:cs="Arial"/>
          <w:bCs/>
          <w:sz w:val="24"/>
          <w:szCs w:val="24"/>
        </w:rPr>
        <w:t>AAV-normal control (AAV-Control) group (n = 13) and the AAV-AdipoR1 knockdown (AAV-AdipoR1-KD) group (n = 13). The mice in the AAV-Control group were injected with</w:t>
      </w:r>
      <w:r w:rsidRPr="00F71117">
        <w:rPr>
          <w:rFonts w:ascii="Arial" w:hAnsi="Arial" w:cs="Arial"/>
          <w:sz w:val="24"/>
          <w:szCs w:val="24"/>
        </w:rPr>
        <w:t xml:space="preserve"> AAV-U6-shRNA-CMV-EGFP </w:t>
      </w:r>
      <w:r w:rsidRPr="00F71117">
        <w:rPr>
          <w:rFonts w:ascii="Arial" w:eastAsia="宋体" w:hAnsi="Arial" w:cs="Arial"/>
          <w:bCs/>
          <w:sz w:val="24"/>
          <w:szCs w:val="24"/>
        </w:rPr>
        <w:t>(</w:t>
      </w:r>
      <w:proofErr w:type="spellStart"/>
      <w:proofErr w:type="gramStart"/>
      <w:r w:rsidRPr="00F71117">
        <w:rPr>
          <w:rFonts w:ascii="Arial" w:eastAsia="宋体" w:hAnsi="Arial" w:cs="Arial"/>
          <w:bCs/>
          <w:sz w:val="24"/>
          <w:szCs w:val="24"/>
        </w:rPr>
        <w:t>siRNA:TTCTCCGAACGTGTCACGTAA</w:t>
      </w:r>
      <w:proofErr w:type="spellEnd"/>
      <w:proofErr w:type="gramEnd"/>
      <w:r w:rsidRPr="00F71117">
        <w:rPr>
          <w:rFonts w:ascii="Arial" w:eastAsia="宋体" w:hAnsi="Arial" w:cs="Arial"/>
          <w:bCs/>
          <w:sz w:val="24"/>
          <w:szCs w:val="24"/>
        </w:rPr>
        <w:t xml:space="preserve">, titer 1.32 </w:t>
      </w:r>
      <w:r w:rsidRPr="00F71117">
        <w:rPr>
          <w:rFonts w:ascii="Arial" w:eastAsia="宋体" w:hAnsi="Arial" w:cs="Arial"/>
          <w:kern w:val="0"/>
          <w:sz w:val="24"/>
          <w:szCs w:val="24"/>
        </w:rPr>
        <w:t xml:space="preserve">× </w:t>
      </w:r>
      <w:r w:rsidRPr="00F71117">
        <w:rPr>
          <w:rFonts w:ascii="Arial" w:eastAsia="宋体" w:hAnsi="Arial" w:cs="Arial"/>
          <w:bCs/>
          <w:sz w:val="24"/>
          <w:szCs w:val="24"/>
        </w:rPr>
        <w:t>10</w:t>
      </w:r>
      <w:r w:rsidRPr="00F71117">
        <w:rPr>
          <w:rFonts w:ascii="Arial" w:eastAsia="宋体" w:hAnsi="Arial" w:cs="Arial"/>
          <w:bCs/>
          <w:sz w:val="24"/>
          <w:szCs w:val="24"/>
          <w:vertAlign w:val="superscript"/>
        </w:rPr>
        <w:t>13</w:t>
      </w:r>
      <w:r w:rsidRPr="00F71117">
        <w:rPr>
          <w:rFonts w:ascii="Arial" w:eastAsia="宋体" w:hAnsi="Arial" w:cs="Arial"/>
          <w:bCs/>
          <w:sz w:val="24"/>
          <w:szCs w:val="24"/>
        </w:rPr>
        <w:t xml:space="preserve"> vg/mL), and the mice in the AAV-AdipoR1 KD group were injected with</w:t>
      </w:r>
      <w:r w:rsidRPr="00F71117">
        <w:rPr>
          <w:rFonts w:ascii="Arial" w:hAnsi="Arial" w:cs="Arial"/>
          <w:sz w:val="24"/>
          <w:szCs w:val="24"/>
        </w:rPr>
        <w:t xml:space="preserve"> AAV-U6-shRNA-</w:t>
      </w:r>
      <w:r w:rsidRPr="00F71117">
        <w:rPr>
          <w:rFonts w:ascii="Arial" w:eastAsia="宋体" w:hAnsi="Arial" w:cs="Arial"/>
          <w:bCs/>
          <w:sz w:val="24"/>
          <w:szCs w:val="24"/>
        </w:rPr>
        <w:t>AdipoR1-</w:t>
      </w:r>
      <w:r w:rsidRPr="00F71117">
        <w:rPr>
          <w:rFonts w:ascii="Arial" w:hAnsi="Arial" w:cs="Arial"/>
          <w:sz w:val="24"/>
          <w:szCs w:val="24"/>
        </w:rPr>
        <w:t>CMV-EGFP</w:t>
      </w:r>
      <w:r w:rsidRPr="00F71117">
        <w:rPr>
          <w:rFonts w:ascii="Arial" w:eastAsia="宋体" w:hAnsi="Arial" w:cs="Arial"/>
          <w:bCs/>
          <w:sz w:val="24"/>
          <w:szCs w:val="24"/>
        </w:rPr>
        <w:t xml:space="preserve"> (</w:t>
      </w:r>
      <w:proofErr w:type="spellStart"/>
      <w:r w:rsidRPr="00F71117">
        <w:rPr>
          <w:rFonts w:ascii="Arial" w:eastAsia="宋体" w:hAnsi="Arial" w:cs="Arial"/>
          <w:bCs/>
          <w:sz w:val="24"/>
          <w:szCs w:val="24"/>
        </w:rPr>
        <w:t>siRNA:GGGACTGCTGTGTGTGTGTTGTA</w:t>
      </w:r>
      <w:proofErr w:type="spellEnd"/>
      <w:r w:rsidRPr="00F71117">
        <w:rPr>
          <w:rFonts w:ascii="Arial" w:eastAsia="宋体" w:hAnsi="Arial" w:cs="Arial"/>
          <w:bCs/>
          <w:sz w:val="24"/>
          <w:szCs w:val="24"/>
        </w:rPr>
        <w:t>, titer 8.16 × 10</w:t>
      </w:r>
      <w:r w:rsidRPr="00F71117">
        <w:rPr>
          <w:rFonts w:ascii="Arial" w:eastAsia="宋体" w:hAnsi="Arial" w:cs="Arial"/>
          <w:bCs/>
          <w:sz w:val="24"/>
          <w:szCs w:val="24"/>
          <w:vertAlign w:val="superscript"/>
        </w:rPr>
        <w:t>12</w:t>
      </w:r>
      <w:r w:rsidRPr="00F71117">
        <w:rPr>
          <w:rFonts w:ascii="Arial" w:eastAsia="宋体" w:hAnsi="Arial" w:cs="Arial"/>
          <w:bCs/>
          <w:sz w:val="24"/>
          <w:szCs w:val="24"/>
        </w:rPr>
        <w:t xml:space="preserve"> vg/mL). The AAV was purchased from </w:t>
      </w:r>
      <w:proofErr w:type="spellStart"/>
      <w:r w:rsidRPr="00F71117">
        <w:rPr>
          <w:rFonts w:ascii="Arial" w:hAnsi="Arial" w:cs="Arial"/>
          <w:sz w:val="24"/>
          <w:szCs w:val="24"/>
          <w:lang w:val="en-GB"/>
        </w:rPr>
        <w:t>Hanbio</w:t>
      </w:r>
      <w:proofErr w:type="spellEnd"/>
      <w:r w:rsidRPr="00F71117">
        <w:rPr>
          <w:rFonts w:ascii="Arial" w:hAnsi="Arial" w:cs="Arial"/>
          <w:sz w:val="24"/>
          <w:szCs w:val="24"/>
          <w:lang w:val="en-GB"/>
        </w:rPr>
        <w:t xml:space="preserve"> Biotechnology </w:t>
      </w:r>
      <w:r w:rsidRPr="00F71117">
        <w:rPr>
          <w:rFonts w:ascii="Arial" w:eastAsia="楷体" w:hAnsi="Arial" w:cs="Arial"/>
          <w:kern w:val="0"/>
          <w:sz w:val="24"/>
          <w:szCs w:val="24"/>
        </w:rPr>
        <w:t xml:space="preserve">Co., Ltd. </w:t>
      </w:r>
      <w:r w:rsidRPr="00F71117">
        <w:rPr>
          <w:rFonts w:ascii="Arial" w:hAnsi="Arial" w:cs="Arial"/>
          <w:sz w:val="24"/>
          <w:szCs w:val="24"/>
          <w:lang w:val="en-GB"/>
        </w:rPr>
        <w:t>(Shanghai, China)</w:t>
      </w:r>
      <w:r w:rsidRPr="00F71117">
        <w:rPr>
          <w:rFonts w:ascii="Arial" w:eastAsia="宋体" w:hAnsi="Arial" w:cs="Arial"/>
          <w:bCs/>
          <w:sz w:val="24"/>
          <w:szCs w:val="24"/>
        </w:rPr>
        <w:t xml:space="preserve">. </w:t>
      </w:r>
      <w:r w:rsidRPr="00F71117">
        <w:rPr>
          <w:rFonts w:ascii="Arial" w:hAnsi="Arial" w:cs="Arial"/>
          <w:sz w:val="24"/>
          <w:szCs w:val="24"/>
          <w:lang w:val="en-GB"/>
        </w:rPr>
        <w:t xml:space="preserve">The </w:t>
      </w:r>
      <w:proofErr w:type="spellStart"/>
      <w:r w:rsidRPr="00F71117">
        <w:rPr>
          <w:rFonts w:ascii="Arial" w:hAnsi="Arial" w:cs="Arial"/>
          <w:sz w:val="24"/>
          <w:szCs w:val="24"/>
          <w:lang w:val="en-GB"/>
        </w:rPr>
        <w:t>behavioral</w:t>
      </w:r>
      <w:proofErr w:type="spellEnd"/>
      <w:r w:rsidRPr="00F71117">
        <w:rPr>
          <w:rFonts w:ascii="Arial" w:hAnsi="Arial" w:cs="Arial"/>
          <w:sz w:val="24"/>
          <w:szCs w:val="24"/>
          <w:lang w:val="en-GB"/>
        </w:rPr>
        <w:t xml:space="preserve"> tests were performed 4 weeks after</w:t>
      </w:r>
      <w:r w:rsidRPr="00F71117">
        <w:rPr>
          <w:rFonts w:ascii="Arial" w:eastAsia="宋体" w:hAnsi="Arial" w:cs="Arial"/>
          <w:bCs/>
          <w:sz w:val="24"/>
          <w:szCs w:val="24"/>
        </w:rPr>
        <w:t xml:space="preserve"> virus injection</w:t>
      </w:r>
      <w:r w:rsidRPr="00F71117">
        <w:rPr>
          <w:rFonts w:ascii="Arial" w:hAnsi="Arial" w:cs="Arial"/>
          <w:sz w:val="24"/>
          <w:szCs w:val="24"/>
          <w:lang w:val="en-GB"/>
        </w:rPr>
        <w:t>.</w:t>
      </w:r>
    </w:p>
    <w:p w14:paraId="24275647" w14:textId="043DCE02" w:rsidR="000C0FA1" w:rsidRPr="00F71117" w:rsidRDefault="00F71117" w:rsidP="00F71117">
      <w:pPr>
        <w:spacing w:line="360" w:lineRule="auto"/>
        <w:rPr>
          <w:rFonts w:ascii="Arial" w:eastAsia="楷体" w:hAnsi="Arial" w:cs="Arial"/>
          <w:b/>
          <w:kern w:val="0"/>
          <w:sz w:val="24"/>
          <w:szCs w:val="24"/>
        </w:rPr>
      </w:pPr>
      <w:r>
        <w:rPr>
          <w:rFonts w:ascii="Arial" w:hAnsi="Arial" w:cs="Arial" w:hint="eastAsia"/>
          <w:b/>
          <w:bCs/>
          <w:sz w:val="24"/>
          <w:szCs w:val="24"/>
          <w:lang w:val="en-GB"/>
        </w:rPr>
        <w:t>2</w:t>
      </w:r>
      <w:r w:rsidR="000C0FA1" w:rsidRPr="00F71117">
        <w:rPr>
          <w:rFonts w:ascii="Arial" w:hAnsi="Arial" w:cs="Arial"/>
          <w:b/>
          <w:bCs/>
          <w:sz w:val="24"/>
          <w:szCs w:val="24"/>
          <w:lang w:val="en-GB"/>
        </w:rPr>
        <w:t>.</w:t>
      </w:r>
      <w:r w:rsidR="000C0FA1" w:rsidRPr="00F71117">
        <w:rPr>
          <w:rFonts w:ascii="Arial" w:eastAsia="宋体" w:hAnsi="Arial" w:cs="Arial"/>
          <w:b/>
          <w:sz w:val="24"/>
          <w:szCs w:val="24"/>
        </w:rPr>
        <w:t xml:space="preserve"> CUS</w:t>
      </w:r>
      <w:r w:rsidR="000C0FA1" w:rsidRPr="00F71117">
        <w:rPr>
          <w:rFonts w:ascii="Arial" w:hAnsi="Arial" w:cs="Arial"/>
          <w:sz w:val="24"/>
          <w:szCs w:val="24"/>
          <w:lang w:val="en-GB"/>
        </w:rPr>
        <w:t xml:space="preserve"> </w:t>
      </w:r>
      <w:r w:rsidR="000C0FA1" w:rsidRPr="00F71117">
        <w:rPr>
          <w:rFonts w:ascii="Arial" w:eastAsia="宋体" w:hAnsi="Arial" w:cs="Arial"/>
          <w:b/>
          <w:sz w:val="24"/>
          <w:szCs w:val="24"/>
        </w:rPr>
        <w:t xml:space="preserve">procedure </w:t>
      </w:r>
    </w:p>
    <w:p w14:paraId="1425AA2D" w14:textId="1622E5BB" w:rsidR="000C0FA1" w:rsidRPr="00F71117" w:rsidRDefault="000C0FA1" w:rsidP="00F71117">
      <w:pPr>
        <w:autoSpaceDE w:val="0"/>
        <w:autoSpaceDN w:val="0"/>
        <w:adjustRightInd w:val="0"/>
        <w:spacing w:line="360" w:lineRule="auto"/>
        <w:ind w:firstLineChars="200" w:firstLine="480"/>
        <w:rPr>
          <w:rFonts w:ascii="Arial" w:eastAsia="宋体" w:hAnsi="Arial" w:cs="Arial"/>
          <w:bCs/>
          <w:sz w:val="24"/>
          <w:szCs w:val="24"/>
        </w:rPr>
      </w:pPr>
      <w:r w:rsidRPr="00F71117">
        <w:rPr>
          <w:rFonts w:ascii="Arial" w:hAnsi="Arial" w:cs="Arial"/>
          <w:sz w:val="24"/>
          <w:szCs w:val="24"/>
        </w:rPr>
        <w:t xml:space="preserve">CUS was performed as described in previous experiments with some </w:t>
      </w:r>
      <w:r w:rsidRPr="00F71117">
        <w:rPr>
          <w:rFonts w:ascii="Arial" w:hAnsi="Arial" w:cs="Arial"/>
          <w:sz w:val="24"/>
          <w:szCs w:val="24"/>
        </w:rPr>
        <w:lastRenderedPageBreak/>
        <w:t xml:space="preserve">modifications </w:t>
      </w:r>
      <w:sdt>
        <w:sdtPr>
          <w:rPr>
            <w:rFonts w:ascii="Arial" w:hAnsi="Arial" w:cs="Arial"/>
            <w:color w:val="000000"/>
            <w:sz w:val="24"/>
            <w:szCs w:val="24"/>
          </w:rPr>
          <w:tag w:val="MENDELEY_CITATION_v3_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"/>
          <w:id w:val="-253132311"/>
          <w:placeholder>
            <w:docPart w:val="A5B6C717890E4B82B4902A5993A19202"/>
          </w:placeholder>
        </w:sdtPr>
        <w:sdtContent>
          <w:r w:rsidR="00F71117" w:rsidRPr="00F71117">
            <w:rPr>
              <w:rFonts w:ascii="Arial" w:hAnsi="Arial" w:cs="Arial"/>
              <w:sz w:val="24"/>
              <w:szCs w:val="24"/>
            </w:rPr>
            <w:t>[2]</w:t>
          </w:r>
        </w:sdtContent>
      </w:sdt>
      <w:r w:rsidRPr="00F71117">
        <w:rPr>
          <w:rFonts w:ascii="Arial" w:eastAsia="宋体" w:hAnsi="Arial" w:cs="Arial"/>
          <w:kern w:val="0"/>
          <w:sz w:val="24"/>
          <w:szCs w:val="24"/>
        </w:rPr>
        <w:t xml:space="preserve"> (</w:t>
      </w:r>
      <w:r w:rsidR="00AB66DC" w:rsidRPr="00F71117">
        <w:rPr>
          <w:rFonts w:ascii="Arial" w:eastAsia="宋体" w:hAnsi="Arial" w:cs="Arial"/>
          <w:kern w:val="0"/>
          <w:sz w:val="24"/>
          <w:szCs w:val="24"/>
        </w:rPr>
        <w:t>Supplementary Table 1</w:t>
      </w:r>
      <w:r w:rsidRPr="00F71117">
        <w:rPr>
          <w:rFonts w:ascii="Arial" w:eastAsia="宋体" w:hAnsi="Arial" w:cs="Arial"/>
          <w:kern w:val="0"/>
          <w:sz w:val="24"/>
          <w:szCs w:val="24"/>
        </w:rPr>
        <w:t>)</w:t>
      </w:r>
      <w:r w:rsidRPr="00F71117">
        <w:rPr>
          <w:rFonts w:ascii="Arial" w:hAnsi="Arial" w:cs="Arial"/>
          <w:sz w:val="24"/>
          <w:szCs w:val="24"/>
        </w:rPr>
        <w:t>. The stressors include 24 h of food deprivation, 24 h of water deprivation, reversal of the light/dark cycle (lights off for 12 h during daylight hours and lights on for 12 h overnight), tilting the cage to 45</w:t>
      </w:r>
      <w:r w:rsidRPr="00F71117">
        <w:rPr>
          <w:rFonts w:ascii="Arial" w:eastAsia="楷体" w:hAnsi="Arial" w:cs="Arial"/>
          <w:kern w:val="0"/>
          <w:sz w:val="24"/>
          <w:szCs w:val="24"/>
        </w:rPr>
        <w:t>°C</w:t>
      </w:r>
      <w:r w:rsidRPr="00F71117">
        <w:rPr>
          <w:rFonts w:ascii="Arial" w:hAnsi="Arial" w:cs="Arial"/>
          <w:sz w:val="24"/>
          <w:szCs w:val="24"/>
        </w:rPr>
        <w:t xml:space="preserve"> overnight, presentation of a strobe light for 4 h, electric shock for 5 min (2.5 mA), shaking stress 4 h (180 rpm), provision of wet bedding overnight, light exposure overnight, and 4 h of restraint. </w:t>
      </w:r>
    </w:p>
    <w:p w14:paraId="03FE45A9" w14:textId="049E183D" w:rsidR="000C0FA1" w:rsidRPr="00F71117" w:rsidRDefault="00F71117" w:rsidP="00F71117">
      <w:pPr>
        <w:spacing w:line="360" w:lineRule="auto"/>
        <w:rPr>
          <w:rFonts w:ascii="Arial" w:hAnsi="Arial" w:cs="Arial"/>
          <w:b/>
          <w:bCs/>
          <w:sz w:val="24"/>
          <w:szCs w:val="24"/>
          <w:lang w:val="en-GB"/>
        </w:rPr>
      </w:pPr>
      <w:r>
        <w:rPr>
          <w:rFonts w:ascii="Arial" w:hAnsi="Arial" w:cs="Arial" w:hint="eastAsia"/>
          <w:b/>
          <w:bCs/>
          <w:iCs/>
          <w:sz w:val="24"/>
          <w:szCs w:val="24"/>
          <w:lang w:val="en-GB"/>
        </w:rPr>
        <w:t>3</w:t>
      </w:r>
      <w:r w:rsidR="000C0FA1" w:rsidRPr="00F71117">
        <w:rPr>
          <w:rFonts w:ascii="Arial" w:hAnsi="Arial" w:cs="Arial"/>
          <w:b/>
          <w:bCs/>
          <w:iCs/>
          <w:sz w:val="24"/>
          <w:szCs w:val="24"/>
          <w:lang w:val="en-GB"/>
        </w:rPr>
        <w:t>.</w:t>
      </w:r>
      <w:r w:rsidR="000C0FA1" w:rsidRPr="00F71117">
        <w:rPr>
          <w:rFonts w:ascii="Arial" w:hAnsi="Arial" w:cs="Arial"/>
          <w:b/>
          <w:bCs/>
          <w:sz w:val="24"/>
          <w:szCs w:val="24"/>
          <w:lang w:val="en-GB"/>
        </w:rPr>
        <w:t xml:space="preserve"> </w:t>
      </w:r>
      <w:r w:rsidR="000C0FA1" w:rsidRPr="00F71117">
        <w:rPr>
          <w:rFonts w:ascii="Arial" w:eastAsia="宋体" w:hAnsi="Arial" w:cs="Arial"/>
          <w:b/>
          <w:sz w:val="24"/>
          <w:szCs w:val="24"/>
        </w:rPr>
        <w:t xml:space="preserve">Stereotactic injection of AAV </w:t>
      </w:r>
    </w:p>
    <w:p w14:paraId="4CC3188B" w14:textId="77777777" w:rsidR="000C0FA1" w:rsidRPr="00F71117" w:rsidRDefault="000C0FA1" w:rsidP="00F71117">
      <w:pPr>
        <w:autoSpaceDE w:val="0"/>
        <w:autoSpaceDN w:val="0"/>
        <w:adjustRightInd w:val="0"/>
        <w:spacing w:line="360" w:lineRule="auto"/>
        <w:ind w:firstLineChars="200" w:firstLine="480"/>
        <w:rPr>
          <w:rFonts w:ascii="Arial" w:eastAsia="宋体" w:hAnsi="Arial" w:cs="Arial"/>
          <w:bCs/>
          <w:sz w:val="24"/>
          <w:szCs w:val="24"/>
        </w:rPr>
      </w:pPr>
      <w:r w:rsidRPr="00F71117">
        <w:rPr>
          <w:rFonts w:ascii="Arial" w:eastAsia="宋体" w:hAnsi="Arial" w:cs="Arial"/>
          <w:bCs/>
          <w:sz w:val="24"/>
          <w:szCs w:val="24"/>
        </w:rPr>
        <w:t xml:space="preserve">The mice were anesthetized with isoflurane and fixed to a stereotaxic apparatus. The </w:t>
      </w:r>
      <w:r w:rsidRPr="00F71117">
        <w:rPr>
          <w:rFonts w:ascii="Arial" w:hAnsi="Arial" w:cs="Arial"/>
          <w:sz w:val="24"/>
          <w:szCs w:val="24"/>
        </w:rPr>
        <w:t>AAVs</w:t>
      </w:r>
      <w:r w:rsidRPr="00F71117">
        <w:rPr>
          <w:rFonts w:ascii="Arial" w:eastAsia="宋体" w:hAnsi="Arial" w:cs="Arial"/>
          <w:bCs/>
          <w:sz w:val="24"/>
          <w:szCs w:val="24"/>
        </w:rPr>
        <w:t xml:space="preserve"> were injected bilaterally into the hippocampus (bregma, </w:t>
      </w:r>
      <w:proofErr w:type="spellStart"/>
      <w:r w:rsidRPr="00F71117">
        <w:rPr>
          <w:rFonts w:ascii="Arial" w:eastAsia="宋体" w:hAnsi="Arial" w:cs="Arial"/>
          <w:bCs/>
          <w:sz w:val="24"/>
          <w:szCs w:val="24"/>
        </w:rPr>
        <w:t>midlateral</w:t>
      </w:r>
      <w:proofErr w:type="spellEnd"/>
      <w:r w:rsidRPr="00F71117">
        <w:rPr>
          <w:rFonts w:ascii="Arial" w:eastAsia="宋体" w:hAnsi="Arial" w:cs="Arial"/>
          <w:bCs/>
          <w:sz w:val="24"/>
          <w:szCs w:val="24"/>
        </w:rPr>
        <w:t xml:space="preserve"> - 2.3 mm; anteroposterior ± 1.8 mm; dorsoventral -2.0 mm) at a slow rate (50 </w:t>
      </w:r>
      <w:proofErr w:type="spellStart"/>
      <w:r w:rsidRPr="00F71117">
        <w:rPr>
          <w:rFonts w:ascii="Arial" w:eastAsia="宋体" w:hAnsi="Arial" w:cs="Arial"/>
          <w:bCs/>
          <w:sz w:val="24"/>
          <w:szCs w:val="24"/>
        </w:rPr>
        <w:t>nl</w:t>
      </w:r>
      <w:proofErr w:type="spellEnd"/>
      <w:r w:rsidRPr="00F71117">
        <w:rPr>
          <w:rFonts w:ascii="Arial" w:eastAsia="宋体" w:hAnsi="Arial" w:cs="Arial"/>
          <w:bCs/>
          <w:sz w:val="24"/>
          <w:szCs w:val="24"/>
        </w:rPr>
        <w:t>/min, 2μl) with a syringe. After injection, the mice were placed on a heating pad until they recovered from the anesthesia.</w:t>
      </w:r>
    </w:p>
    <w:p w14:paraId="73917684" w14:textId="7027AE43" w:rsidR="000C0FA1" w:rsidRPr="00F71117" w:rsidRDefault="00F71117" w:rsidP="00F71117">
      <w:pPr>
        <w:spacing w:line="360" w:lineRule="auto"/>
        <w:rPr>
          <w:rFonts w:ascii="Arial" w:hAnsi="Arial" w:cs="Arial"/>
          <w:b/>
          <w:sz w:val="24"/>
          <w:szCs w:val="24"/>
        </w:rPr>
      </w:pPr>
      <w:r>
        <w:rPr>
          <w:rFonts w:ascii="Arial" w:hAnsi="Arial" w:cs="Arial" w:hint="eastAsia"/>
          <w:b/>
          <w:sz w:val="24"/>
          <w:szCs w:val="24"/>
        </w:rPr>
        <w:t>4</w:t>
      </w:r>
      <w:r w:rsidR="000C0FA1" w:rsidRPr="00F71117">
        <w:rPr>
          <w:rFonts w:ascii="Arial" w:hAnsi="Arial" w:cs="Arial"/>
          <w:b/>
          <w:sz w:val="24"/>
          <w:szCs w:val="24"/>
        </w:rPr>
        <w:t>. Body weight measurement</w:t>
      </w:r>
    </w:p>
    <w:p w14:paraId="2E7CA6FB" w14:textId="77777777" w:rsidR="000C0FA1" w:rsidRPr="00F71117" w:rsidRDefault="000C0FA1" w:rsidP="00F71117">
      <w:pPr>
        <w:spacing w:line="360" w:lineRule="auto"/>
        <w:ind w:firstLineChars="200" w:firstLine="480"/>
        <w:rPr>
          <w:rFonts w:ascii="Arial" w:eastAsia="宋体" w:hAnsi="Arial" w:cs="Arial"/>
          <w:bCs/>
          <w:sz w:val="24"/>
          <w:szCs w:val="24"/>
        </w:rPr>
      </w:pPr>
      <w:r w:rsidRPr="00F71117">
        <w:rPr>
          <w:rFonts w:ascii="Arial" w:eastAsia="宋体" w:hAnsi="Arial" w:cs="Arial"/>
          <w:bCs/>
          <w:sz w:val="24"/>
          <w:szCs w:val="24"/>
        </w:rPr>
        <w:t>The body weight reflects the growth status of the mice. The body weights of the mice in each group were measured regularly.</w:t>
      </w:r>
    </w:p>
    <w:p w14:paraId="7F1EBCED" w14:textId="0A7D278A" w:rsidR="000C0FA1" w:rsidRPr="00F71117" w:rsidRDefault="00F71117" w:rsidP="00F71117">
      <w:pPr>
        <w:spacing w:line="360" w:lineRule="auto"/>
        <w:rPr>
          <w:rFonts w:ascii="Arial" w:eastAsia="宋体" w:hAnsi="Arial" w:cs="Arial"/>
          <w:b/>
          <w:sz w:val="24"/>
          <w:szCs w:val="24"/>
        </w:rPr>
      </w:pPr>
      <w:r>
        <w:rPr>
          <w:rFonts w:ascii="Arial" w:eastAsia="宋体" w:hAnsi="Arial" w:cs="Arial" w:hint="eastAsia"/>
          <w:b/>
          <w:sz w:val="24"/>
          <w:szCs w:val="24"/>
        </w:rPr>
        <w:t>5</w:t>
      </w:r>
      <w:r w:rsidR="000C0FA1" w:rsidRPr="00F71117">
        <w:rPr>
          <w:rFonts w:ascii="Arial" w:eastAsia="宋体" w:hAnsi="Arial" w:cs="Arial"/>
          <w:b/>
          <w:sz w:val="24"/>
          <w:szCs w:val="24"/>
        </w:rPr>
        <w:t>. Behavioral assessments</w:t>
      </w:r>
    </w:p>
    <w:p w14:paraId="5942D6D1" w14:textId="27205E2E" w:rsidR="000C0FA1" w:rsidRPr="00F71117" w:rsidRDefault="00F71117" w:rsidP="00F71117">
      <w:pPr>
        <w:widowControl/>
        <w:spacing w:line="360" w:lineRule="auto"/>
        <w:rPr>
          <w:rFonts w:ascii="Arial" w:eastAsia="宋体" w:hAnsi="Arial" w:cs="Arial"/>
          <w:b/>
          <w:bCs/>
          <w:i/>
          <w:iCs/>
          <w:kern w:val="0"/>
          <w:sz w:val="24"/>
          <w:szCs w:val="24"/>
        </w:rPr>
      </w:pPr>
      <w:r>
        <w:rPr>
          <w:rFonts w:ascii="Arial" w:eastAsia="宋体" w:hAnsi="Arial" w:cs="Arial" w:hint="eastAsia"/>
          <w:b/>
          <w:bCs/>
          <w:kern w:val="0"/>
          <w:sz w:val="24"/>
          <w:szCs w:val="24"/>
        </w:rPr>
        <w:t>5</w:t>
      </w:r>
      <w:r w:rsidR="000C0FA1" w:rsidRPr="00F71117">
        <w:rPr>
          <w:rFonts w:ascii="Arial" w:eastAsia="宋体" w:hAnsi="Arial" w:cs="Arial"/>
          <w:b/>
          <w:bCs/>
          <w:kern w:val="0"/>
          <w:sz w:val="24"/>
          <w:szCs w:val="24"/>
        </w:rPr>
        <w:t>.1 Sucrose preference test (SPT)</w:t>
      </w:r>
    </w:p>
    <w:p w14:paraId="7438008A" w14:textId="02A99091" w:rsidR="000C0FA1" w:rsidRPr="00F71117" w:rsidRDefault="000C0FA1" w:rsidP="00F71117">
      <w:pPr>
        <w:widowControl/>
        <w:spacing w:line="360" w:lineRule="auto"/>
        <w:ind w:firstLineChars="200" w:firstLine="480"/>
        <w:rPr>
          <w:rFonts w:ascii="Arial" w:hAnsi="Arial" w:cs="Arial"/>
          <w:sz w:val="24"/>
          <w:szCs w:val="24"/>
        </w:rPr>
      </w:pPr>
      <w:r w:rsidRPr="00F71117">
        <w:rPr>
          <w:rFonts w:ascii="Arial" w:eastAsia="宋体" w:hAnsi="Arial" w:cs="Arial"/>
          <w:kern w:val="0"/>
          <w:sz w:val="24"/>
          <w:szCs w:val="24"/>
        </w:rPr>
        <w:t xml:space="preserve">The SPT was used to evaluate anhedonia in rodents </w:t>
      </w:r>
      <w:sdt>
        <w:sdtPr>
          <w:rPr>
            <w:rFonts w:ascii="Arial" w:hAnsi="Arial" w:cs="Arial"/>
            <w:color w:val="000000"/>
            <w:sz w:val="24"/>
            <w:szCs w:val="24"/>
          </w:rPr>
          <w:tag w:val="MENDELEY_CITATION_v3_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"/>
          <w:id w:val="-1681259842"/>
          <w:placeholder>
            <w:docPart w:val="A5B6C717890E4B82B4902A5993A19202"/>
          </w:placeholder>
        </w:sdtPr>
        <w:sdtContent>
          <w:r w:rsidR="00F71117" w:rsidRPr="00F71117">
            <w:rPr>
              <w:rFonts w:ascii="Arial" w:hAnsi="Arial" w:cs="Arial"/>
              <w:sz w:val="24"/>
              <w:szCs w:val="24"/>
            </w:rPr>
            <w:t>[3]</w:t>
          </w:r>
        </w:sdtContent>
      </w:sdt>
      <w:r w:rsidRPr="00F71117">
        <w:rPr>
          <w:rFonts w:ascii="Arial" w:eastAsia="宋体" w:hAnsi="Arial" w:cs="Arial"/>
          <w:kern w:val="0"/>
          <w:sz w:val="24"/>
          <w:szCs w:val="24"/>
        </w:rPr>
        <w:t>. All the mice were habituated to two bottles, one containing sucrose solution (1% (</w:t>
      </w:r>
      <w:proofErr w:type="spellStart"/>
      <w:r w:rsidRPr="00F71117">
        <w:rPr>
          <w:rFonts w:ascii="Arial" w:eastAsia="宋体" w:hAnsi="Arial" w:cs="Arial"/>
          <w:kern w:val="0"/>
          <w:sz w:val="24"/>
          <w:szCs w:val="24"/>
        </w:rPr>
        <w:t>wt</w:t>
      </w:r>
      <w:proofErr w:type="spellEnd"/>
      <w:r w:rsidRPr="00F71117">
        <w:rPr>
          <w:rFonts w:ascii="Arial" w:eastAsia="宋体" w:hAnsi="Arial" w:cs="Arial"/>
          <w:kern w:val="0"/>
          <w:sz w:val="24"/>
          <w:szCs w:val="24"/>
        </w:rPr>
        <w:t>/vol)) and one containing drinking water, for 48 h of continuous exposure. To avoid a preference for the location of the bottles, their positions were switched after the first 24 h. During the SPT, the mice were allowed to interact with two bottles for 24 h, one containing sucrose solution (1% (</w:t>
      </w:r>
      <w:proofErr w:type="spellStart"/>
      <w:r w:rsidRPr="00F71117">
        <w:rPr>
          <w:rFonts w:ascii="Arial" w:eastAsia="宋体" w:hAnsi="Arial" w:cs="Arial"/>
          <w:kern w:val="0"/>
          <w:sz w:val="24"/>
          <w:szCs w:val="24"/>
        </w:rPr>
        <w:t>wt</w:t>
      </w:r>
      <w:proofErr w:type="spellEnd"/>
      <w:r w:rsidRPr="00F71117">
        <w:rPr>
          <w:rFonts w:ascii="Arial" w:eastAsia="宋体" w:hAnsi="Arial" w:cs="Arial"/>
          <w:kern w:val="0"/>
          <w:sz w:val="24"/>
          <w:szCs w:val="24"/>
        </w:rPr>
        <w:t>/vol)) and one containing drinking water. The weights of the two bottles measured at the start and end of this 24 h. The sucrose preference was calculated according to the following formula: sucrose preferences (%) = sucrose consumption</w:t>
      </w:r>
      <w:r w:rsidRPr="00F71117">
        <w:rPr>
          <w:rFonts w:ascii="Arial" w:eastAsia="宋体" w:hAnsi="Arial" w:cs="Arial"/>
          <w:color w:val="000000"/>
          <w:kern w:val="0"/>
          <w:sz w:val="24"/>
          <w:szCs w:val="24"/>
        </w:rPr>
        <w:t>/</w:t>
      </w:r>
      <w:r w:rsidRPr="00F71117">
        <w:rPr>
          <w:rFonts w:ascii="Arial" w:eastAsia="宋体" w:hAnsi="Arial" w:cs="Arial"/>
          <w:kern w:val="0"/>
          <w:sz w:val="24"/>
          <w:szCs w:val="24"/>
        </w:rPr>
        <w:t xml:space="preserve"> (sucrose consumption + water consumption) ×100%.</w:t>
      </w:r>
      <w:r w:rsidRPr="00F71117">
        <w:rPr>
          <w:rFonts w:ascii="Arial" w:hAnsi="Arial" w:cs="Arial"/>
          <w:sz w:val="24"/>
          <w:szCs w:val="24"/>
        </w:rPr>
        <w:t xml:space="preserve"> </w:t>
      </w:r>
    </w:p>
    <w:p w14:paraId="2379AE90" w14:textId="1CCDE3DE" w:rsidR="000C0FA1" w:rsidRPr="00F71117" w:rsidRDefault="00F71117" w:rsidP="00F71117">
      <w:pPr>
        <w:widowControl/>
        <w:spacing w:line="360" w:lineRule="auto"/>
        <w:rPr>
          <w:rFonts w:ascii="Arial" w:eastAsia="宋体" w:hAnsi="Arial" w:cs="Arial"/>
          <w:b/>
          <w:bCs/>
          <w:kern w:val="0"/>
          <w:sz w:val="24"/>
          <w:szCs w:val="24"/>
        </w:rPr>
      </w:pPr>
      <w:r>
        <w:rPr>
          <w:rFonts w:ascii="Arial" w:eastAsia="宋体" w:hAnsi="Arial" w:cs="Arial" w:hint="eastAsia"/>
          <w:b/>
          <w:bCs/>
          <w:kern w:val="0"/>
          <w:sz w:val="24"/>
          <w:szCs w:val="24"/>
        </w:rPr>
        <w:t>5</w:t>
      </w:r>
      <w:r w:rsidR="000C0FA1" w:rsidRPr="00F71117">
        <w:rPr>
          <w:rFonts w:ascii="Arial" w:eastAsia="宋体" w:hAnsi="Arial" w:cs="Arial"/>
          <w:b/>
          <w:bCs/>
          <w:kern w:val="0"/>
          <w:sz w:val="24"/>
          <w:szCs w:val="24"/>
        </w:rPr>
        <w:t>.2 Tail suspension test (TST)</w:t>
      </w:r>
    </w:p>
    <w:p w14:paraId="0E2A8AAE" w14:textId="2687C57C" w:rsidR="000C0FA1" w:rsidRPr="00F71117" w:rsidRDefault="000C0FA1" w:rsidP="00F71117">
      <w:pPr>
        <w:widowControl/>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The TST was used to measure “behavioral despair” </w:t>
      </w:r>
      <w:sdt>
        <w:sdtPr>
          <w:rPr>
            <w:rFonts w:ascii="Arial" w:eastAsia="宋体" w:hAnsi="Arial" w:cs="Arial"/>
            <w:color w:val="000000"/>
            <w:kern w:val="0"/>
            <w:sz w:val="24"/>
            <w:szCs w:val="24"/>
          </w:rPr>
          <w:tag w:val="MENDELEY_CITATION_v3_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"/>
          <w:id w:val="-1656985175"/>
          <w:placeholder>
            <w:docPart w:val="A5B6C717890E4B82B4902A5993A19202"/>
          </w:placeholder>
        </w:sdtPr>
        <w:sdtContent>
          <w:r w:rsidR="00F71117" w:rsidRPr="00F71117">
            <w:rPr>
              <w:rFonts w:ascii="Arial" w:hAnsi="Arial" w:cs="Arial"/>
              <w:sz w:val="24"/>
              <w:szCs w:val="24"/>
            </w:rPr>
            <w:t>[4]</w:t>
          </w:r>
        </w:sdtContent>
      </w:sdt>
      <w:r w:rsidRPr="00F71117">
        <w:rPr>
          <w:rFonts w:ascii="Arial" w:eastAsia="宋体" w:hAnsi="Arial" w:cs="Arial"/>
          <w:kern w:val="0"/>
          <w:sz w:val="24"/>
          <w:szCs w:val="24"/>
        </w:rPr>
        <w:t>. Each mouse was suspended individually by its tail using adhesive tape to a tail suspension chamber under auditory and visual isolation condition. The duration of the test was 6 min, and the immobility duration (%) within the final 4 min of testing was recorded.</w:t>
      </w:r>
    </w:p>
    <w:p w14:paraId="1116E9D0" w14:textId="491DACEF" w:rsidR="000C0FA1" w:rsidRPr="00F71117" w:rsidRDefault="00F71117" w:rsidP="00F71117">
      <w:pPr>
        <w:widowControl/>
        <w:spacing w:line="360" w:lineRule="auto"/>
        <w:rPr>
          <w:rFonts w:ascii="Arial" w:eastAsia="宋体" w:hAnsi="Arial" w:cs="Arial"/>
          <w:b/>
          <w:bCs/>
          <w:kern w:val="0"/>
          <w:sz w:val="24"/>
          <w:szCs w:val="24"/>
        </w:rPr>
      </w:pPr>
      <w:bookmarkStart w:id="2" w:name="_Hlk163986866"/>
      <w:r>
        <w:rPr>
          <w:rFonts w:ascii="Arial" w:eastAsia="宋体" w:hAnsi="Arial" w:cs="Arial" w:hint="eastAsia"/>
          <w:b/>
          <w:bCs/>
          <w:kern w:val="0"/>
          <w:sz w:val="24"/>
          <w:szCs w:val="24"/>
        </w:rPr>
        <w:t>5</w:t>
      </w:r>
      <w:r w:rsidR="000C0FA1" w:rsidRPr="00F71117">
        <w:rPr>
          <w:rFonts w:ascii="Arial" w:eastAsia="宋体" w:hAnsi="Arial" w:cs="Arial"/>
          <w:b/>
          <w:bCs/>
          <w:kern w:val="0"/>
          <w:sz w:val="24"/>
          <w:szCs w:val="24"/>
        </w:rPr>
        <w:t>.3 Forced swimming test</w:t>
      </w:r>
      <w:bookmarkEnd w:id="2"/>
      <w:r w:rsidR="000C0FA1" w:rsidRPr="00F71117">
        <w:rPr>
          <w:rFonts w:ascii="Arial" w:eastAsia="宋体" w:hAnsi="Arial" w:cs="Arial"/>
          <w:b/>
          <w:bCs/>
          <w:kern w:val="0"/>
          <w:sz w:val="24"/>
          <w:szCs w:val="24"/>
        </w:rPr>
        <w:t xml:space="preserve"> (FST)</w:t>
      </w:r>
    </w:p>
    <w:p w14:paraId="371497AC" w14:textId="3EEF35F0" w:rsidR="000C0FA1" w:rsidRPr="00F71117" w:rsidRDefault="000C0FA1" w:rsidP="00F71117">
      <w:pPr>
        <w:widowControl/>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The FST is a classic method used to evaluate stress-coping behavior in rodents </w:t>
      </w:r>
      <w:sdt>
        <w:sdtPr>
          <w:rPr>
            <w:rFonts w:ascii="Arial" w:eastAsia="宋体" w:hAnsi="Arial" w:cs="Arial"/>
            <w:color w:val="000000"/>
            <w:kern w:val="0"/>
            <w:sz w:val="24"/>
            <w:szCs w:val="24"/>
          </w:rPr>
          <w:tag w:val="MENDELEY_CITATION_v3_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"/>
          <w:id w:val="-355968603"/>
          <w:placeholder>
            <w:docPart w:val="A5B6C717890E4B82B4902A5993A19202"/>
          </w:placeholder>
        </w:sdtPr>
        <w:sdtContent>
          <w:r w:rsidR="00F71117" w:rsidRPr="00F71117">
            <w:rPr>
              <w:rFonts w:ascii="Arial" w:hAnsi="Arial" w:cs="Arial"/>
              <w:sz w:val="24"/>
              <w:szCs w:val="24"/>
            </w:rPr>
            <w:t>[5]</w:t>
          </w:r>
        </w:sdtContent>
      </w:sdt>
      <w:r w:rsidRPr="00F71117">
        <w:rPr>
          <w:rFonts w:ascii="Arial" w:hAnsi="Arial" w:cs="Arial"/>
          <w:sz w:val="24"/>
          <w:szCs w:val="24"/>
        </w:rPr>
        <w:t xml:space="preserve">. </w:t>
      </w:r>
      <w:r w:rsidRPr="00F71117">
        <w:rPr>
          <w:rFonts w:ascii="Arial" w:eastAsia="宋体" w:hAnsi="Arial" w:cs="Arial"/>
          <w:kern w:val="0"/>
          <w:sz w:val="24"/>
          <w:szCs w:val="24"/>
        </w:rPr>
        <w:t>The mice were individually placed in a transparent cylinder (diameter: 20 cm; height: 30 cm) filled with 15 cm depth of water (23 ± 1°C). The mice were monitored for 6 min via video tracking, and the immobility duration within the final 4 min of testing was recorded.</w:t>
      </w:r>
    </w:p>
    <w:p w14:paraId="2C0B636C" w14:textId="5A778C7F" w:rsidR="000C0FA1" w:rsidRPr="00F71117" w:rsidRDefault="00F71117" w:rsidP="00F71117">
      <w:pPr>
        <w:spacing w:line="360" w:lineRule="auto"/>
        <w:rPr>
          <w:rFonts w:ascii="Arial" w:eastAsia="宋体" w:hAnsi="Arial" w:cs="Arial"/>
          <w:b/>
          <w:bCs/>
          <w:kern w:val="0"/>
          <w:sz w:val="24"/>
          <w:szCs w:val="24"/>
        </w:rPr>
      </w:pPr>
      <w:r>
        <w:rPr>
          <w:rFonts w:ascii="Arial" w:eastAsia="宋体" w:hAnsi="Arial" w:cs="Arial" w:hint="eastAsia"/>
          <w:b/>
          <w:bCs/>
          <w:kern w:val="0"/>
          <w:sz w:val="24"/>
          <w:szCs w:val="24"/>
        </w:rPr>
        <w:t>6</w:t>
      </w:r>
      <w:r w:rsidR="000C0FA1" w:rsidRPr="00F71117">
        <w:rPr>
          <w:rFonts w:ascii="Arial" w:eastAsia="宋体" w:hAnsi="Arial" w:cs="Arial"/>
          <w:b/>
          <w:bCs/>
          <w:kern w:val="0"/>
          <w:sz w:val="24"/>
          <w:szCs w:val="24"/>
        </w:rPr>
        <w:t>. Tissue preparation</w:t>
      </w:r>
    </w:p>
    <w:p w14:paraId="4BF1FA14" w14:textId="77777777"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The mice were anesthetized intraperitoneally with sodium pentobarbital (40 mg/kg). </w:t>
      </w:r>
      <w:r w:rsidRPr="00F71117">
        <w:rPr>
          <w:rFonts w:ascii="Arial" w:hAnsi="Arial" w:cs="Arial"/>
          <w:sz w:val="24"/>
          <w:szCs w:val="24"/>
        </w:rPr>
        <w:t>Five mice randomly selected from each group</w:t>
      </w:r>
      <w:r w:rsidRPr="00F71117">
        <w:rPr>
          <w:rFonts w:ascii="Arial" w:eastAsia="宋体" w:hAnsi="Arial" w:cs="Arial"/>
          <w:kern w:val="0"/>
          <w:sz w:val="24"/>
          <w:szCs w:val="24"/>
        </w:rPr>
        <w:t xml:space="preserve"> were intracardially perfused with 10 ml of isotonic saline, followed by 40 ml of 4% paraformaldehyde (PFA). The brain tissues were isolated and postfixed in container filled with 4% PFA.</w:t>
      </w:r>
      <w:r w:rsidRPr="00F71117">
        <w:rPr>
          <w:rFonts w:ascii="Arial" w:hAnsi="Arial" w:cs="Arial"/>
          <w:sz w:val="24"/>
          <w:szCs w:val="24"/>
        </w:rPr>
        <w:t xml:space="preserve"> Five mice were randomly selected from the remaining mice,</w:t>
      </w:r>
      <w:r w:rsidRPr="00F71117">
        <w:rPr>
          <w:rFonts w:ascii="Arial" w:eastAsia="宋体" w:hAnsi="Arial" w:cs="Arial"/>
          <w:kern w:val="0"/>
          <w:sz w:val="24"/>
          <w:szCs w:val="24"/>
        </w:rPr>
        <w:t xml:space="preserve"> and blood samples from the retro-orbital venous plexus, the </w:t>
      </w:r>
      <w:r w:rsidRPr="00F71117">
        <w:rPr>
          <w:rFonts w:ascii="Arial" w:hAnsi="Arial" w:cs="Arial"/>
          <w:sz w:val="24"/>
          <w:szCs w:val="24"/>
          <w:lang w:val="en-GB"/>
        </w:rPr>
        <w:t xml:space="preserve">epididymis </w:t>
      </w:r>
      <w:r w:rsidRPr="00F71117">
        <w:rPr>
          <w:rFonts w:ascii="Arial" w:hAnsi="Arial" w:cs="Arial"/>
          <w:kern w:val="0"/>
          <w:sz w:val="24"/>
          <w:szCs w:val="24"/>
          <w:lang w:val="en-GB"/>
        </w:rPr>
        <w:t xml:space="preserve">white </w:t>
      </w:r>
      <w:r w:rsidRPr="00F71117">
        <w:rPr>
          <w:rFonts w:ascii="Arial" w:hAnsi="Arial" w:cs="Arial"/>
          <w:sz w:val="24"/>
          <w:szCs w:val="24"/>
          <w:shd w:val="clear" w:color="auto" w:fill="FFFFFF"/>
        </w:rPr>
        <w:t>adipose</w:t>
      </w:r>
      <w:r w:rsidRPr="00F71117">
        <w:rPr>
          <w:rFonts w:ascii="Arial" w:hAnsi="Arial" w:cs="Arial"/>
          <w:kern w:val="0"/>
          <w:sz w:val="24"/>
          <w:szCs w:val="24"/>
          <w:lang w:val="en-GB"/>
        </w:rPr>
        <w:t xml:space="preserve"> tissue (</w:t>
      </w:r>
      <w:proofErr w:type="spellStart"/>
      <w:r w:rsidRPr="00F71117">
        <w:rPr>
          <w:rFonts w:ascii="Arial" w:hAnsi="Arial" w:cs="Arial"/>
          <w:kern w:val="0"/>
          <w:sz w:val="24"/>
          <w:szCs w:val="24"/>
          <w:lang w:val="en-GB"/>
        </w:rPr>
        <w:t>eWAT</w:t>
      </w:r>
      <w:proofErr w:type="spellEnd"/>
      <w:r w:rsidRPr="00F71117">
        <w:rPr>
          <w:rFonts w:ascii="Arial" w:hAnsi="Arial" w:cs="Arial"/>
          <w:kern w:val="0"/>
          <w:sz w:val="24"/>
          <w:szCs w:val="24"/>
          <w:lang w:val="en-GB"/>
        </w:rPr>
        <w:t>)</w:t>
      </w:r>
      <w:r w:rsidRPr="00F71117">
        <w:rPr>
          <w:rFonts w:ascii="Arial" w:eastAsia="宋体" w:hAnsi="Arial" w:cs="Arial"/>
          <w:kern w:val="0"/>
          <w:sz w:val="24"/>
          <w:szCs w:val="24"/>
        </w:rPr>
        <w:t xml:space="preserve"> and the bilateral hippocampal tissue of the mice were quickly collected and placed on ice. All the tissues were frozen in liquid nitrogen and stored at -80°C.</w:t>
      </w:r>
    </w:p>
    <w:p w14:paraId="1D13B4EC" w14:textId="70D02132" w:rsidR="000C0FA1" w:rsidRPr="00F71117" w:rsidRDefault="00F71117" w:rsidP="00F71117">
      <w:pPr>
        <w:spacing w:line="360" w:lineRule="auto"/>
        <w:rPr>
          <w:rFonts w:ascii="Arial" w:eastAsia="宋体" w:hAnsi="Arial" w:cs="Arial"/>
          <w:b/>
          <w:bCs/>
          <w:kern w:val="0"/>
          <w:sz w:val="24"/>
          <w:szCs w:val="24"/>
        </w:rPr>
      </w:pPr>
      <w:r>
        <w:rPr>
          <w:rFonts w:ascii="Arial" w:eastAsia="宋体" w:hAnsi="Arial" w:cs="Arial" w:hint="eastAsia"/>
          <w:b/>
          <w:bCs/>
          <w:kern w:val="0"/>
          <w:sz w:val="24"/>
          <w:szCs w:val="24"/>
        </w:rPr>
        <w:t>7</w:t>
      </w:r>
      <w:r w:rsidR="000C0FA1" w:rsidRPr="00F71117">
        <w:rPr>
          <w:rFonts w:ascii="Arial" w:eastAsia="宋体" w:hAnsi="Arial" w:cs="Arial"/>
          <w:b/>
          <w:bCs/>
          <w:kern w:val="0"/>
          <w:sz w:val="24"/>
          <w:szCs w:val="24"/>
        </w:rPr>
        <w:t>. Enzyme-linked immunosorbent assays (ELISAs)</w:t>
      </w:r>
    </w:p>
    <w:p w14:paraId="18108B8B" w14:textId="77777777"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After anticoagulation, the blood samples were centrifuged at 4°C, and plasma samples were collected. According to the manufacturer’s protocol, ELISA kits were used to quantify the expression levels of total and high adiponectin in plasma (ALPCO</w:t>
      </w:r>
      <w:r w:rsidRPr="00F71117">
        <w:rPr>
          <w:rFonts w:ascii="Arial" w:eastAsia="宋体" w:hAnsi="Arial" w:cs="Arial"/>
          <w:kern w:val="0"/>
          <w:sz w:val="24"/>
          <w:szCs w:val="24"/>
          <w:vertAlign w:val="superscript"/>
        </w:rPr>
        <w:t>TM</w:t>
      </w:r>
      <w:r w:rsidRPr="00F71117">
        <w:rPr>
          <w:rFonts w:ascii="Arial" w:eastAsia="宋体" w:hAnsi="Arial" w:cs="Arial"/>
          <w:kern w:val="0"/>
          <w:sz w:val="24"/>
          <w:szCs w:val="24"/>
        </w:rPr>
        <w:t xml:space="preserve"> immunoassay, Cat # 80-ADPHU-E01, USA).</w:t>
      </w:r>
      <w:r w:rsidRPr="00F71117">
        <w:rPr>
          <w:rFonts w:ascii="Arial" w:hAnsi="Arial" w:cs="Arial"/>
          <w:sz w:val="24"/>
          <w:szCs w:val="24"/>
        </w:rPr>
        <w:t xml:space="preserve"> </w:t>
      </w:r>
    </w:p>
    <w:p w14:paraId="4DC603C0" w14:textId="53E2BB1B" w:rsidR="000C0FA1" w:rsidRPr="00F71117" w:rsidRDefault="00F71117" w:rsidP="00F71117">
      <w:pPr>
        <w:spacing w:line="360" w:lineRule="auto"/>
        <w:rPr>
          <w:rFonts w:ascii="Arial" w:eastAsia="宋体" w:hAnsi="Arial" w:cs="Arial"/>
          <w:b/>
          <w:bCs/>
          <w:kern w:val="0"/>
          <w:sz w:val="24"/>
          <w:szCs w:val="24"/>
        </w:rPr>
      </w:pPr>
      <w:r>
        <w:rPr>
          <w:rFonts w:ascii="Arial" w:eastAsia="宋体" w:hAnsi="Arial" w:cs="Arial" w:hint="eastAsia"/>
          <w:b/>
          <w:bCs/>
          <w:kern w:val="0"/>
          <w:sz w:val="24"/>
          <w:szCs w:val="24"/>
        </w:rPr>
        <w:t>8</w:t>
      </w:r>
      <w:r w:rsidR="000C0FA1" w:rsidRPr="00F71117">
        <w:rPr>
          <w:rFonts w:ascii="Arial" w:eastAsia="宋体" w:hAnsi="Arial" w:cs="Arial"/>
          <w:b/>
          <w:bCs/>
          <w:kern w:val="0"/>
          <w:sz w:val="24"/>
          <w:szCs w:val="24"/>
        </w:rPr>
        <w:t>. Western blotting</w:t>
      </w:r>
    </w:p>
    <w:p w14:paraId="408AB5B1" w14:textId="77777777"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Briefly, frozen hippocampal tissue was lysed with RIPA lysis buffer (</w:t>
      </w:r>
      <w:proofErr w:type="spellStart"/>
      <w:r w:rsidRPr="00F71117">
        <w:rPr>
          <w:rFonts w:ascii="Arial" w:eastAsia="宋体" w:hAnsi="Arial" w:cs="Arial"/>
          <w:kern w:val="0"/>
          <w:sz w:val="24"/>
          <w:szCs w:val="24"/>
        </w:rPr>
        <w:t>Beyotime</w:t>
      </w:r>
      <w:proofErr w:type="spellEnd"/>
      <w:r w:rsidRPr="00F71117">
        <w:rPr>
          <w:rFonts w:ascii="Arial" w:eastAsia="宋体" w:hAnsi="Arial" w:cs="Arial"/>
          <w:kern w:val="0"/>
          <w:sz w:val="24"/>
          <w:szCs w:val="24"/>
        </w:rPr>
        <w:t>, China) containing 1% protease and phosphatase inhibitors (</w:t>
      </w:r>
      <w:proofErr w:type="spellStart"/>
      <w:r w:rsidRPr="00F71117">
        <w:rPr>
          <w:rFonts w:ascii="Arial" w:eastAsia="宋体" w:hAnsi="Arial" w:cs="Arial"/>
          <w:kern w:val="0"/>
          <w:sz w:val="24"/>
          <w:szCs w:val="24"/>
        </w:rPr>
        <w:t>Beyotime</w:t>
      </w:r>
      <w:proofErr w:type="spellEnd"/>
      <w:r w:rsidRPr="00F71117">
        <w:rPr>
          <w:rFonts w:ascii="Arial" w:eastAsia="宋体" w:hAnsi="Arial" w:cs="Arial"/>
          <w:kern w:val="0"/>
          <w:sz w:val="24"/>
          <w:szCs w:val="24"/>
        </w:rPr>
        <w:t>, China) and homogenized on ice. The protein supernatants were collected after centrifugation, quantified with the bicinchoninic acid assay (</w:t>
      </w:r>
      <w:proofErr w:type="spellStart"/>
      <w:r w:rsidRPr="00F71117">
        <w:rPr>
          <w:rFonts w:ascii="Arial" w:eastAsia="宋体" w:hAnsi="Arial" w:cs="Arial"/>
          <w:kern w:val="0"/>
          <w:sz w:val="24"/>
          <w:szCs w:val="24"/>
        </w:rPr>
        <w:t>Beyotime</w:t>
      </w:r>
      <w:proofErr w:type="spellEnd"/>
      <w:r w:rsidRPr="00F71117">
        <w:rPr>
          <w:rFonts w:ascii="Arial" w:eastAsia="宋体" w:hAnsi="Arial" w:cs="Arial"/>
          <w:kern w:val="0"/>
          <w:sz w:val="24"/>
          <w:szCs w:val="24"/>
        </w:rPr>
        <w:t>, China), mixed with 5x loading buffer (</w:t>
      </w:r>
      <w:proofErr w:type="spellStart"/>
      <w:r w:rsidRPr="00F71117">
        <w:rPr>
          <w:rFonts w:ascii="Arial" w:eastAsia="宋体" w:hAnsi="Arial" w:cs="Arial"/>
          <w:kern w:val="0"/>
          <w:sz w:val="24"/>
          <w:szCs w:val="24"/>
        </w:rPr>
        <w:t>Beyotime</w:t>
      </w:r>
      <w:proofErr w:type="spellEnd"/>
      <w:r w:rsidRPr="00F71117">
        <w:rPr>
          <w:rFonts w:ascii="Arial" w:eastAsia="宋体" w:hAnsi="Arial" w:cs="Arial"/>
          <w:kern w:val="0"/>
          <w:sz w:val="24"/>
          <w:szCs w:val="24"/>
        </w:rPr>
        <w:t xml:space="preserve">, China) and deactivated at 95°C for 10 min. The proteins (20 mg) were separated with sodium dodecyl sulfate–polyacrylamide gel electrophoresis (SDS‒PAGE) and transferred to polyvinylidene difluoride (PVDF) membranes </w:t>
      </w:r>
      <w:r w:rsidRPr="00F71117">
        <w:rPr>
          <w:rFonts w:ascii="Arial" w:hAnsi="Arial" w:cs="Arial"/>
          <w:kern w:val="0"/>
          <w:sz w:val="24"/>
          <w:szCs w:val="24"/>
          <w:lang w:val="en-GB"/>
        </w:rPr>
        <w:t>(</w:t>
      </w:r>
      <w:proofErr w:type="spellStart"/>
      <w:r w:rsidRPr="00F71117">
        <w:rPr>
          <w:rFonts w:ascii="Arial" w:hAnsi="Arial" w:cs="Arial"/>
          <w:kern w:val="0"/>
          <w:sz w:val="24"/>
          <w:szCs w:val="24"/>
          <w:lang w:val="en-GB"/>
        </w:rPr>
        <w:t>Thermo</w:t>
      </w:r>
      <w:proofErr w:type="spellEnd"/>
      <w:r w:rsidRPr="00F71117">
        <w:rPr>
          <w:rFonts w:ascii="Arial" w:hAnsi="Arial" w:cs="Arial"/>
          <w:kern w:val="0"/>
          <w:sz w:val="24"/>
          <w:szCs w:val="24"/>
          <w:lang w:val="en-GB"/>
        </w:rPr>
        <w:t xml:space="preserve"> Fisher Scientific, USA)</w:t>
      </w:r>
      <w:r w:rsidRPr="00F71117">
        <w:rPr>
          <w:rFonts w:ascii="Arial" w:eastAsia="宋体" w:hAnsi="Arial" w:cs="Arial"/>
          <w:kern w:val="0"/>
          <w:sz w:val="24"/>
          <w:szCs w:val="24"/>
        </w:rPr>
        <w:t xml:space="preserve">. The membranes were blocked with </w:t>
      </w:r>
      <w:r w:rsidRPr="00F71117">
        <w:rPr>
          <w:rFonts w:ascii="Arial" w:hAnsi="Arial" w:cs="Arial"/>
          <w:kern w:val="0"/>
          <w:sz w:val="24"/>
          <w:szCs w:val="24"/>
          <w:lang w:val="en-GB"/>
        </w:rPr>
        <w:t>blocking buffer</w:t>
      </w:r>
      <w:r w:rsidRPr="00F71117">
        <w:rPr>
          <w:rFonts w:ascii="Arial" w:eastAsia="宋体" w:hAnsi="Arial" w:cs="Arial"/>
          <w:kern w:val="0"/>
          <w:sz w:val="24"/>
          <w:szCs w:val="24"/>
        </w:rPr>
        <w:t xml:space="preserve"> (</w:t>
      </w:r>
      <w:proofErr w:type="spellStart"/>
      <w:r w:rsidRPr="00F71117">
        <w:rPr>
          <w:rFonts w:ascii="Arial" w:eastAsia="宋体" w:hAnsi="Arial" w:cs="Arial"/>
          <w:kern w:val="0"/>
          <w:sz w:val="24"/>
          <w:szCs w:val="24"/>
        </w:rPr>
        <w:t>Beyotime</w:t>
      </w:r>
      <w:proofErr w:type="spellEnd"/>
      <w:r w:rsidRPr="00F71117">
        <w:rPr>
          <w:rFonts w:ascii="Arial" w:eastAsia="宋体" w:hAnsi="Arial" w:cs="Arial"/>
          <w:kern w:val="0"/>
          <w:sz w:val="24"/>
          <w:szCs w:val="24"/>
        </w:rPr>
        <w:t>), incubated with primary antibodies (Rabbit anti-PSD95, CST, Cat #3450; Mouse anti-</w:t>
      </w:r>
      <w:r w:rsidRPr="00F71117">
        <w:rPr>
          <w:rFonts w:ascii="Arial" w:eastAsia="楷体" w:hAnsi="Arial" w:cs="Arial"/>
          <w:kern w:val="0"/>
          <w:sz w:val="24"/>
          <w:szCs w:val="24"/>
        </w:rPr>
        <w:t>microtubule-associated protein 2 (</w:t>
      </w:r>
      <w:r w:rsidRPr="00F71117">
        <w:rPr>
          <w:rFonts w:ascii="Arial" w:eastAsia="宋体" w:hAnsi="Arial" w:cs="Arial"/>
          <w:kern w:val="0"/>
          <w:sz w:val="24"/>
          <w:szCs w:val="24"/>
        </w:rPr>
        <w:t>MAP2), Santa Cruz Biotechnology, sc-74421; Rabbit anti-</w:t>
      </w:r>
      <w:proofErr w:type="spellStart"/>
      <w:r w:rsidRPr="00F71117">
        <w:rPr>
          <w:rFonts w:ascii="Arial" w:eastAsia="宋体" w:hAnsi="Arial" w:cs="Arial"/>
          <w:kern w:val="0"/>
          <w:sz w:val="24"/>
          <w:szCs w:val="24"/>
        </w:rPr>
        <w:t>Synapsin</w:t>
      </w:r>
      <w:proofErr w:type="spellEnd"/>
      <w:r w:rsidRPr="00F71117">
        <w:rPr>
          <w:rFonts w:ascii="Arial" w:eastAsia="宋体" w:hAnsi="Arial" w:cs="Arial"/>
          <w:kern w:val="0"/>
          <w:sz w:val="24"/>
          <w:szCs w:val="24"/>
        </w:rPr>
        <w:t xml:space="preserve">-І a/b, Santa Cruz Biotechnology, sc-376623; Rabbit anti-Gephyrin, Abcam, ab177154; Rabbit anti-AdipoR1, Abcam, ab12661; Mouse anti-AdipoR2, Santa Cruz Biotechnology, sc-514045; Rabbit anti-HSP90, </w:t>
      </w:r>
      <w:proofErr w:type="spellStart"/>
      <w:r w:rsidRPr="00F71117">
        <w:rPr>
          <w:rFonts w:ascii="Arial" w:eastAsia="宋体" w:hAnsi="Arial" w:cs="Arial"/>
          <w:kern w:val="0"/>
          <w:sz w:val="24"/>
          <w:szCs w:val="24"/>
        </w:rPr>
        <w:t>Abmart</w:t>
      </w:r>
      <w:proofErr w:type="spellEnd"/>
      <w:r w:rsidRPr="00F71117">
        <w:rPr>
          <w:rFonts w:ascii="Arial" w:eastAsia="宋体" w:hAnsi="Arial" w:cs="Arial"/>
          <w:kern w:val="0"/>
          <w:sz w:val="24"/>
          <w:szCs w:val="24"/>
        </w:rPr>
        <w:t>,</w:t>
      </w:r>
      <w:r w:rsidRPr="00F71117">
        <w:rPr>
          <w:rFonts w:ascii="Arial" w:hAnsi="Arial" w:cs="Arial"/>
          <w:sz w:val="24"/>
          <w:szCs w:val="24"/>
        </w:rPr>
        <w:t xml:space="preserve"> </w:t>
      </w:r>
      <w:r w:rsidRPr="00F71117">
        <w:rPr>
          <w:rFonts w:ascii="Arial" w:eastAsia="宋体" w:hAnsi="Arial" w:cs="Arial"/>
          <w:kern w:val="0"/>
          <w:sz w:val="24"/>
          <w:szCs w:val="24"/>
        </w:rPr>
        <w:t>T55548; Mouse anti-β-</w:t>
      </w:r>
      <w:proofErr w:type="spellStart"/>
      <w:r w:rsidRPr="00F71117">
        <w:rPr>
          <w:rFonts w:ascii="Arial" w:eastAsia="宋体" w:hAnsi="Arial" w:cs="Arial"/>
          <w:kern w:val="0"/>
          <w:sz w:val="24"/>
          <w:szCs w:val="24"/>
        </w:rPr>
        <w:t>tublin</w:t>
      </w:r>
      <w:proofErr w:type="spellEnd"/>
      <w:r w:rsidRPr="00F71117">
        <w:rPr>
          <w:rFonts w:ascii="Arial" w:eastAsia="宋体" w:hAnsi="Arial" w:cs="Arial"/>
          <w:kern w:val="0"/>
          <w:sz w:val="24"/>
          <w:szCs w:val="24"/>
        </w:rPr>
        <w:t xml:space="preserve">, </w:t>
      </w:r>
      <w:proofErr w:type="spellStart"/>
      <w:r w:rsidRPr="00F71117">
        <w:rPr>
          <w:rFonts w:ascii="Arial" w:eastAsia="宋体" w:hAnsi="Arial" w:cs="Arial"/>
          <w:kern w:val="0"/>
          <w:sz w:val="24"/>
          <w:szCs w:val="24"/>
        </w:rPr>
        <w:t>Abmart</w:t>
      </w:r>
      <w:proofErr w:type="spellEnd"/>
      <w:r w:rsidRPr="00F71117">
        <w:rPr>
          <w:rFonts w:ascii="Arial" w:eastAsia="宋体" w:hAnsi="Arial" w:cs="Arial"/>
          <w:kern w:val="0"/>
          <w:sz w:val="24"/>
          <w:szCs w:val="24"/>
        </w:rPr>
        <w:t xml:space="preserve">, M30109F) and then immunoblotted with secondary </w:t>
      </w:r>
      <w:proofErr w:type="spellStart"/>
      <w:r w:rsidRPr="00F71117">
        <w:rPr>
          <w:rFonts w:ascii="Arial" w:eastAsia="宋体" w:hAnsi="Arial" w:cs="Arial"/>
          <w:kern w:val="0"/>
          <w:sz w:val="24"/>
          <w:szCs w:val="24"/>
        </w:rPr>
        <w:t>antibodieds</w:t>
      </w:r>
      <w:proofErr w:type="spellEnd"/>
      <w:r w:rsidRPr="00F71117">
        <w:rPr>
          <w:rFonts w:ascii="Arial" w:eastAsia="宋体" w:hAnsi="Arial" w:cs="Arial"/>
          <w:kern w:val="0"/>
          <w:sz w:val="24"/>
          <w:szCs w:val="24"/>
        </w:rPr>
        <w:t xml:space="preserve"> matching the primary antibodies (Anti-mouse IgG, Boster, BA1050; Anti-rabbit IgG, Boster, BA1054). The western blot images were visualized via electrochemiluminescence system (Bio-Rad) and analyzed with ImageJ software (v.6.4). </w:t>
      </w:r>
    </w:p>
    <w:p w14:paraId="24691215" w14:textId="39CAA56C" w:rsidR="000C0FA1" w:rsidRPr="00F71117" w:rsidRDefault="00F71117" w:rsidP="00F71117">
      <w:pPr>
        <w:spacing w:line="360" w:lineRule="auto"/>
        <w:rPr>
          <w:rFonts w:ascii="Arial" w:eastAsia="宋体" w:hAnsi="Arial" w:cs="Arial"/>
          <w:b/>
          <w:bCs/>
          <w:color w:val="000000"/>
          <w:kern w:val="0"/>
          <w:sz w:val="24"/>
          <w:szCs w:val="24"/>
        </w:rPr>
      </w:pPr>
      <w:r>
        <w:rPr>
          <w:rFonts w:ascii="Arial" w:eastAsia="宋体" w:hAnsi="Arial" w:cs="Arial" w:hint="eastAsia"/>
          <w:b/>
          <w:bCs/>
          <w:kern w:val="0"/>
          <w:sz w:val="24"/>
          <w:szCs w:val="24"/>
        </w:rPr>
        <w:t>9</w:t>
      </w:r>
      <w:r w:rsidR="000C0FA1" w:rsidRPr="00F71117">
        <w:rPr>
          <w:rFonts w:ascii="Arial" w:eastAsia="宋体" w:hAnsi="Arial" w:cs="Arial"/>
          <w:b/>
          <w:bCs/>
          <w:kern w:val="0"/>
          <w:sz w:val="24"/>
          <w:szCs w:val="24"/>
        </w:rPr>
        <w:t>. Quantitative RT</w:t>
      </w:r>
      <w:r w:rsidR="000C0FA1" w:rsidRPr="00F71117">
        <w:rPr>
          <w:rFonts w:ascii="Arial" w:eastAsia="宋体" w:hAnsi="Arial" w:cs="Arial"/>
          <w:b/>
          <w:bCs/>
          <w:color w:val="000000"/>
          <w:kern w:val="0"/>
          <w:sz w:val="24"/>
          <w:szCs w:val="24"/>
        </w:rPr>
        <w:t>‒</w:t>
      </w:r>
      <w:r w:rsidR="000C0FA1" w:rsidRPr="00F71117">
        <w:rPr>
          <w:rFonts w:ascii="Arial" w:eastAsia="宋体" w:hAnsi="Arial" w:cs="Arial"/>
          <w:b/>
          <w:bCs/>
          <w:kern w:val="0"/>
          <w:sz w:val="24"/>
          <w:szCs w:val="24"/>
        </w:rPr>
        <w:t>PCR</w:t>
      </w:r>
    </w:p>
    <w:p w14:paraId="6DE76DBE" w14:textId="5E728B19"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Total RNA was extracted from </w:t>
      </w:r>
      <w:proofErr w:type="spellStart"/>
      <w:r w:rsidRPr="00F71117">
        <w:rPr>
          <w:rFonts w:ascii="Arial" w:eastAsia="宋体" w:hAnsi="Arial" w:cs="Arial"/>
          <w:kern w:val="0"/>
          <w:sz w:val="24"/>
          <w:szCs w:val="24"/>
        </w:rPr>
        <w:t>eWAT</w:t>
      </w:r>
      <w:proofErr w:type="spellEnd"/>
      <w:r w:rsidRPr="00F71117">
        <w:rPr>
          <w:rFonts w:ascii="Arial" w:eastAsia="宋体" w:hAnsi="Arial" w:cs="Arial"/>
          <w:kern w:val="0"/>
          <w:sz w:val="24"/>
          <w:szCs w:val="24"/>
        </w:rPr>
        <w:t xml:space="preserve"> and hippocampal tissue with </w:t>
      </w:r>
      <w:proofErr w:type="spellStart"/>
      <w:r w:rsidRPr="00F71117">
        <w:rPr>
          <w:rFonts w:ascii="Arial" w:eastAsia="宋体" w:hAnsi="Arial" w:cs="Arial"/>
          <w:kern w:val="0"/>
          <w:sz w:val="24"/>
          <w:szCs w:val="24"/>
        </w:rPr>
        <w:t>TRIzol</w:t>
      </w:r>
      <w:proofErr w:type="spellEnd"/>
      <w:r w:rsidRPr="00F71117">
        <w:rPr>
          <w:rFonts w:ascii="Arial" w:eastAsia="宋体" w:hAnsi="Arial" w:cs="Arial"/>
          <w:kern w:val="0"/>
          <w:sz w:val="24"/>
          <w:szCs w:val="24"/>
        </w:rPr>
        <w:t xml:space="preserve"> Reagent (Invitrogen). The RNA (500 ng) was reverse- transcribed into cDNA with Evo M-MLV RT Mix Kit with gDNA Clean for qPCR kits (Accurate Biology). The primer sequences used for qPCR are listed in Table 2. Quantitative real-time PCR (RT</w:t>
      </w:r>
      <w:r w:rsidRPr="00F71117">
        <w:rPr>
          <w:rFonts w:ascii="Arial" w:eastAsia="宋体" w:hAnsi="Arial" w:cs="Arial"/>
          <w:color w:val="000000"/>
          <w:kern w:val="0"/>
          <w:sz w:val="24"/>
          <w:szCs w:val="24"/>
        </w:rPr>
        <w:t>‒</w:t>
      </w:r>
      <w:r w:rsidRPr="00F71117">
        <w:rPr>
          <w:rFonts w:ascii="Arial" w:eastAsia="宋体" w:hAnsi="Arial" w:cs="Arial"/>
          <w:kern w:val="0"/>
          <w:sz w:val="24"/>
          <w:szCs w:val="24"/>
        </w:rPr>
        <w:t>qPCR) was performed with a SYBR Green Premix Pro Taq HS qPCR Kit (Accurate Biology). The RT</w:t>
      </w:r>
      <w:r w:rsidRPr="00F71117">
        <w:rPr>
          <w:rFonts w:ascii="Arial" w:eastAsia="宋体" w:hAnsi="Arial" w:cs="Arial"/>
          <w:color w:val="000000"/>
          <w:kern w:val="0"/>
          <w:sz w:val="24"/>
          <w:szCs w:val="24"/>
        </w:rPr>
        <w:t>‒</w:t>
      </w:r>
      <w:r w:rsidRPr="00F71117">
        <w:rPr>
          <w:rFonts w:ascii="Arial" w:eastAsia="宋体" w:hAnsi="Arial" w:cs="Arial"/>
          <w:kern w:val="0"/>
          <w:sz w:val="24"/>
          <w:szCs w:val="24"/>
        </w:rPr>
        <w:t xml:space="preserve">qPCR data were visualized with a </w:t>
      </w:r>
      <w:r w:rsidRPr="00F71117">
        <w:rPr>
          <w:rFonts w:ascii="Arial" w:hAnsi="Arial" w:cs="Arial"/>
          <w:sz w:val="24"/>
          <w:szCs w:val="24"/>
          <w:lang w:val="en-GB"/>
        </w:rPr>
        <w:t>CFX 96 Real-time PCR Detection System</w:t>
      </w:r>
      <w:r w:rsidRPr="00F71117">
        <w:rPr>
          <w:rFonts w:ascii="Arial" w:eastAsia="宋体" w:hAnsi="Arial" w:cs="Arial"/>
          <w:kern w:val="0"/>
          <w:sz w:val="24"/>
          <w:szCs w:val="24"/>
        </w:rPr>
        <w:t xml:space="preserve"> (Bio-Rad). The expression of each gene was normalized to that of β-actin (</w:t>
      </w:r>
      <w:r w:rsidR="00AB66DC" w:rsidRPr="00F71117">
        <w:rPr>
          <w:rFonts w:ascii="Arial" w:eastAsia="宋体" w:hAnsi="Arial" w:cs="Arial"/>
          <w:kern w:val="0"/>
          <w:sz w:val="24"/>
          <w:szCs w:val="24"/>
        </w:rPr>
        <w:t>Supplementary Table 2</w:t>
      </w:r>
      <w:r w:rsidRPr="00F71117">
        <w:rPr>
          <w:rFonts w:ascii="Arial" w:eastAsia="宋体" w:hAnsi="Arial" w:cs="Arial"/>
          <w:kern w:val="0"/>
          <w:sz w:val="24"/>
          <w:szCs w:val="24"/>
        </w:rPr>
        <w:t>).</w:t>
      </w:r>
    </w:p>
    <w:p w14:paraId="626A021D" w14:textId="31EC6374" w:rsidR="000C0FA1" w:rsidRPr="00F71117" w:rsidRDefault="00F71117" w:rsidP="00F71117">
      <w:pPr>
        <w:spacing w:line="360" w:lineRule="auto"/>
        <w:rPr>
          <w:rFonts w:ascii="Arial" w:eastAsia="宋体" w:hAnsi="Arial" w:cs="Arial"/>
          <w:b/>
          <w:bCs/>
          <w:kern w:val="0"/>
          <w:sz w:val="24"/>
          <w:szCs w:val="24"/>
        </w:rPr>
      </w:pPr>
      <w:r>
        <w:rPr>
          <w:rFonts w:ascii="Arial" w:eastAsia="宋体" w:hAnsi="Arial" w:cs="Arial" w:hint="eastAsia"/>
          <w:b/>
          <w:bCs/>
          <w:kern w:val="0"/>
          <w:sz w:val="24"/>
          <w:szCs w:val="24"/>
        </w:rPr>
        <w:t>10</w:t>
      </w:r>
      <w:r w:rsidR="000C0FA1" w:rsidRPr="00F71117">
        <w:rPr>
          <w:rFonts w:ascii="Arial" w:eastAsia="宋体" w:hAnsi="Arial" w:cs="Arial"/>
          <w:b/>
          <w:bCs/>
          <w:kern w:val="0"/>
          <w:sz w:val="24"/>
          <w:szCs w:val="24"/>
        </w:rPr>
        <w:t>. Immunohistochemistry and immunofluorescence</w:t>
      </w:r>
    </w:p>
    <w:p w14:paraId="17E0088D" w14:textId="77777777"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For immunohistochemistry, the brain tissues were equilibrated in a series of sucrose gradients for dehydration at 4°C (10%, 24 h; 20%, 24 h; 30%, 48 h). One hemisphere was randomly selected for continuous sectioning into equal (50-μm-thick) sections after being embedded in optimal cutting temperature (OCT) compound. Every fifth tissue section was collected as a set of brain sections. One randomly selected set of brain sections was washed with 0.01 M PBS and permeabilization buffer (0.3% Tween-20 in PBS) for 30 min, immersed in blocking buffer containing 5% goat serum, 1% bovine serum albumin and 0.3% Tween-20 in PBS at 37°C for 2 h and then incubated with primary antibodies (rabbit anti-</w:t>
      </w:r>
      <w:proofErr w:type="spellStart"/>
      <w:r w:rsidRPr="00F71117">
        <w:rPr>
          <w:rFonts w:ascii="Arial" w:eastAsia="宋体" w:hAnsi="Arial" w:cs="Arial"/>
          <w:kern w:val="0"/>
          <w:sz w:val="24"/>
          <w:szCs w:val="24"/>
        </w:rPr>
        <w:t>spinophilin</w:t>
      </w:r>
      <w:proofErr w:type="spellEnd"/>
      <w:r w:rsidRPr="00F71117">
        <w:rPr>
          <w:rFonts w:ascii="Arial" w:eastAsia="宋体" w:hAnsi="Arial" w:cs="Arial"/>
          <w:kern w:val="0"/>
          <w:sz w:val="24"/>
          <w:szCs w:val="24"/>
        </w:rPr>
        <w:t xml:space="preserve">, CST, Cat #14136) at 4°C for 72 h. The sections were then incubated with secondary antibodies (Electron Microscopy Sciences, </w:t>
      </w:r>
      <w:proofErr w:type="spellStart"/>
      <w:r w:rsidRPr="00F71117">
        <w:rPr>
          <w:rFonts w:ascii="Arial" w:eastAsia="宋体" w:hAnsi="Arial" w:cs="Arial"/>
          <w:kern w:val="0"/>
          <w:sz w:val="24"/>
          <w:szCs w:val="24"/>
        </w:rPr>
        <w:t>ImmunoGold</w:t>
      </w:r>
      <w:proofErr w:type="spellEnd"/>
      <w:r w:rsidRPr="00F71117">
        <w:rPr>
          <w:rFonts w:ascii="Arial" w:eastAsia="宋体" w:hAnsi="Arial" w:cs="Arial"/>
          <w:kern w:val="0"/>
          <w:sz w:val="24"/>
          <w:szCs w:val="24"/>
        </w:rPr>
        <w:t xml:space="preserve"> Reagents, goat anti-rabbit IgG) at 37°C for 3 h. Next,</w:t>
      </w:r>
      <w:r w:rsidRPr="00F71117">
        <w:rPr>
          <w:rFonts w:ascii="Arial" w:hAnsi="Arial" w:cs="Arial"/>
          <w:sz w:val="24"/>
          <w:szCs w:val="24"/>
        </w:rPr>
        <w:t xml:space="preserve"> </w:t>
      </w:r>
      <w:r w:rsidRPr="00F71117">
        <w:rPr>
          <w:rFonts w:ascii="Arial" w:eastAsia="宋体" w:hAnsi="Arial" w:cs="Arial"/>
          <w:kern w:val="0"/>
          <w:sz w:val="24"/>
          <w:szCs w:val="24"/>
        </w:rPr>
        <w:t>the sections were postfixed in the dark with 2% glutaraldehyde for 10 min. Subsequently, the sections were subjected to silver enhancement (</w:t>
      </w:r>
      <w:proofErr w:type="spellStart"/>
      <w:r w:rsidRPr="00F71117">
        <w:rPr>
          <w:rFonts w:ascii="Arial" w:eastAsia="宋体" w:hAnsi="Arial" w:cs="Arial"/>
          <w:kern w:val="0"/>
          <w:sz w:val="24"/>
          <w:szCs w:val="24"/>
        </w:rPr>
        <w:t>Aurion</w:t>
      </w:r>
      <w:proofErr w:type="spellEnd"/>
      <w:r w:rsidRPr="00F71117">
        <w:rPr>
          <w:rFonts w:ascii="Arial" w:eastAsia="宋体" w:hAnsi="Arial" w:cs="Arial"/>
          <w:kern w:val="0"/>
          <w:sz w:val="24"/>
          <w:szCs w:val="24"/>
        </w:rPr>
        <w:t xml:space="preserve"> R-Gent Silver Enhancement Kit, Electron Microscopy Sciences) at 25°C for 25 min and washed with deionized water followed by 0.01 M PBS, respectively. After being stained with hematoxylin for 1 min, the sections were dehydrated in gradient alcohol, cleared with xylene and sealed with neutral gum.</w:t>
      </w:r>
    </w:p>
    <w:p w14:paraId="08B4BFED" w14:textId="77777777"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For immunofluorescence, the brain sections were equilibrated in a series of sucrose gradients for dehydration at 4°C (10%, 24 h; 20%, 24 h; 30%, 48 h). One hemisphere was randomly selected for continuous sectioning into equal (30-μm-thick) sections after being embedded in OCT compound. Every fifth tissue section was collected as a set of brain slices. One randomly selected set of brain sections was washed with 0.01 M PBS and working buffer containing 0.3% Triton X-100 and 0.1% Tween-20 in PBS for 60 min. Then, the sections were</w:t>
      </w:r>
      <w:r w:rsidRPr="00F71117">
        <w:rPr>
          <w:rFonts w:ascii="Arial" w:hAnsi="Arial" w:cs="Arial"/>
          <w:sz w:val="24"/>
          <w:szCs w:val="24"/>
        </w:rPr>
        <w:t xml:space="preserve"> </w:t>
      </w:r>
      <w:r w:rsidRPr="00F71117">
        <w:rPr>
          <w:rFonts w:ascii="Arial" w:eastAsia="宋体" w:hAnsi="Arial" w:cs="Arial"/>
          <w:kern w:val="0"/>
          <w:sz w:val="24"/>
          <w:szCs w:val="24"/>
        </w:rPr>
        <w:t>soaked in citrate solution for antigen repair in a water bath for 20 min, followed by incubation in blocking buffer (10% goat serum + 1% bovine serum albumin + 0.3% Tween-20 in PBS) at 37°C for 2 h. After blocking, the sections were incubated with primary antibodies (a mixture of primary anti-PSD95 and anti-MAP2 antibodies or a mixture of primary anti-Gephyrin and anti-MAP2 antibodies) at 4°C for 24 h. Then, the sections were conjugated with secondary antibodies (</w:t>
      </w:r>
      <w:proofErr w:type="spellStart"/>
      <w:r w:rsidRPr="00F71117">
        <w:rPr>
          <w:rFonts w:ascii="Arial" w:eastAsia="宋体" w:hAnsi="Arial" w:cs="Arial"/>
          <w:kern w:val="0"/>
          <w:sz w:val="24"/>
          <w:szCs w:val="24"/>
        </w:rPr>
        <w:t>DyLight</w:t>
      </w:r>
      <w:proofErr w:type="spellEnd"/>
      <w:r w:rsidRPr="00F71117">
        <w:rPr>
          <w:rFonts w:ascii="Arial" w:eastAsia="宋体" w:hAnsi="Arial" w:cs="Arial"/>
          <w:kern w:val="0"/>
          <w:sz w:val="24"/>
          <w:szCs w:val="24"/>
        </w:rPr>
        <w:t xml:space="preserve"> 488-conjugated goat anti-rabbit IgG, </w:t>
      </w:r>
      <w:proofErr w:type="spellStart"/>
      <w:r w:rsidRPr="00F71117">
        <w:rPr>
          <w:rFonts w:ascii="Arial" w:eastAsia="宋体" w:hAnsi="Arial" w:cs="Arial"/>
          <w:kern w:val="0"/>
          <w:sz w:val="24"/>
          <w:szCs w:val="24"/>
        </w:rPr>
        <w:t>DyLight</w:t>
      </w:r>
      <w:proofErr w:type="spellEnd"/>
      <w:r w:rsidRPr="00F71117">
        <w:rPr>
          <w:rFonts w:ascii="Arial" w:eastAsia="宋体" w:hAnsi="Arial" w:cs="Arial"/>
          <w:kern w:val="0"/>
          <w:sz w:val="24"/>
          <w:szCs w:val="24"/>
        </w:rPr>
        <w:t xml:space="preserve"> 549-conjugated goat anti-mouse IgG, </w:t>
      </w:r>
      <w:proofErr w:type="spellStart"/>
      <w:r w:rsidRPr="00F71117">
        <w:rPr>
          <w:rFonts w:ascii="Arial" w:eastAsia="宋体" w:hAnsi="Arial" w:cs="Arial"/>
          <w:kern w:val="0"/>
          <w:sz w:val="24"/>
          <w:szCs w:val="24"/>
        </w:rPr>
        <w:t>DyLight</w:t>
      </w:r>
      <w:proofErr w:type="spellEnd"/>
      <w:r w:rsidRPr="00F71117">
        <w:rPr>
          <w:rFonts w:ascii="Arial" w:eastAsia="宋体" w:hAnsi="Arial" w:cs="Arial"/>
          <w:kern w:val="0"/>
          <w:sz w:val="24"/>
          <w:szCs w:val="24"/>
        </w:rPr>
        <w:t xml:space="preserve"> 549-conjugated goat anti-rabbit IgG, </w:t>
      </w:r>
      <w:proofErr w:type="spellStart"/>
      <w:r w:rsidRPr="00F71117">
        <w:rPr>
          <w:rFonts w:ascii="Arial" w:eastAsia="宋体" w:hAnsi="Arial" w:cs="Arial"/>
          <w:kern w:val="0"/>
          <w:sz w:val="24"/>
          <w:szCs w:val="24"/>
        </w:rPr>
        <w:t>DyLight</w:t>
      </w:r>
      <w:proofErr w:type="spellEnd"/>
      <w:r w:rsidRPr="00F71117">
        <w:rPr>
          <w:rFonts w:ascii="Arial" w:eastAsia="宋体" w:hAnsi="Arial" w:cs="Arial"/>
          <w:kern w:val="0"/>
          <w:sz w:val="24"/>
          <w:szCs w:val="24"/>
        </w:rPr>
        <w:t xml:space="preserve"> 649-conjugated goat anti-rabbit IgG, and </w:t>
      </w:r>
      <w:proofErr w:type="spellStart"/>
      <w:r w:rsidRPr="00F71117">
        <w:rPr>
          <w:rFonts w:ascii="Arial" w:eastAsia="宋体" w:hAnsi="Arial" w:cs="Arial"/>
          <w:kern w:val="0"/>
          <w:sz w:val="24"/>
          <w:szCs w:val="24"/>
        </w:rPr>
        <w:t>Abbkine</w:t>
      </w:r>
      <w:proofErr w:type="spellEnd"/>
      <w:r w:rsidRPr="00F71117">
        <w:rPr>
          <w:rFonts w:ascii="Arial" w:eastAsia="宋体" w:hAnsi="Arial" w:cs="Arial"/>
          <w:kern w:val="0"/>
          <w:sz w:val="24"/>
          <w:szCs w:val="24"/>
        </w:rPr>
        <w:t>) at 37°C for 2 h, and the nuclei were stained with Hoechst-33342 (Sigma). Finally, the sections were pasted on glass slides. The fluorescent signals were visualized under a confocal laser microscope (FV3000, Olympus Corporation, Japan).</w:t>
      </w:r>
    </w:p>
    <w:p w14:paraId="19338B24" w14:textId="05FCC03B" w:rsidR="000C0FA1" w:rsidRPr="00F71117" w:rsidRDefault="000C0FA1" w:rsidP="00F71117">
      <w:pPr>
        <w:spacing w:line="360" w:lineRule="auto"/>
        <w:rPr>
          <w:rFonts w:ascii="Arial" w:eastAsia="宋体" w:hAnsi="Arial" w:cs="Arial"/>
          <w:b/>
          <w:bCs/>
          <w:kern w:val="0"/>
          <w:sz w:val="24"/>
          <w:szCs w:val="24"/>
        </w:rPr>
      </w:pPr>
      <w:r w:rsidRPr="00F71117">
        <w:rPr>
          <w:rFonts w:ascii="Arial" w:eastAsia="宋体" w:hAnsi="Arial" w:cs="Arial"/>
          <w:b/>
          <w:bCs/>
          <w:kern w:val="0"/>
          <w:sz w:val="24"/>
          <w:szCs w:val="24"/>
        </w:rPr>
        <w:t>1</w:t>
      </w:r>
      <w:r w:rsidR="00F71117">
        <w:rPr>
          <w:rFonts w:ascii="Arial" w:eastAsia="宋体" w:hAnsi="Arial" w:cs="Arial" w:hint="eastAsia"/>
          <w:b/>
          <w:bCs/>
          <w:kern w:val="0"/>
          <w:sz w:val="24"/>
          <w:szCs w:val="24"/>
        </w:rPr>
        <w:t>1</w:t>
      </w:r>
      <w:r w:rsidRPr="00F71117">
        <w:rPr>
          <w:rFonts w:ascii="Arial" w:eastAsia="宋体" w:hAnsi="Arial" w:cs="Arial"/>
          <w:b/>
          <w:bCs/>
          <w:kern w:val="0"/>
          <w:sz w:val="24"/>
          <w:szCs w:val="24"/>
        </w:rPr>
        <w:t>. Stereological analysis</w:t>
      </w:r>
    </w:p>
    <w:p w14:paraId="696DA5B7" w14:textId="54003C3F"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After immunohistochemical staining, the CA1, CA3 and DG regions were accurately traced and plotted under a light microscope at 4× magnification with a stereological system (Glostrup, Denmark). The </w:t>
      </w:r>
      <w:proofErr w:type="spellStart"/>
      <w:r w:rsidRPr="00F71117">
        <w:rPr>
          <w:rFonts w:ascii="Arial" w:eastAsia="宋体" w:hAnsi="Arial" w:cs="Arial"/>
          <w:kern w:val="0"/>
          <w:sz w:val="24"/>
          <w:szCs w:val="24"/>
        </w:rPr>
        <w:t>spinophilin</w:t>
      </w:r>
      <w:proofErr w:type="spellEnd"/>
      <w:r w:rsidRPr="00F71117">
        <w:rPr>
          <w:rFonts w:ascii="Arial" w:eastAsia="宋体" w:hAnsi="Arial" w:cs="Arial"/>
          <w:kern w:val="0"/>
          <w:sz w:val="24"/>
          <w:szCs w:val="24"/>
        </w:rPr>
        <w:t xml:space="preserve">-immunoreactive puncta in the three regions of the hippocampus in each section were counted with the optical fractionator method under an oil objective lens at 100× magnification (N.A. 1.40). Optical fractionator counting was performed in the delineated regions of the sections in a systematic, random fashion so that each section had an equal probability of being sampled and the intervals between sections and counting sites were constant. The total number of </w:t>
      </w:r>
      <w:proofErr w:type="spellStart"/>
      <w:r w:rsidRPr="00F71117">
        <w:rPr>
          <w:rFonts w:ascii="Arial" w:eastAsia="宋体" w:hAnsi="Arial" w:cs="Arial"/>
          <w:kern w:val="0"/>
          <w:sz w:val="24"/>
          <w:szCs w:val="24"/>
        </w:rPr>
        <w:t>spinophilin</w:t>
      </w:r>
      <w:proofErr w:type="spellEnd"/>
      <w:r w:rsidRPr="00F71117">
        <w:rPr>
          <w:rFonts w:ascii="Arial" w:eastAsia="宋体" w:hAnsi="Arial" w:cs="Arial"/>
          <w:kern w:val="0"/>
          <w:sz w:val="24"/>
          <w:szCs w:val="24"/>
          <w:vertAlign w:val="superscript"/>
        </w:rPr>
        <w:t xml:space="preserve">+ </w:t>
      </w:r>
      <w:r w:rsidRPr="00F71117">
        <w:rPr>
          <w:rFonts w:ascii="Arial" w:eastAsia="宋体" w:hAnsi="Arial" w:cs="Arial"/>
          <w:kern w:val="0"/>
          <w:sz w:val="24"/>
          <w:szCs w:val="24"/>
        </w:rPr>
        <w:t xml:space="preserve">spines (N) was estimated according to previous methods </w:t>
      </w:r>
      <w:sdt>
        <w:sdtPr>
          <w:rPr>
            <w:rFonts w:ascii="Arial" w:eastAsia="宋体" w:hAnsi="Arial" w:cs="Arial"/>
            <w:kern w:val="0"/>
            <w:sz w:val="24"/>
            <w:szCs w:val="24"/>
          </w:rPr>
          <w:tag w:val="MENDELEY_CITATION_v3_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"/>
          <w:id w:val="1466240710"/>
          <w:placeholder>
            <w:docPart w:val="A5B6C717890E4B82B4902A5993A19202"/>
          </w:placeholder>
        </w:sdtPr>
        <w:sdtContent>
          <w:r w:rsidR="00F71117" w:rsidRPr="00F71117">
            <w:rPr>
              <w:rFonts w:ascii="Arial" w:hAnsi="Arial" w:cs="Arial"/>
              <w:sz w:val="24"/>
              <w:szCs w:val="24"/>
            </w:rPr>
            <w:t>[6]</w:t>
          </w:r>
        </w:sdtContent>
      </w:sdt>
      <w:r w:rsidRPr="00F71117">
        <w:rPr>
          <w:rFonts w:ascii="Arial" w:eastAsia="宋体" w:hAnsi="Arial" w:cs="Arial"/>
          <w:kern w:val="0"/>
          <w:sz w:val="24"/>
          <w:szCs w:val="24"/>
        </w:rPr>
        <w:t xml:space="preserve"> </w:t>
      </w:r>
      <w:sdt>
        <w:sdtPr>
          <w:rPr>
            <w:rFonts w:ascii="Arial" w:eastAsia="宋体" w:hAnsi="Arial" w:cs="Arial"/>
            <w:color w:val="000000"/>
            <w:kern w:val="0"/>
            <w:sz w:val="24"/>
            <w:szCs w:val="24"/>
          </w:rPr>
          <w:tag w:val="MENDELEY_CITATION_v3_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"/>
          <w:id w:val="-81371322"/>
          <w:placeholder>
            <w:docPart w:val="A5B6C717890E4B82B4902A5993A19202"/>
          </w:placeholder>
        </w:sdtPr>
        <w:sdtContent>
          <w:r w:rsidR="00F71117" w:rsidRPr="00F71117">
            <w:rPr>
              <w:rFonts w:ascii="Arial" w:eastAsia="宋体" w:hAnsi="Arial" w:cs="Arial"/>
              <w:color w:val="000000"/>
              <w:kern w:val="0"/>
              <w:sz w:val="24"/>
              <w:szCs w:val="24"/>
            </w:rPr>
            <w:t>.</w:t>
          </w:r>
        </w:sdtContent>
      </w:sdt>
    </w:p>
    <w:p w14:paraId="2E7B3BD1" w14:textId="216F8B5A" w:rsidR="000C0FA1" w:rsidRPr="00F7111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 xml:space="preserve">An unbiased counting frame is shown in </w:t>
      </w:r>
      <w:r w:rsidR="00AB66DC" w:rsidRPr="00F71117">
        <w:rPr>
          <w:rFonts w:ascii="Arial" w:eastAsia="宋体" w:hAnsi="Arial" w:cs="Arial"/>
          <w:kern w:val="0"/>
          <w:sz w:val="24"/>
          <w:szCs w:val="24"/>
        </w:rPr>
        <w:t>Supplementary Fig. 1A-1B</w:t>
      </w:r>
      <w:r w:rsidRPr="00F71117">
        <w:rPr>
          <w:rFonts w:ascii="Arial" w:eastAsia="宋体" w:hAnsi="Arial" w:cs="Arial"/>
          <w:kern w:val="0"/>
          <w:sz w:val="24"/>
          <w:szCs w:val="24"/>
        </w:rPr>
        <w:t xml:space="preserve">. The solid line of the frame and its extension represent the exclusion lines, and the dotted line of the frame represents the inclusion line. When the inclusion (dotted) line turned green, the </w:t>
      </w:r>
      <w:proofErr w:type="spellStart"/>
      <w:r w:rsidRPr="00F71117">
        <w:rPr>
          <w:rFonts w:ascii="Arial" w:eastAsia="宋体" w:hAnsi="Arial" w:cs="Arial"/>
          <w:kern w:val="0"/>
          <w:sz w:val="24"/>
          <w:szCs w:val="24"/>
        </w:rPr>
        <w:t>spinophilin</w:t>
      </w:r>
      <w:proofErr w:type="spellEnd"/>
      <w:r w:rsidRPr="00F71117">
        <w:rPr>
          <w:rFonts w:ascii="Arial" w:eastAsia="宋体" w:hAnsi="Arial" w:cs="Arial"/>
          <w:kern w:val="0"/>
          <w:sz w:val="24"/>
          <w:szCs w:val="24"/>
        </w:rPr>
        <w:t>-immunoreactive puncta that were completely inside the counting frame or partly inside the counting frame but only touching the inclusion (dotted) line were counted.</w:t>
      </w:r>
    </w:p>
    <w:p w14:paraId="48B28EB3" w14:textId="325576F2" w:rsidR="000C0FA1" w:rsidRPr="00F71117" w:rsidRDefault="000C0FA1" w:rsidP="00F71117">
      <w:pPr>
        <w:spacing w:line="360" w:lineRule="auto"/>
        <w:rPr>
          <w:rFonts w:ascii="Arial" w:eastAsia="宋体" w:hAnsi="Arial" w:cs="Arial"/>
          <w:b/>
          <w:bCs/>
          <w:kern w:val="0"/>
          <w:sz w:val="24"/>
          <w:szCs w:val="24"/>
        </w:rPr>
      </w:pPr>
      <w:r w:rsidRPr="00F71117">
        <w:rPr>
          <w:rFonts w:ascii="Arial" w:eastAsia="宋体" w:hAnsi="Arial" w:cs="Arial"/>
          <w:b/>
          <w:bCs/>
          <w:kern w:val="0"/>
          <w:sz w:val="24"/>
          <w:szCs w:val="24"/>
        </w:rPr>
        <w:t>1</w:t>
      </w:r>
      <w:r w:rsidR="00F71117">
        <w:rPr>
          <w:rFonts w:ascii="Arial" w:eastAsia="宋体" w:hAnsi="Arial" w:cs="Arial" w:hint="eastAsia"/>
          <w:b/>
          <w:bCs/>
          <w:kern w:val="0"/>
          <w:sz w:val="24"/>
          <w:szCs w:val="24"/>
        </w:rPr>
        <w:t>2</w:t>
      </w:r>
      <w:r w:rsidRPr="00F71117">
        <w:rPr>
          <w:rFonts w:ascii="Arial" w:eastAsia="宋体" w:hAnsi="Arial" w:cs="Arial"/>
          <w:b/>
          <w:bCs/>
          <w:kern w:val="0"/>
          <w:sz w:val="24"/>
          <w:szCs w:val="24"/>
        </w:rPr>
        <w:t>. Confocal laser analysis</w:t>
      </w:r>
    </w:p>
    <w:p w14:paraId="051957B3" w14:textId="72D41A34" w:rsidR="000C0FA1" w:rsidRPr="00F71117" w:rsidRDefault="000C0FA1" w:rsidP="00F71117">
      <w:pPr>
        <w:widowControl/>
        <w:spacing w:line="360" w:lineRule="auto"/>
        <w:ind w:firstLineChars="200" w:firstLine="480"/>
        <w:rPr>
          <w:rFonts w:ascii="Arial" w:eastAsia="宋体" w:hAnsi="Arial" w:cs="Arial"/>
          <w:kern w:val="0"/>
          <w:sz w:val="24"/>
          <w:szCs w:val="24"/>
        </w:rPr>
      </w:pPr>
      <w:r w:rsidRPr="00F71117">
        <w:rPr>
          <w:rFonts w:ascii="Arial" w:hAnsi="Arial" w:cs="Arial"/>
          <w:sz w:val="24"/>
          <w:szCs w:val="24"/>
        </w:rPr>
        <w:t xml:space="preserve"> </w:t>
      </w:r>
      <w:r w:rsidRPr="00F71117">
        <w:rPr>
          <w:rFonts w:ascii="Arial" w:eastAsia="宋体" w:hAnsi="Arial" w:cs="Arial"/>
          <w:kern w:val="0"/>
          <w:sz w:val="24"/>
          <w:szCs w:val="24"/>
        </w:rPr>
        <w:t>The sections stained with anti-PSD95 or Gephyrin and anti-MAP2 antibodies were observed under a Nikon laser scanning confocal microscope (Nikon AIR, Nikon, Japan). The images were reconstructed in 3D to obtain the three-dimensional structure, and the number of synapses (labeled with anti-PSD95 or Gephyrin antibody) and the number of synapses on neurites (</w:t>
      </w:r>
      <w:proofErr w:type="spellStart"/>
      <w:r w:rsidRPr="00F71117">
        <w:rPr>
          <w:rFonts w:ascii="Arial" w:eastAsia="宋体" w:hAnsi="Arial" w:cs="Arial"/>
          <w:kern w:val="0"/>
          <w:sz w:val="24"/>
          <w:szCs w:val="24"/>
        </w:rPr>
        <w:t>colabeled</w:t>
      </w:r>
      <w:proofErr w:type="spellEnd"/>
      <w:r w:rsidRPr="00F71117">
        <w:rPr>
          <w:rFonts w:ascii="Arial" w:eastAsia="宋体" w:hAnsi="Arial" w:cs="Arial"/>
          <w:kern w:val="0"/>
          <w:sz w:val="24"/>
          <w:szCs w:val="24"/>
        </w:rPr>
        <w:t xml:space="preserve"> by anti-PSD95 or anti-Gephyrin and anti-MAP2 antibodies) in the hippocampus were counted with IMARIS software (</w:t>
      </w:r>
      <w:proofErr w:type="spellStart"/>
      <w:r w:rsidRPr="00F71117">
        <w:rPr>
          <w:rFonts w:ascii="Arial" w:eastAsia="宋体" w:hAnsi="Arial" w:cs="Arial"/>
          <w:kern w:val="0"/>
          <w:sz w:val="24"/>
          <w:szCs w:val="24"/>
        </w:rPr>
        <w:t>Bitplane</w:t>
      </w:r>
      <w:proofErr w:type="spellEnd"/>
      <w:r w:rsidRPr="00F71117">
        <w:rPr>
          <w:rFonts w:ascii="Arial" w:eastAsia="宋体" w:hAnsi="Arial" w:cs="Arial"/>
          <w:kern w:val="0"/>
          <w:sz w:val="24"/>
          <w:szCs w:val="24"/>
        </w:rPr>
        <w:t xml:space="preserve"> AG, Zurich, Switzerland). Image analysis was carried out with no </w:t>
      </w:r>
      <w:proofErr w:type="spellStart"/>
      <w:r w:rsidRPr="00F71117">
        <w:rPr>
          <w:rFonts w:ascii="Arial" w:eastAsia="宋体" w:hAnsi="Arial" w:cs="Arial"/>
          <w:kern w:val="0"/>
          <w:sz w:val="24"/>
          <w:szCs w:val="24"/>
        </w:rPr>
        <w:t>postacquisition</w:t>
      </w:r>
      <w:proofErr w:type="spellEnd"/>
      <w:r w:rsidRPr="00F71117">
        <w:rPr>
          <w:rFonts w:ascii="Arial" w:eastAsia="宋体" w:hAnsi="Arial" w:cs="Arial"/>
          <w:kern w:val="0"/>
          <w:sz w:val="24"/>
          <w:szCs w:val="24"/>
        </w:rPr>
        <w:t xml:space="preserve"> modifications. For the example images, brightness and contrast were adjusted within linear ranges with ImageJ/Fiji when necessary. The control and experimental conditions were adjusted with the same parameters.</w:t>
      </w:r>
    </w:p>
    <w:p w14:paraId="38462C5E" w14:textId="6CC095B5" w:rsidR="000C0FA1" w:rsidRPr="00F71117" w:rsidRDefault="000C0FA1" w:rsidP="00F71117">
      <w:pPr>
        <w:spacing w:line="360" w:lineRule="auto"/>
        <w:rPr>
          <w:rFonts w:ascii="Arial" w:eastAsia="宋体" w:hAnsi="Arial" w:cs="Arial"/>
          <w:b/>
          <w:bCs/>
          <w:kern w:val="0"/>
          <w:sz w:val="24"/>
          <w:szCs w:val="24"/>
        </w:rPr>
      </w:pPr>
      <w:r w:rsidRPr="00F71117">
        <w:rPr>
          <w:rFonts w:ascii="Arial" w:eastAsia="宋体" w:hAnsi="Arial" w:cs="Arial"/>
          <w:b/>
          <w:bCs/>
          <w:kern w:val="0"/>
          <w:sz w:val="24"/>
          <w:szCs w:val="24"/>
        </w:rPr>
        <w:t>1</w:t>
      </w:r>
      <w:r w:rsidR="00F71117">
        <w:rPr>
          <w:rFonts w:ascii="Arial" w:eastAsia="宋体" w:hAnsi="Arial" w:cs="Arial" w:hint="eastAsia"/>
          <w:b/>
          <w:bCs/>
          <w:kern w:val="0"/>
          <w:sz w:val="24"/>
          <w:szCs w:val="24"/>
        </w:rPr>
        <w:t>3</w:t>
      </w:r>
      <w:r w:rsidRPr="00F71117">
        <w:rPr>
          <w:rFonts w:ascii="Arial" w:eastAsia="宋体" w:hAnsi="Arial" w:cs="Arial"/>
          <w:b/>
          <w:bCs/>
          <w:kern w:val="0"/>
          <w:sz w:val="24"/>
          <w:szCs w:val="24"/>
        </w:rPr>
        <w:t>. Statistical analyses</w:t>
      </w:r>
    </w:p>
    <w:p w14:paraId="2F6B0EF0" w14:textId="77777777" w:rsidR="00307747" w:rsidRDefault="000C0FA1"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t>Statistical analyses were carried out via SPSS (ver. 19.0, SPSS Inc., Chicago, USA), and the results are reported as the means ± standard deviations (SDs). All the data were assessed for normality and homogeneity of variance. The result of BWT test were analyzed with repeated‒measures ANOVA. Mean values between two groups were compared with the independent Student’s t test for all the data, as they all conformed to a normal distribution in this study. Statistical significance was defined for a P value &lt; 0.05.</w:t>
      </w:r>
    </w:p>
    <w:p w14:paraId="051BCA6A" w14:textId="4F1D3AF1" w:rsidR="00F71117" w:rsidRPr="00F71117" w:rsidRDefault="00F71117" w:rsidP="00F71117">
      <w:pPr>
        <w:spacing w:line="360" w:lineRule="auto"/>
        <w:ind w:firstLineChars="200" w:firstLine="480"/>
        <w:rPr>
          <w:rFonts w:ascii="Arial" w:eastAsia="宋体" w:hAnsi="Arial" w:cs="Arial"/>
          <w:kern w:val="0"/>
          <w:sz w:val="24"/>
          <w:szCs w:val="24"/>
        </w:rPr>
      </w:pPr>
      <w:r w:rsidRPr="00F71117">
        <w:rPr>
          <w:rFonts w:ascii="Arial" w:eastAsia="宋体" w:hAnsi="Arial" w:cs="Arial"/>
          <w:kern w:val="0"/>
          <w:sz w:val="24"/>
          <w:szCs w:val="24"/>
        </w:rPr>
        <w:br w:type="page"/>
      </w:r>
    </w:p>
    <w:p w14:paraId="2ECCE79C" w14:textId="692A1EC3" w:rsidR="004311E3" w:rsidRPr="00F71117" w:rsidRDefault="00F71117" w:rsidP="00F71117">
      <w:pPr>
        <w:spacing w:line="360" w:lineRule="auto"/>
        <w:rPr>
          <w:rFonts w:ascii="Arial" w:eastAsia="宋体" w:hAnsi="Arial" w:cs="Arial"/>
          <w:kern w:val="0"/>
          <w:sz w:val="24"/>
          <w:szCs w:val="24"/>
        </w:rPr>
      </w:pPr>
      <w:r w:rsidRPr="00F71117">
        <w:rPr>
          <w:rFonts w:ascii="Arial" w:eastAsia="宋体" w:hAnsi="Arial" w:cs="Arial"/>
          <w:kern w:val="0"/>
          <w:sz w:val="24"/>
          <w:szCs w:val="24"/>
        </w:rPr>
        <w:t>Reference</w:t>
      </w:r>
    </w:p>
    <w:sdt>
      <w:sdtPr>
        <w:rPr>
          <w:rFonts w:ascii="Arial" w:eastAsia="宋体" w:hAnsi="Arial" w:cs="Arial"/>
          <w:kern w:val="0"/>
          <w:sz w:val="24"/>
          <w:szCs w:val="24"/>
        </w:rPr>
        <w:tag w:val="MENDELEY_BIBLIOGRAPHY"/>
        <w:id w:val="-1832516039"/>
        <w:placeholder>
          <w:docPart w:val="DefaultPlaceholder_-1854013440"/>
        </w:placeholder>
      </w:sdtPr>
      <w:sdtContent>
        <w:p w14:paraId="14E79079" w14:textId="77777777" w:rsidR="00F71117" w:rsidRPr="00F71117" w:rsidRDefault="00F71117" w:rsidP="00307747">
          <w:pPr>
            <w:widowControl/>
            <w:autoSpaceDE w:val="0"/>
            <w:autoSpaceDN w:val="0"/>
            <w:spacing w:line="360" w:lineRule="auto"/>
            <w:ind w:hanging="641"/>
            <w:divId w:val="281696727"/>
            <w:rPr>
              <w:rFonts w:ascii="Arial" w:hAnsi="Arial" w:cs="Arial"/>
              <w:kern w:val="0"/>
              <w:sz w:val="24"/>
              <w:szCs w:val="24"/>
            </w:rPr>
          </w:pPr>
          <w:r w:rsidRPr="00F71117">
            <w:rPr>
              <w:rFonts w:ascii="Arial" w:hAnsi="Arial" w:cs="Arial"/>
              <w:sz w:val="24"/>
              <w:szCs w:val="24"/>
            </w:rPr>
            <w:t xml:space="preserve">1. </w:t>
          </w:r>
          <w:r w:rsidRPr="00F71117">
            <w:rPr>
              <w:rFonts w:ascii="Arial" w:hAnsi="Arial" w:cs="Arial"/>
              <w:sz w:val="24"/>
              <w:szCs w:val="24"/>
            </w:rPr>
            <w:tab/>
            <w:t xml:space="preserve">Gupta D, Radhakrishnan M, </w:t>
          </w:r>
          <w:proofErr w:type="spellStart"/>
          <w:r w:rsidRPr="00F71117">
            <w:rPr>
              <w:rFonts w:ascii="Arial" w:hAnsi="Arial" w:cs="Arial"/>
              <w:sz w:val="24"/>
              <w:szCs w:val="24"/>
            </w:rPr>
            <w:t>Kurhe</w:t>
          </w:r>
          <w:proofErr w:type="spellEnd"/>
          <w:r w:rsidRPr="00F71117">
            <w:rPr>
              <w:rFonts w:ascii="Arial" w:hAnsi="Arial" w:cs="Arial"/>
              <w:sz w:val="24"/>
              <w:szCs w:val="24"/>
            </w:rPr>
            <w:t xml:space="preserve"> Y, Thangaraj D, Prabhakar V, Kanade P. Antidepressant-like effects of a novel 5-HT3 receptor antagonist 6z in acute and chronic murine models of depression. Acta </w:t>
          </w:r>
          <w:proofErr w:type="spellStart"/>
          <w:r w:rsidRPr="00F71117">
            <w:rPr>
              <w:rFonts w:ascii="Arial" w:hAnsi="Arial" w:cs="Arial"/>
              <w:sz w:val="24"/>
              <w:szCs w:val="24"/>
            </w:rPr>
            <w:t>Pharmacol</w:t>
          </w:r>
          <w:proofErr w:type="spellEnd"/>
          <w:r w:rsidRPr="00F71117">
            <w:rPr>
              <w:rFonts w:ascii="Arial" w:hAnsi="Arial" w:cs="Arial"/>
              <w:sz w:val="24"/>
              <w:szCs w:val="24"/>
            </w:rPr>
            <w:t xml:space="preserve"> Sin. 2014;35:1493–1503.</w:t>
          </w:r>
        </w:p>
        <w:p w14:paraId="129E341F" w14:textId="77777777" w:rsidR="00F71117" w:rsidRPr="00F71117" w:rsidRDefault="00F71117" w:rsidP="00307747">
          <w:pPr>
            <w:autoSpaceDE w:val="0"/>
            <w:autoSpaceDN w:val="0"/>
            <w:spacing w:line="360" w:lineRule="auto"/>
            <w:ind w:hanging="641"/>
            <w:divId w:val="1025516881"/>
            <w:rPr>
              <w:rFonts w:ascii="Arial" w:hAnsi="Arial" w:cs="Arial"/>
              <w:sz w:val="24"/>
              <w:szCs w:val="24"/>
            </w:rPr>
          </w:pPr>
          <w:r w:rsidRPr="00F71117">
            <w:rPr>
              <w:rFonts w:ascii="Arial" w:hAnsi="Arial" w:cs="Arial"/>
              <w:sz w:val="24"/>
              <w:szCs w:val="24"/>
            </w:rPr>
            <w:t xml:space="preserve">2. </w:t>
          </w:r>
          <w:r w:rsidRPr="00F71117">
            <w:rPr>
              <w:rFonts w:ascii="Arial" w:hAnsi="Arial" w:cs="Arial"/>
              <w:sz w:val="24"/>
              <w:szCs w:val="24"/>
            </w:rPr>
            <w:tab/>
            <w:t xml:space="preserve">Antoniuk S, </w:t>
          </w:r>
          <w:proofErr w:type="spellStart"/>
          <w:r w:rsidRPr="00F71117">
            <w:rPr>
              <w:rFonts w:ascii="Arial" w:hAnsi="Arial" w:cs="Arial"/>
              <w:sz w:val="24"/>
              <w:szCs w:val="24"/>
            </w:rPr>
            <w:t>Bijata</w:t>
          </w:r>
          <w:proofErr w:type="spellEnd"/>
          <w:r w:rsidRPr="00F71117">
            <w:rPr>
              <w:rFonts w:ascii="Arial" w:hAnsi="Arial" w:cs="Arial"/>
              <w:sz w:val="24"/>
              <w:szCs w:val="24"/>
            </w:rPr>
            <w:t xml:space="preserve"> M, </w:t>
          </w:r>
          <w:proofErr w:type="spellStart"/>
          <w:r w:rsidRPr="00F71117">
            <w:rPr>
              <w:rFonts w:ascii="Arial" w:hAnsi="Arial" w:cs="Arial"/>
              <w:sz w:val="24"/>
              <w:szCs w:val="24"/>
            </w:rPr>
            <w:t>Ponimaskin</w:t>
          </w:r>
          <w:proofErr w:type="spellEnd"/>
          <w:r w:rsidRPr="00F71117">
            <w:rPr>
              <w:rFonts w:ascii="Arial" w:hAnsi="Arial" w:cs="Arial"/>
              <w:sz w:val="24"/>
              <w:szCs w:val="24"/>
            </w:rPr>
            <w:t xml:space="preserve"> E, Wlodarczyk J. Chronic unpredictable mild stress for modeling depression in rodents: Meta-analysis of model reliability. </w:t>
          </w:r>
          <w:proofErr w:type="spellStart"/>
          <w:r w:rsidRPr="00F71117">
            <w:rPr>
              <w:rFonts w:ascii="Arial" w:hAnsi="Arial" w:cs="Arial"/>
              <w:sz w:val="24"/>
              <w:szCs w:val="24"/>
            </w:rPr>
            <w:t>Neurosci</w:t>
          </w:r>
          <w:proofErr w:type="spellEnd"/>
          <w:r w:rsidRPr="00F71117">
            <w:rPr>
              <w:rFonts w:ascii="Arial" w:hAnsi="Arial" w:cs="Arial"/>
              <w:sz w:val="24"/>
              <w:szCs w:val="24"/>
            </w:rPr>
            <w:t xml:space="preserve"> </w:t>
          </w:r>
          <w:proofErr w:type="spellStart"/>
          <w:r w:rsidRPr="00F71117">
            <w:rPr>
              <w:rFonts w:ascii="Arial" w:hAnsi="Arial" w:cs="Arial"/>
              <w:sz w:val="24"/>
              <w:szCs w:val="24"/>
            </w:rPr>
            <w:t>Biobehav</w:t>
          </w:r>
          <w:proofErr w:type="spellEnd"/>
          <w:r w:rsidRPr="00F71117">
            <w:rPr>
              <w:rFonts w:ascii="Arial" w:hAnsi="Arial" w:cs="Arial"/>
              <w:sz w:val="24"/>
              <w:szCs w:val="24"/>
            </w:rPr>
            <w:t xml:space="preserve"> Rev. 2019;99:101–116.</w:t>
          </w:r>
        </w:p>
        <w:p w14:paraId="5A424BA6" w14:textId="30269A54" w:rsidR="00F71117" w:rsidRPr="00F71117" w:rsidRDefault="00F71117" w:rsidP="00307747">
          <w:pPr>
            <w:autoSpaceDE w:val="0"/>
            <w:autoSpaceDN w:val="0"/>
            <w:spacing w:line="360" w:lineRule="auto"/>
            <w:ind w:hanging="641"/>
            <w:divId w:val="1048652744"/>
            <w:rPr>
              <w:rFonts w:ascii="Arial" w:hAnsi="Arial" w:cs="Arial"/>
              <w:sz w:val="24"/>
              <w:szCs w:val="24"/>
            </w:rPr>
          </w:pPr>
          <w:r w:rsidRPr="00F71117">
            <w:rPr>
              <w:rFonts w:ascii="Arial" w:hAnsi="Arial" w:cs="Arial"/>
              <w:sz w:val="24"/>
              <w:szCs w:val="24"/>
            </w:rPr>
            <w:t xml:space="preserve">3. </w:t>
          </w:r>
          <w:r w:rsidRPr="00F71117">
            <w:rPr>
              <w:rFonts w:ascii="Arial" w:hAnsi="Arial" w:cs="Arial"/>
              <w:sz w:val="24"/>
              <w:szCs w:val="24"/>
            </w:rPr>
            <w:tab/>
          </w:r>
          <w:proofErr w:type="spellStart"/>
          <w:r w:rsidRPr="00F71117">
            <w:rPr>
              <w:rFonts w:ascii="Arial" w:hAnsi="Arial" w:cs="Arial"/>
              <w:sz w:val="24"/>
              <w:szCs w:val="24"/>
            </w:rPr>
            <w:t>Banasr</w:t>
          </w:r>
          <w:proofErr w:type="spellEnd"/>
          <w:r w:rsidRPr="00F71117">
            <w:rPr>
              <w:rFonts w:ascii="Arial" w:hAnsi="Arial" w:cs="Arial"/>
              <w:sz w:val="24"/>
              <w:szCs w:val="24"/>
            </w:rPr>
            <w:t xml:space="preserve"> M, Valentine GW, Li XY, Gourley SL, Taylor JR, Duman RS. Chronic </w:t>
          </w:r>
          <w:r w:rsidR="00307747">
            <w:rPr>
              <w:rFonts w:ascii="Arial" w:hAnsi="Arial" w:cs="Arial" w:hint="eastAsia"/>
              <w:sz w:val="24"/>
              <w:szCs w:val="24"/>
            </w:rPr>
            <w:t>u</w:t>
          </w:r>
          <w:r w:rsidRPr="00F71117">
            <w:rPr>
              <w:rFonts w:ascii="Arial" w:hAnsi="Arial" w:cs="Arial"/>
              <w:sz w:val="24"/>
              <w:szCs w:val="24"/>
            </w:rPr>
            <w:t xml:space="preserve">npredictable </w:t>
          </w:r>
          <w:r w:rsidR="00307747">
            <w:rPr>
              <w:rFonts w:ascii="Arial" w:hAnsi="Arial" w:cs="Arial" w:hint="eastAsia"/>
              <w:sz w:val="24"/>
              <w:szCs w:val="24"/>
            </w:rPr>
            <w:t>s</w:t>
          </w:r>
          <w:r w:rsidRPr="00F71117">
            <w:rPr>
              <w:rFonts w:ascii="Arial" w:hAnsi="Arial" w:cs="Arial"/>
              <w:sz w:val="24"/>
              <w:szCs w:val="24"/>
            </w:rPr>
            <w:t xml:space="preserve">tress </w:t>
          </w:r>
          <w:r w:rsidR="00307747">
            <w:rPr>
              <w:rFonts w:ascii="Arial" w:hAnsi="Arial" w:cs="Arial" w:hint="eastAsia"/>
              <w:sz w:val="24"/>
              <w:szCs w:val="24"/>
            </w:rPr>
            <w:t>d</w:t>
          </w:r>
          <w:r w:rsidRPr="00F71117">
            <w:rPr>
              <w:rFonts w:ascii="Arial" w:hAnsi="Arial" w:cs="Arial"/>
              <w:sz w:val="24"/>
              <w:szCs w:val="24"/>
            </w:rPr>
            <w:t xml:space="preserve">ecreases </w:t>
          </w:r>
          <w:r w:rsidR="00307747">
            <w:rPr>
              <w:rFonts w:ascii="Arial" w:hAnsi="Arial" w:cs="Arial" w:hint="eastAsia"/>
              <w:sz w:val="24"/>
              <w:szCs w:val="24"/>
            </w:rPr>
            <w:t>c</w:t>
          </w:r>
          <w:r w:rsidRPr="00F71117">
            <w:rPr>
              <w:rFonts w:ascii="Arial" w:hAnsi="Arial" w:cs="Arial"/>
              <w:sz w:val="24"/>
              <w:szCs w:val="24"/>
            </w:rPr>
            <w:t xml:space="preserve">ell </w:t>
          </w:r>
          <w:r w:rsidR="00307747">
            <w:rPr>
              <w:rFonts w:ascii="Arial" w:hAnsi="Arial" w:cs="Arial" w:hint="eastAsia"/>
              <w:sz w:val="24"/>
              <w:szCs w:val="24"/>
            </w:rPr>
            <w:t>p</w:t>
          </w:r>
          <w:r w:rsidRPr="00F71117">
            <w:rPr>
              <w:rFonts w:ascii="Arial" w:hAnsi="Arial" w:cs="Arial"/>
              <w:sz w:val="24"/>
              <w:szCs w:val="24"/>
            </w:rPr>
            <w:t xml:space="preserve">roliferation in the </w:t>
          </w:r>
          <w:r w:rsidR="00307747">
            <w:rPr>
              <w:rFonts w:ascii="Arial" w:hAnsi="Arial" w:cs="Arial" w:hint="eastAsia"/>
              <w:sz w:val="24"/>
              <w:szCs w:val="24"/>
            </w:rPr>
            <w:t>c</w:t>
          </w:r>
          <w:r w:rsidRPr="00F71117">
            <w:rPr>
              <w:rFonts w:ascii="Arial" w:hAnsi="Arial" w:cs="Arial"/>
              <w:sz w:val="24"/>
              <w:szCs w:val="24"/>
            </w:rPr>
            <w:t xml:space="preserve">erebral </w:t>
          </w:r>
          <w:r w:rsidR="00307747">
            <w:rPr>
              <w:rFonts w:ascii="Arial" w:hAnsi="Arial" w:cs="Arial" w:hint="eastAsia"/>
              <w:sz w:val="24"/>
              <w:szCs w:val="24"/>
            </w:rPr>
            <w:t>c</w:t>
          </w:r>
          <w:r w:rsidRPr="00F71117">
            <w:rPr>
              <w:rFonts w:ascii="Arial" w:hAnsi="Arial" w:cs="Arial"/>
              <w:sz w:val="24"/>
              <w:szCs w:val="24"/>
            </w:rPr>
            <w:t xml:space="preserve">ortex of the </w:t>
          </w:r>
          <w:r w:rsidR="00307747">
            <w:rPr>
              <w:rFonts w:ascii="Arial" w:hAnsi="Arial" w:cs="Arial" w:hint="eastAsia"/>
              <w:sz w:val="24"/>
              <w:szCs w:val="24"/>
            </w:rPr>
            <w:t>a</w:t>
          </w:r>
          <w:r w:rsidRPr="00F71117">
            <w:rPr>
              <w:rFonts w:ascii="Arial" w:hAnsi="Arial" w:cs="Arial"/>
              <w:sz w:val="24"/>
              <w:szCs w:val="24"/>
            </w:rPr>
            <w:t xml:space="preserve">dult </w:t>
          </w:r>
          <w:r w:rsidR="00307747">
            <w:rPr>
              <w:rFonts w:ascii="Arial" w:hAnsi="Arial" w:cs="Arial" w:hint="eastAsia"/>
              <w:sz w:val="24"/>
              <w:szCs w:val="24"/>
            </w:rPr>
            <w:t>r</w:t>
          </w:r>
          <w:r w:rsidRPr="00F71117">
            <w:rPr>
              <w:rFonts w:ascii="Arial" w:hAnsi="Arial" w:cs="Arial"/>
              <w:sz w:val="24"/>
              <w:szCs w:val="24"/>
            </w:rPr>
            <w:t>at. Biol Psychiatry. 2007;62:496–504.</w:t>
          </w:r>
        </w:p>
        <w:p w14:paraId="3C5CF699" w14:textId="77777777" w:rsidR="00F71117" w:rsidRPr="00F71117" w:rsidRDefault="00F71117" w:rsidP="00307747">
          <w:pPr>
            <w:autoSpaceDE w:val="0"/>
            <w:autoSpaceDN w:val="0"/>
            <w:spacing w:line="360" w:lineRule="auto"/>
            <w:ind w:hanging="641"/>
            <w:divId w:val="1234703555"/>
            <w:rPr>
              <w:rFonts w:ascii="Arial" w:hAnsi="Arial" w:cs="Arial"/>
              <w:sz w:val="24"/>
              <w:szCs w:val="24"/>
            </w:rPr>
          </w:pPr>
          <w:r w:rsidRPr="00F71117">
            <w:rPr>
              <w:rFonts w:ascii="Arial" w:hAnsi="Arial" w:cs="Arial"/>
              <w:sz w:val="24"/>
              <w:szCs w:val="24"/>
            </w:rPr>
            <w:t xml:space="preserve">4. </w:t>
          </w:r>
          <w:r w:rsidRPr="00F71117">
            <w:rPr>
              <w:rFonts w:ascii="Arial" w:hAnsi="Arial" w:cs="Arial"/>
              <w:sz w:val="24"/>
              <w:szCs w:val="24"/>
            </w:rPr>
            <w:tab/>
          </w:r>
          <w:proofErr w:type="spellStart"/>
          <w:r w:rsidRPr="00F71117">
            <w:rPr>
              <w:rFonts w:ascii="Arial" w:hAnsi="Arial" w:cs="Arial"/>
              <w:sz w:val="24"/>
              <w:szCs w:val="24"/>
            </w:rPr>
            <w:t>Steru</w:t>
          </w:r>
          <w:proofErr w:type="spellEnd"/>
          <w:r w:rsidRPr="00F71117">
            <w:rPr>
              <w:rFonts w:ascii="Arial" w:hAnsi="Arial" w:cs="Arial"/>
              <w:sz w:val="24"/>
              <w:szCs w:val="24"/>
            </w:rPr>
            <w:t xml:space="preserve"> L, </w:t>
          </w:r>
          <w:proofErr w:type="spellStart"/>
          <w:r w:rsidRPr="00F71117">
            <w:rPr>
              <w:rFonts w:ascii="Arial" w:hAnsi="Arial" w:cs="Arial"/>
              <w:sz w:val="24"/>
              <w:szCs w:val="24"/>
            </w:rPr>
            <w:t>Chermat</w:t>
          </w:r>
          <w:proofErr w:type="spellEnd"/>
          <w:r w:rsidRPr="00F71117">
            <w:rPr>
              <w:rFonts w:ascii="Arial" w:hAnsi="Arial" w:cs="Arial"/>
              <w:sz w:val="24"/>
              <w:szCs w:val="24"/>
            </w:rPr>
            <w:t xml:space="preserve"> R, Thierry B, Simon P. The tail suspension test: A new method for screening antidepressants in mice. Psychopharmacology (Berl). 1985;85:367–370.</w:t>
          </w:r>
        </w:p>
        <w:p w14:paraId="556D1682" w14:textId="77777777" w:rsidR="00F71117" w:rsidRPr="00F71117" w:rsidRDefault="00F71117" w:rsidP="00307747">
          <w:pPr>
            <w:autoSpaceDE w:val="0"/>
            <w:autoSpaceDN w:val="0"/>
            <w:spacing w:line="360" w:lineRule="auto"/>
            <w:ind w:hanging="641"/>
            <w:divId w:val="1114442281"/>
            <w:rPr>
              <w:rFonts w:ascii="Arial" w:hAnsi="Arial" w:cs="Arial"/>
              <w:sz w:val="24"/>
              <w:szCs w:val="24"/>
            </w:rPr>
          </w:pPr>
          <w:r w:rsidRPr="00F71117">
            <w:rPr>
              <w:rFonts w:ascii="Arial" w:hAnsi="Arial" w:cs="Arial"/>
              <w:sz w:val="24"/>
              <w:szCs w:val="24"/>
            </w:rPr>
            <w:t xml:space="preserve">5. </w:t>
          </w:r>
          <w:r w:rsidRPr="00F71117">
            <w:rPr>
              <w:rFonts w:ascii="Arial" w:hAnsi="Arial" w:cs="Arial"/>
              <w:sz w:val="24"/>
              <w:szCs w:val="24"/>
            </w:rPr>
            <w:tab/>
            <w:t>Petit-</w:t>
          </w:r>
          <w:proofErr w:type="spellStart"/>
          <w:r w:rsidRPr="00F71117">
            <w:rPr>
              <w:rFonts w:ascii="Arial" w:hAnsi="Arial" w:cs="Arial"/>
              <w:sz w:val="24"/>
              <w:szCs w:val="24"/>
            </w:rPr>
            <w:t>Demouliere</w:t>
          </w:r>
          <w:proofErr w:type="spellEnd"/>
          <w:r w:rsidRPr="00F71117">
            <w:rPr>
              <w:rFonts w:ascii="Arial" w:hAnsi="Arial" w:cs="Arial"/>
              <w:sz w:val="24"/>
              <w:szCs w:val="24"/>
            </w:rPr>
            <w:t xml:space="preserve"> B, </w:t>
          </w:r>
          <w:proofErr w:type="spellStart"/>
          <w:r w:rsidRPr="00F71117">
            <w:rPr>
              <w:rFonts w:ascii="Arial" w:hAnsi="Arial" w:cs="Arial"/>
              <w:sz w:val="24"/>
              <w:szCs w:val="24"/>
            </w:rPr>
            <w:t>Chenu</w:t>
          </w:r>
          <w:proofErr w:type="spellEnd"/>
          <w:r w:rsidRPr="00F71117">
            <w:rPr>
              <w:rFonts w:ascii="Arial" w:hAnsi="Arial" w:cs="Arial"/>
              <w:sz w:val="24"/>
              <w:szCs w:val="24"/>
            </w:rPr>
            <w:t xml:space="preserve"> F, </w:t>
          </w:r>
          <w:proofErr w:type="spellStart"/>
          <w:r w:rsidRPr="00F71117">
            <w:rPr>
              <w:rFonts w:ascii="Arial" w:hAnsi="Arial" w:cs="Arial"/>
              <w:sz w:val="24"/>
              <w:szCs w:val="24"/>
            </w:rPr>
            <w:t>Bourin</w:t>
          </w:r>
          <w:proofErr w:type="spellEnd"/>
          <w:r w:rsidRPr="00F71117">
            <w:rPr>
              <w:rFonts w:ascii="Arial" w:hAnsi="Arial" w:cs="Arial"/>
              <w:sz w:val="24"/>
              <w:szCs w:val="24"/>
            </w:rPr>
            <w:t xml:space="preserve"> M. Forced swimming test in mice: a review of antidepressant activity. Psychopharmacology (Berl). 2005;177:245–255.</w:t>
          </w:r>
        </w:p>
        <w:p w14:paraId="55056BA4" w14:textId="77777777" w:rsidR="00F71117" w:rsidRPr="00F71117" w:rsidRDefault="00F71117" w:rsidP="00307747">
          <w:pPr>
            <w:autoSpaceDE w:val="0"/>
            <w:autoSpaceDN w:val="0"/>
            <w:spacing w:line="360" w:lineRule="auto"/>
            <w:ind w:hanging="641"/>
            <w:divId w:val="1725911195"/>
            <w:rPr>
              <w:rFonts w:ascii="Arial" w:hAnsi="Arial" w:cs="Arial"/>
              <w:sz w:val="24"/>
              <w:szCs w:val="24"/>
            </w:rPr>
          </w:pPr>
          <w:r w:rsidRPr="00F71117">
            <w:rPr>
              <w:rFonts w:ascii="Arial" w:hAnsi="Arial" w:cs="Arial"/>
              <w:sz w:val="24"/>
              <w:szCs w:val="24"/>
            </w:rPr>
            <w:t xml:space="preserve">6. </w:t>
          </w:r>
          <w:r w:rsidRPr="00F71117">
            <w:rPr>
              <w:rFonts w:ascii="Arial" w:hAnsi="Arial" w:cs="Arial"/>
              <w:sz w:val="24"/>
              <w:szCs w:val="24"/>
            </w:rPr>
            <w:tab/>
            <w:t xml:space="preserve">West MJ, </w:t>
          </w:r>
          <w:proofErr w:type="spellStart"/>
          <w:r w:rsidRPr="00F71117">
            <w:rPr>
              <w:rFonts w:ascii="Arial" w:hAnsi="Arial" w:cs="Arial"/>
              <w:sz w:val="24"/>
              <w:szCs w:val="24"/>
            </w:rPr>
            <w:t>Slomianka</w:t>
          </w:r>
          <w:proofErr w:type="spellEnd"/>
          <w:r w:rsidRPr="00F71117">
            <w:rPr>
              <w:rFonts w:ascii="Arial" w:hAnsi="Arial" w:cs="Arial"/>
              <w:sz w:val="24"/>
              <w:szCs w:val="24"/>
            </w:rPr>
            <w:t xml:space="preserve"> L, Gundersen HJG. Unbiased stereological estimation of the total number of neurons in the subdivisions of the rat hippocampus using the optical fractionator. Anat Rec. 1991;231:482–497.</w:t>
          </w:r>
        </w:p>
        <w:p w14:paraId="29CC204C" w14:textId="4BFF5A6E" w:rsidR="00F71117" w:rsidRDefault="00F71117" w:rsidP="00F71117">
          <w:pPr>
            <w:spacing w:line="360" w:lineRule="auto"/>
            <w:ind w:firstLineChars="200" w:firstLine="480"/>
            <w:rPr>
              <w:rFonts w:ascii="Arial" w:eastAsia="宋体" w:hAnsi="Arial" w:cs="Arial"/>
              <w:kern w:val="0"/>
              <w:sz w:val="24"/>
              <w:szCs w:val="24"/>
            </w:rPr>
          </w:pPr>
          <w:r w:rsidRPr="00F71117">
            <w:rPr>
              <w:rFonts w:ascii="Arial" w:hAnsi="Arial" w:cs="Arial"/>
              <w:sz w:val="24"/>
              <w:szCs w:val="24"/>
            </w:rPr>
            <w:t> </w:t>
          </w:r>
        </w:p>
      </w:sdtContent>
    </w:sdt>
    <w:p w14:paraId="14DA4B8D" w14:textId="77777777" w:rsidR="00307747" w:rsidRDefault="00307747" w:rsidP="00307747">
      <w:pPr>
        <w:rPr>
          <w:rStyle w:val="fontstyle01"/>
          <w:rFonts w:ascii="Arial" w:hAnsi="Arial" w:cs="Arial"/>
          <w:sz w:val="24"/>
          <w:szCs w:val="24"/>
        </w:rPr>
      </w:pPr>
      <w:r>
        <w:rPr>
          <w:rStyle w:val="fontstyle01"/>
          <w:rFonts w:ascii="Arial" w:hAnsi="Arial" w:cs="Arial"/>
          <w:sz w:val="24"/>
          <w:szCs w:val="24"/>
        </w:rPr>
        <w:br w:type="page"/>
      </w:r>
    </w:p>
    <w:p w14:paraId="7FD5B0EC" w14:textId="3A592844" w:rsidR="00307747" w:rsidRDefault="00307747" w:rsidP="00307747">
      <w:pPr>
        <w:spacing w:line="360" w:lineRule="auto"/>
        <w:jc w:val="center"/>
        <w:rPr>
          <w:rStyle w:val="fontstyle01"/>
          <w:rFonts w:ascii="Arial" w:hAnsi="Arial" w:cs="Arial"/>
          <w:sz w:val="24"/>
          <w:szCs w:val="24"/>
        </w:rPr>
      </w:pPr>
      <w:r w:rsidRPr="00796C1E">
        <w:rPr>
          <w:rStyle w:val="fontstyle01"/>
          <w:rFonts w:ascii="Arial" w:hAnsi="Arial" w:cs="Arial"/>
          <w:sz w:val="24"/>
          <w:szCs w:val="24"/>
        </w:rPr>
        <w:t>Supplementary Table</w:t>
      </w:r>
      <w:r>
        <w:rPr>
          <w:rStyle w:val="fontstyle01"/>
          <w:rFonts w:ascii="Arial" w:hAnsi="Arial" w:cs="Arial" w:hint="eastAsia"/>
          <w:sz w:val="24"/>
          <w:szCs w:val="24"/>
        </w:rPr>
        <w:t>s</w:t>
      </w:r>
    </w:p>
    <w:p w14:paraId="214008DF" w14:textId="7181137E" w:rsidR="00307747" w:rsidRPr="00796C1E" w:rsidRDefault="00307747" w:rsidP="00307747">
      <w:pPr>
        <w:spacing w:line="360" w:lineRule="auto"/>
        <w:rPr>
          <w:rFonts w:ascii="Arial" w:hAnsi="Arial" w:cs="Arial"/>
          <w:sz w:val="24"/>
          <w:szCs w:val="24"/>
        </w:rPr>
      </w:pPr>
      <w:r w:rsidRPr="00796C1E">
        <w:rPr>
          <w:rStyle w:val="fontstyle01"/>
          <w:rFonts w:ascii="Arial" w:hAnsi="Arial" w:cs="Arial"/>
          <w:sz w:val="24"/>
          <w:szCs w:val="24"/>
        </w:rPr>
        <w:t>Supplementary Table 1</w:t>
      </w:r>
      <w:r w:rsidRPr="00796C1E">
        <w:rPr>
          <w:rFonts w:ascii="Arial" w:hAnsi="Arial" w:cs="Arial"/>
          <w:b/>
          <w:sz w:val="24"/>
          <w:szCs w:val="24"/>
        </w:rPr>
        <w:t>.</w:t>
      </w:r>
      <w:r w:rsidRPr="00796C1E">
        <w:rPr>
          <w:rFonts w:ascii="Arial" w:hAnsi="Arial" w:cs="Arial"/>
          <w:sz w:val="24"/>
          <w:szCs w:val="24"/>
        </w:rPr>
        <w:t xml:space="preserve"> Schedule of CUS stressor exposure.</w:t>
      </w:r>
    </w:p>
    <w:tbl>
      <w:tblPr>
        <w:tblStyle w:val="61"/>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094"/>
        <w:gridCol w:w="1094"/>
        <w:gridCol w:w="1094"/>
        <w:gridCol w:w="1094"/>
        <w:gridCol w:w="1094"/>
        <w:gridCol w:w="1094"/>
        <w:gridCol w:w="1095"/>
      </w:tblGrid>
      <w:tr w:rsidR="00307747" w:rsidRPr="00796C1E" w14:paraId="74125D67" w14:textId="77777777" w:rsidTr="002F1A8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846" w:type="dxa"/>
            <w:tcBorders>
              <w:bottom w:val="none" w:sz="0" w:space="0" w:color="auto"/>
            </w:tcBorders>
          </w:tcPr>
          <w:p w14:paraId="30A10E82" w14:textId="77777777" w:rsidR="00307747" w:rsidRPr="00796C1E" w:rsidRDefault="00307747" w:rsidP="002F1A8F">
            <w:pPr>
              <w:rPr>
                <w:rFonts w:ascii="Arial" w:hAnsi="Arial" w:cs="Arial"/>
                <w:b w:val="0"/>
                <w:bCs w:val="0"/>
                <w:color w:val="auto"/>
                <w:szCs w:val="21"/>
              </w:rPr>
            </w:pPr>
            <w:r w:rsidRPr="00796C1E">
              <w:rPr>
                <w:rFonts w:ascii="Arial" w:hAnsi="Arial" w:cs="Arial"/>
                <w:color w:val="auto"/>
                <w:szCs w:val="21"/>
              </w:rPr>
              <w:t>Time</w:t>
            </w:r>
          </w:p>
        </w:tc>
        <w:tc>
          <w:tcPr>
            <w:tcW w:w="1094" w:type="dxa"/>
            <w:tcBorders>
              <w:bottom w:val="none" w:sz="0" w:space="0" w:color="auto"/>
            </w:tcBorders>
          </w:tcPr>
          <w:p w14:paraId="2DB64D3F"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Monday</w:t>
            </w:r>
          </w:p>
        </w:tc>
        <w:tc>
          <w:tcPr>
            <w:tcW w:w="1094" w:type="dxa"/>
            <w:tcBorders>
              <w:bottom w:val="none" w:sz="0" w:space="0" w:color="auto"/>
            </w:tcBorders>
          </w:tcPr>
          <w:p w14:paraId="45BE3052"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Tuesday</w:t>
            </w:r>
          </w:p>
        </w:tc>
        <w:tc>
          <w:tcPr>
            <w:tcW w:w="1094" w:type="dxa"/>
            <w:tcBorders>
              <w:bottom w:val="none" w:sz="0" w:space="0" w:color="auto"/>
            </w:tcBorders>
          </w:tcPr>
          <w:p w14:paraId="2C5089BD"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Wednesday</w:t>
            </w:r>
          </w:p>
        </w:tc>
        <w:tc>
          <w:tcPr>
            <w:tcW w:w="1094" w:type="dxa"/>
            <w:tcBorders>
              <w:bottom w:val="none" w:sz="0" w:space="0" w:color="auto"/>
            </w:tcBorders>
          </w:tcPr>
          <w:p w14:paraId="28C0EA3C" w14:textId="77777777" w:rsidR="00307747" w:rsidRPr="00796C1E" w:rsidRDefault="00307747" w:rsidP="002F1A8F">
            <w:pPr>
              <w:jc w:val="lef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Thursday</w:t>
            </w:r>
          </w:p>
        </w:tc>
        <w:tc>
          <w:tcPr>
            <w:tcW w:w="1094" w:type="dxa"/>
            <w:tcBorders>
              <w:bottom w:val="none" w:sz="0" w:space="0" w:color="auto"/>
            </w:tcBorders>
          </w:tcPr>
          <w:p w14:paraId="0BE6B9B8"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Friday</w:t>
            </w:r>
          </w:p>
        </w:tc>
        <w:tc>
          <w:tcPr>
            <w:tcW w:w="1094" w:type="dxa"/>
            <w:tcBorders>
              <w:bottom w:val="none" w:sz="0" w:space="0" w:color="auto"/>
            </w:tcBorders>
          </w:tcPr>
          <w:p w14:paraId="2D6F8AFB"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Saturday</w:t>
            </w:r>
          </w:p>
        </w:tc>
        <w:tc>
          <w:tcPr>
            <w:tcW w:w="1095" w:type="dxa"/>
            <w:tcBorders>
              <w:bottom w:val="none" w:sz="0" w:space="0" w:color="auto"/>
            </w:tcBorders>
          </w:tcPr>
          <w:p w14:paraId="2B338F6F" w14:textId="77777777" w:rsidR="00307747" w:rsidRPr="00796C1E" w:rsidRDefault="00307747" w:rsidP="002F1A8F">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21"/>
              </w:rPr>
            </w:pPr>
            <w:r w:rsidRPr="00796C1E">
              <w:rPr>
                <w:rFonts w:ascii="Arial" w:hAnsi="Arial" w:cs="Arial"/>
                <w:color w:val="auto"/>
                <w:szCs w:val="21"/>
              </w:rPr>
              <w:t>Sunday</w:t>
            </w:r>
          </w:p>
        </w:tc>
      </w:tr>
      <w:tr w:rsidR="00307747" w:rsidRPr="00796C1E" w14:paraId="3CED2A39" w14:textId="77777777" w:rsidTr="002F1A8F">
        <w:trPr>
          <w:trHeight w:val="2184"/>
        </w:trPr>
        <w:tc>
          <w:tcPr>
            <w:cnfStyle w:val="001000000000" w:firstRow="0" w:lastRow="0" w:firstColumn="1" w:lastColumn="0" w:oddVBand="0" w:evenVBand="0" w:oddHBand="0" w:evenHBand="0" w:firstRowFirstColumn="0" w:firstRowLastColumn="0" w:lastRowFirstColumn="0" w:lastRowLastColumn="0"/>
            <w:tcW w:w="846" w:type="dxa"/>
            <w:shd w:val="clear" w:color="auto" w:fill="CCCCCC" w:themeFill="text1" w:themeFillTint="33"/>
          </w:tcPr>
          <w:p w14:paraId="7F962E94" w14:textId="77777777" w:rsidR="00307747" w:rsidRPr="00796C1E" w:rsidRDefault="00307747" w:rsidP="002F1A8F">
            <w:pPr>
              <w:jc w:val="center"/>
              <w:rPr>
                <w:rFonts w:ascii="Arial" w:hAnsi="Arial" w:cs="Arial"/>
                <w:b w:val="0"/>
                <w:bCs w:val="0"/>
                <w:color w:val="auto"/>
                <w:szCs w:val="21"/>
              </w:rPr>
            </w:pPr>
            <w:r w:rsidRPr="00796C1E">
              <w:rPr>
                <w:rFonts w:ascii="Arial" w:hAnsi="Arial" w:cs="Arial"/>
                <w:color w:val="auto"/>
                <w:szCs w:val="21"/>
              </w:rPr>
              <w:t>Week1</w:t>
            </w:r>
          </w:p>
        </w:tc>
        <w:tc>
          <w:tcPr>
            <w:tcW w:w="1094" w:type="dxa"/>
            <w:shd w:val="clear" w:color="auto" w:fill="CCCCCC" w:themeFill="text1" w:themeFillTint="33"/>
          </w:tcPr>
          <w:p w14:paraId="3F85CED7"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Electrical foot</w:t>
            </w:r>
            <w:r>
              <w:rPr>
                <w:rFonts w:ascii="Arial" w:hAnsi="Arial" w:cs="Arial" w:hint="eastAsia"/>
                <w:szCs w:val="21"/>
              </w:rPr>
              <w:t xml:space="preserve"> </w:t>
            </w:r>
            <w:r w:rsidRPr="00796C1E">
              <w:rPr>
                <w:rFonts w:ascii="Arial" w:hAnsi="Arial" w:cs="Arial"/>
                <w:szCs w:val="21"/>
              </w:rPr>
              <w:t>shock,</w:t>
            </w:r>
          </w:p>
          <w:p w14:paraId="0B5CD75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 xml:space="preserve">Water </w:t>
            </w:r>
            <w:proofErr w:type="spellStart"/>
            <w:r w:rsidRPr="00796C1E">
              <w:rPr>
                <w:rFonts w:ascii="Arial" w:hAnsi="Arial" w:cs="Arial"/>
                <w:szCs w:val="21"/>
              </w:rPr>
              <w:t>deprivati</w:t>
            </w:r>
            <w:proofErr w:type="spellEnd"/>
            <w:r>
              <w:rPr>
                <w:rFonts w:ascii="Arial" w:hAnsi="Arial" w:cs="Arial" w:hint="eastAsia"/>
                <w:szCs w:val="21"/>
              </w:rPr>
              <w:t>-</w:t>
            </w:r>
            <w:r w:rsidRPr="00796C1E">
              <w:rPr>
                <w:rFonts w:ascii="Arial" w:hAnsi="Arial" w:cs="Arial"/>
                <w:szCs w:val="21"/>
              </w:rPr>
              <w:t>on</w:t>
            </w:r>
          </w:p>
        </w:tc>
        <w:tc>
          <w:tcPr>
            <w:tcW w:w="1094" w:type="dxa"/>
            <w:shd w:val="clear" w:color="auto" w:fill="CCCCCC" w:themeFill="text1" w:themeFillTint="33"/>
          </w:tcPr>
          <w:p w14:paraId="03BCDD4D"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Empty bottle</w:t>
            </w:r>
            <w:r>
              <w:rPr>
                <w:rFonts w:ascii="Arial" w:hAnsi="Arial" w:cs="Arial" w:hint="eastAsia"/>
                <w:szCs w:val="21"/>
              </w:rPr>
              <w:t>,</w:t>
            </w:r>
          </w:p>
          <w:p w14:paraId="7F828027"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Light off</w:t>
            </w:r>
          </w:p>
        </w:tc>
        <w:tc>
          <w:tcPr>
            <w:tcW w:w="1094" w:type="dxa"/>
            <w:shd w:val="clear" w:color="auto" w:fill="CCCCCC" w:themeFill="text1" w:themeFillTint="33"/>
          </w:tcPr>
          <w:p w14:paraId="4C7B465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Cold stress,</w:t>
            </w:r>
          </w:p>
          <w:p w14:paraId="30454581"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 xml:space="preserve">Litter </w:t>
            </w:r>
            <w:proofErr w:type="spellStart"/>
            <w:r w:rsidRPr="00796C1E">
              <w:rPr>
                <w:rFonts w:ascii="Arial" w:hAnsi="Arial" w:cs="Arial"/>
                <w:szCs w:val="21"/>
              </w:rPr>
              <w:t>exchang</w:t>
            </w:r>
            <w:proofErr w:type="spellEnd"/>
            <w:r>
              <w:rPr>
                <w:rFonts w:ascii="Arial" w:hAnsi="Arial" w:cs="Arial" w:hint="eastAsia"/>
                <w:szCs w:val="21"/>
              </w:rPr>
              <w:t>-</w:t>
            </w:r>
            <w:r w:rsidRPr="00796C1E">
              <w:rPr>
                <w:rFonts w:ascii="Arial" w:hAnsi="Arial" w:cs="Arial"/>
                <w:szCs w:val="21"/>
              </w:rPr>
              <w:t>e</w:t>
            </w:r>
          </w:p>
        </w:tc>
        <w:tc>
          <w:tcPr>
            <w:tcW w:w="1094" w:type="dxa"/>
            <w:shd w:val="clear" w:color="auto" w:fill="CCCCCC" w:themeFill="text1" w:themeFillTint="33"/>
          </w:tcPr>
          <w:p w14:paraId="6C88228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Table shaking,</w:t>
            </w:r>
          </w:p>
          <w:p w14:paraId="3DA2805F" w14:textId="77777777" w:rsidR="00307747"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Cage tilting/</w:t>
            </w:r>
          </w:p>
          <w:p w14:paraId="1E238DD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Empty bedding</w:t>
            </w:r>
          </w:p>
        </w:tc>
        <w:tc>
          <w:tcPr>
            <w:tcW w:w="1094" w:type="dxa"/>
            <w:shd w:val="clear" w:color="auto" w:fill="CCCCCC" w:themeFill="text1" w:themeFillTint="33"/>
          </w:tcPr>
          <w:p w14:paraId="55041B1C"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Restrain,</w:t>
            </w:r>
          </w:p>
          <w:p w14:paraId="1990E401"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Food deprivation</w:t>
            </w:r>
          </w:p>
        </w:tc>
        <w:tc>
          <w:tcPr>
            <w:tcW w:w="1094" w:type="dxa"/>
            <w:shd w:val="clear" w:color="auto" w:fill="CCCCCC" w:themeFill="text1" w:themeFillTint="33"/>
          </w:tcPr>
          <w:p w14:paraId="6687C43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color w:val="000000"/>
                <w:szCs w:val="21"/>
              </w:rPr>
              <w:t>BWT</w:t>
            </w:r>
            <w:r w:rsidRPr="00796C1E">
              <w:rPr>
                <w:rFonts w:ascii="Arial" w:hAnsi="Arial" w:cs="Arial"/>
                <w:szCs w:val="21"/>
              </w:rPr>
              <w:t>,</w:t>
            </w:r>
          </w:p>
          <w:p w14:paraId="01805C1D"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Electrical foot shock, Exchange position;</w:t>
            </w:r>
          </w:p>
          <w:p w14:paraId="345A72F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Strobe</w:t>
            </w:r>
          </w:p>
        </w:tc>
        <w:tc>
          <w:tcPr>
            <w:tcW w:w="1095" w:type="dxa"/>
            <w:shd w:val="clear" w:color="auto" w:fill="CCCCCC" w:themeFill="text1" w:themeFillTint="33"/>
          </w:tcPr>
          <w:p w14:paraId="0CFA456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Cold environment, Changed bedding,</w:t>
            </w:r>
          </w:p>
          <w:p w14:paraId="7846530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 xml:space="preserve">Water </w:t>
            </w:r>
            <w:proofErr w:type="spellStart"/>
            <w:r w:rsidRPr="00796C1E">
              <w:rPr>
                <w:rFonts w:ascii="Arial" w:hAnsi="Arial" w:cs="Arial"/>
                <w:szCs w:val="21"/>
              </w:rPr>
              <w:t>deprivati</w:t>
            </w:r>
            <w:proofErr w:type="spellEnd"/>
            <w:r>
              <w:rPr>
                <w:rFonts w:ascii="Arial" w:hAnsi="Arial" w:cs="Arial" w:hint="eastAsia"/>
                <w:szCs w:val="21"/>
              </w:rPr>
              <w:t>-</w:t>
            </w:r>
            <w:r w:rsidRPr="00796C1E">
              <w:rPr>
                <w:rFonts w:ascii="Arial" w:hAnsi="Arial" w:cs="Arial"/>
                <w:szCs w:val="21"/>
              </w:rPr>
              <w:t xml:space="preserve">on </w:t>
            </w:r>
          </w:p>
        </w:tc>
      </w:tr>
      <w:tr w:rsidR="00307747" w:rsidRPr="00796C1E" w14:paraId="4EA508F9" w14:textId="77777777" w:rsidTr="002F1A8F">
        <w:trPr>
          <w:trHeight w:val="2184"/>
        </w:trPr>
        <w:tc>
          <w:tcPr>
            <w:cnfStyle w:val="001000000000" w:firstRow="0" w:lastRow="0" w:firstColumn="1" w:lastColumn="0" w:oddVBand="0" w:evenVBand="0" w:oddHBand="0" w:evenHBand="0" w:firstRowFirstColumn="0" w:firstRowLastColumn="0" w:lastRowFirstColumn="0" w:lastRowLastColumn="0"/>
            <w:tcW w:w="846" w:type="dxa"/>
          </w:tcPr>
          <w:p w14:paraId="71799EC0" w14:textId="77777777" w:rsidR="00307747" w:rsidRPr="00796C1E" w:rsidRDefault="00307747" w:rsidP="002F1A8F">
            <w:pPr>
              <w:jc w:val="center"/>
              <w:rPr>
                <w:rFonts w:ascii="Arial" w:hAnsi="Arial" w:cs="Arial"/>
                <w:b w:val="0"/>
                <w:bCs w:val="0"/>
                <w:color w:val="auto"/>
                <w:szCs w:val="21"/>
              </w:rPr>
            </w:pPr>
            <w:r w:rsidRPr="00796C1E">
              <w:rPr>
                <w:rFonts w:ascii="Arial" w:hAnsi="Arial" w:cs="Arial"/>
                <w:color w:val="auto"/>
                <w:szCs w:val="21"/>
              </w:rPr>
              <w:t>Week2</w:t>
            </w:r>
          </w:p>
        </w:tc>
        <w:tc>
          <w:tcPr>
            <w:tcW w:w="1094" w:type="dxa"/>
          </w:tcPr>
          <w:p w14:paraId="61CC27FB"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Empty bottle, Light off/on</w:t>
            </w:r>
          </w:p>
        </w:tc>
        <w:tc>
          <w:tcPr>
            <w:tcW w:w="1094" w:type="dxa"/>
          </w:tcPr>
          <w:p w14:paraId="7026A85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Restrain</w:t>
            </w:r>
            <w:r>
              <w:rPr>
                <w:rFonts w:ascii="Arial" w:hAnsi="Arial" w:cs="Arial" w:hint="eastAsia"/>
                <w:szCs w:val="21"/>
              </w:rPr>
              <w:t xml:space="preserve">t, </w:t>
            </w:r>
            <w:r w:rsidRPr="00796C1E">
              <w:rPr>
                <w:rFonts w:ascii="Arial" w:hAnsi="Arial" w:cs="Arial"/>
                <w:szCs w:val="21"/>
              </w:rPr>
              <w:t>Food deprivation</w:t>
            </w:r>
          </w:p>
        </w:tc>
        <w:tc>
          <w:tcPr>
            <w:tcW w:w="1094" w:type="dxa"/>
          </w:tcPr>
          <w:p w14:paraId="161406F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Table shaking, Cage tilting/Empty bedding,</w:t>
            </w:r>
          </w:p>
          <w:p w14:paraId="195CF08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 xml:space="preserve">Strobe lighting </w:t>
            </w:r>
          </w:p>
        </w:tc>
        <w:tc>
          <w:tcPr>
            <w:tcW w:w="1094" w:type="dxa"/>
          </w:tcPr>
          <w:p w14:paraId="1D85267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Electrical foot shock,</w:t>
            </w:r>
          </w:p>
          <w:p w14:paraId="18227E6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 xml:space="preserve">Strobe lighting </w:t>
            </w:r>
          </w:p>
        </w:tc>
        <w:tc>
          <w:tcPr>
            <w:tcW w:w="1094" w:type="dxa"/>
          </w:tcPr>
          <w:p w14:paraId="7E56F11A"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Table shaking, Exchange position;</w:t>
            </w:r>
          </w:p>
          <w:p w14:paraId="686C768B"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Litter exchange</w:t>
            </w:r>
          </w:p>
        </w:tc>
        <w:tc>
          <w:tcPr>
            <w:tcW w:w="1094" w:type="dxa"/>
          </w:tcPr>
          <w:p w14:paraId="240C9554"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BWT,</w:t>
            </w:r>
          </w:p>
          <w:p w14:paraId="11C98166"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Cold environment, Restraint,</w:t>
            </w:r>
          </w:p>
          <w:p w14:paraId="7A75DD46"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Water deprivation</w:t>
            </w:r>
          </w:p>
        </w:tc>
        <w:tc>
          <w:tcPr>
            <w:tcW w:w="1095" w:type="dxa"/>
          </w:tcPr>
          <w:p w14:paraId="16B6C19D"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Change bedding,</w:t>
            </w:r>
          </w:p>
          <w:p w14:paraId="7C2E6F2F"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Water,</w:t>
            </w:r>
          </w:p>
          <w:p w14:paraId="1C6C6566"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Electrical foot shock,</w:t>
            </w:r>
          </w:p>
          <w:p w14:paraId="057AAF55"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Empty bottle</w:t>
            </w:r>
          </w:p>
        </w:tc>
      </w:tr>
      <w:tr w:rsidR="00307747" w:rsidRPr="00796C1E" w14:paraId="6A415775" w14:textId="77777777" w:rsidTr="002F1A8F">
        <w:trPr>
          <w:trHeight w:val="2184"/>
        </w:trPr>
        <w:tc>
          <w:tcPr>
            <w:cnfStyle w:val="001000000000" w:firstRow="0" w:lastRow="0" w:firstColumn="1" w:lastColumn="0" w:oddVBand="0" w:evenVBand="0" w:oddHBand="0" w:evenHBand="0" w:firstRowFirstColumn="0" w:firstRowLastColumn="0" w:lastRowFirstColumn="0" w:lastRowLastColumn="0"/>
            <w:tcW w:w="846" w:type="dxa"/>
            <w:shd w:val="clear" w:color="auto" w:fill="CCCCCC" w:themeFill="text1" w:themeFillTint="33"/>
          </w:tcPr>
          <w:p w14:paraId="2C562208" w14:textId="77777777" w:rsidR="00307747" w:rsidRPr="00796C1E" w:rsidRDefault="00307747" w:rsidP="002F1A8F">
            <w:pPr>
              <w:jc w:val="center"/>
              <w:rPr>
                <w:rFonts w:ascii="Arial" w:hAnsi="Arial" w:cs="Arial"/>
                <w:b w:val="0"/>
                <w:bCs w:val="0"/>
                <w:color w:val="auto"/>
                <w:szCs w:val="21"/>
              </w:rPr>
            </w:pPr>
            <w:r w:rsidRPr="00796C1E">
              <w:rPr>
                <w:rFonts w:ascii="Arial" w:hAnsi="Arial" w:cs="Arial"/>
                <w:color w:val="auto"/>
                <w:szCs w:val="21"/>
              </w:rPr>
              <w:t>Week3</w:t>
            </w:r>
          </w:p>
        </w:tc>
        <w:tc>
          <w:tcPr>
            <w:tcW w:w="1094" w:type="dxa"/>
            <w:shd w:val="clear" w:color="auto" w:fill="CCCCCC" w:themeFill="text1" w:themeFillTint="33"/>
          </w:tcPr>
          <w:p w14:paraId="7F64641F"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Light off/on, Cold environment, Table shaking</w:t>
            </w:r>
          </w:p>
        </w:tc>
        <w:tc>
          <w:tcPr>
            <w:tcW w:w="1094" w:type="dxa"/>
            <w:shd w:val="clear" w:color="auto" w:fill="CCCCCC" w:themeFill="text1" w:themeFillTint="33"/>
          </w:tcPr>
          <w:p w14:paraId="4961E396"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Electrical foot shock, Food deprivation, Cage tilting/Empty bedding</w:t>
            </w:r>
          </w:p>
        </w:tc>
        <w:tc>
          <w:tcPr>
            <w:tcW w:w="1094" w:type="dxa"/>
            <w:shd w:val="clear" w:color="auto" w:fill="CCCCCC" w:themeFill="text1" w:themeFillTint="33"/>
          </w:tcPr>
          <w:p w14:paraId="4B64C1BD"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Table shaking, Restraint,</w:t>
            </w:r>
          </w:p>
          <w:p w14:paraId="73695E1A"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Strobe lighting</w:t>
            </w:r>
          </w:p>
        </w:tc>
        <w:tc>
          <w:tcPr>
            <w:tcW w:w="1094" w:type="dxa"/>
            <w:shd w:val="clear" w:color="auto" w:fill="CCCCCC" w:themeFill="text1" w:themeFillTint="33"/>
          </w:tcPr>
          <w:p w14:paraId="2C4C019C"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Electrical foot shock, Wet bedding</w:t>
            </w:r>
          </w:p>
        </w:tc>
        <w:tc>
          <w:tcPr>
            <w:tcW w:w="1094" w:type="dxa"/>
            <w:shd w:val="clear" w:color="auto" w:fill="CCCCCC" w:themeFill="text1" w:themeFillTint="33"/>
          </w:tcPr>
          <w:p w14:paraId="7AE68261"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Food deprivation</w:t>
            </w:r>
          </w:p>
        </w:tc>
        <w:tc>
          <w:tcPr>
            <w:tcW w:w="1094" w:type="dxa"/>
            <w:shd w:val="clear" w:color="auto" w:fill="CCCCCC" w:themeFill="text1" w:themeFillTint="33"/>
          </w:tcPr>
          <w:p w14:paraId="7824B2BA"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BWT,</w:t>
            </w:r>
          </w:p>
          <w:p w14:paraId="32E9949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Empty bottle, Cold environment, Light on</w:t>
            </w:r>
          </w:p>
        </w:tc>
        <w:tc>
          <w:tcPr>
            <w:tcW w:w="1095" w:type="dxa"/>
            <w:shd w:val="clear" w:color="auto" w:fill="CCCCCC" w:themeFill="text1" w:themeFillTint="33"/>
          </w:tcPr>
          <w:p w14:paraId="45F5300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Electrical foot shock, Cage tilting/Empty bedding</w:t>
            </w:r>
          </w:p>
        </w:tc>
      </w:tr>
      <w:tr w:rsidR="00307747" w:rsidRPr="00796C1E" w14:paraId="6CDEE027" w14:textId="77777777" w:rsidTr="002F1A8F">
        <w:trPr>
          <w:trHeight w:val="2184"/>
        </w:trPr>
        <w:tc>
          <w:tcPr>
            <w:cnfStyle w:val="001000000000" w:firstRow="0" w:lastRow="0" w:firstColumn="1" w:lastColumn="0" w:oddVBand="0" w:evenVBand="0" w:oddHBand="0" w:evenHBand="0" w:firstRowFirstColumn="0" w:firstRowLastColumn="0" w:lastRowFirstColumn="0" w:lastRowLastColumn="0"/>
            <w:tcW w:w="846" w:type="dxa"/>
          </w:tcPr>
          <w:p w14:paraId="67C5238E" w14:textId="77777777" w:rsidR="00307747" w:rsidRPr="00796C1E" w:rsidRDefault="00307747" w:rsidP="002F1A8F">
            <w:pPr>
              <w:jc w:val="center"/>
              <w:rPr>
                <w:rFonts w:ascii="Arial" w:hAnsi="Arial" w:cs="Arial"/>
                <w:b w:val="0"/>
                <w:bCs w:val="0"/>
                <w:color w:val="auto"/>
                <w:szCs w:val="21"/>
              </w:rPr>
            </w:pPr>
            <w:r w:rsidRPr="00796C1E">
              <w:rPr>
                <w:rFonts w:ascii="Arial" w:hAnsi="Arial" w:cs="Arial"/>
                <w:color w:val="auto"/>
                <w:szCs w:val="21"/>
              </w:rPr>
              <w:t>Week4</w:t>
            </w:r>
          </w:p>
        </w:tc>
        <w:tc>
          <w:tcPr>
            <w:tcW w:w="1094" w:type="dxa"/>
          </w:tcPr>
          <w:p w14:paraId="10F1E8B0"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Cold environment, Table shaking,</w:t>
            </w:r>
          </w:p>
          <w:p w14:paraId="2B786335"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Light off/on</w:t>
            </w:r>
          </w:p>
        </w:tc>
        <w:tc>
          <w:tcPr>
            <w:tcW w:w="1094" w:type="dxa"/>
          </w:tcPr>
          <w:p w14:paraId="4482B5BB"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Electrical foot shock, Food deprivation, Cage tilting/Empty bedding</w:t>
            </w:r>
          </w:p>
        </w:tc>
        <w:tc>
          <w:tcPr>
            <w:tcW w:w="1094" w:type="dxa"/>
          </w:tcPr>
          <w:p w14:paraId="658299BA"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Table shaking, Restraint,</w:t>
            </w:r>
            <w:r>
              <w:rPr>
                <w:rFonts w:ascii="Arial" w:hAnsi="Arial" w:cs="Arial" w:hint="eastAsia"/>
                <w:szCs w:val="21"/>
              </w:rPr>
              <w:t xml:space="preserve"> </w:t>
            </w:r>
            <w:r w:rsidRPr="00796C1E">
              <w:rPr>
                <w:rFonts w:ascii="Arial" w:hAnsi="Arial" w:cs="Arial"/>
                <w:szCs w:val="21"/>
              </w:rPr>
              <w:t>Strobe lighting</w:t>
            </w:r>
          </w:p>
        </w:tc>
        <w:tc>
          <w:tcPr>
            <w:tcW w:w="1094" w:type="dxa"/>
          </w:tcPr>
          <w:p w14:paraId="5E5069C2"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Electrical foot shock, Wet bedding</w:t>
            </w:r>
          </w:p>
        </w:tc>
        <w:tc>
          <w:tcPr>
            <w:tcW w:w="1094" w:type="dxa"/>
          </w:tcPr>
          <w:p w14:paraId="4DF6149D"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Water deprivation</w:t>
            </w:r>
          </w:p>
        </w:tc>
        <w:tc>
          <w:tcPr>
            <w:tcW w:w="1094" w:type="dxa"/>
          </w:tcPr>
          <w:p w14:paraId="74819C68"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Empty bottle, Cold environment, Light on</w:t>
            </w:r>
          </w:p>
        </w:tc>
        <w:tc>
          <w:tcPr>
            <w:tcW w:w="1095" w:type="dxa"/>
          </w:tcPr>
          <w:p w14:paraId="2B5A25AA"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BWT,</w:t>
            </w:r>
          </w:p>
          <w:p w14:paraId="3C63A32E"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SPT,</w:t>
            </w:r>
          </w:p>
          <w:p w14:paraId="5577ECEF"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szCs w:val="21"/>
              </w:rPr>
            </w:pPr>
            <w:r w:rsidRPr="00796C1E">
              <w:rPr>
                <w:rFonts w:ascii="Arial" w:hAnsi="Arial" w:cs="Arial"/>
                <w:szCs w:val="21"/>
              </w:rPr>
              <w:t>TST,</w:t>
            </w:r>
          </w:p>
          <w:p w14:paraId="74C962C4" w14:textId="77777777" w:rsidR="00307747" w:rsidRPr="00796C1E" w:rsidRDefault="00307747" w:rsidP="002F1A8F">
            <w:pPr>
              <w:cnfStyle w:val="000000000000" w:firstRow="0" w:lastRow="0" w:firstColumn="0" w:lastColumn="0" w:oddVBand="0" w:evenVBand="0" w:oddHBand="0" w:evenHBand="0" w:firstRowFirstColumn="0" w:firstRowLastColumn="0" w:lastRowFirstColumn="0" w:lastRowLastColumn="0"/>
              <w:rPr>
                <w:rFonts w:ascii="Arial" w:hAnsi="Arial" w:cs="Arial"/>
                <w:color w:val="auto"/>
                <w:szCs w:val="21"/>
              </w:rPr>
            </w:pPr>
            <w:r w:rsidRPr="00796C1E">
              <w:rPr>
                <w:rFonts w:ascii="Arial" w:hAnsi="Arial" w:cs="Arial"/>
                <w:szCs w:val="21"/>
              </w:rPr>
              <w:t>FST</w:t>
            </w:r>
          </w:p>
        </w:tc>
      </w:tr>
    </w:tbl>
    <w:p w14:paraId="3D4A2830" w14:textId="77777777" w:rsidR="00307747" w:rsidRDefault="00307747" w:rsidP="00307747">
      <w:pPr>
        <w:rPr>
          <w:rFonts w:ascii="Arial" w:eastAsia="楷体" w:hAnsi="Arial" w:cs="Arial"/>
          <w:kern w:val="0"/>
          <w:sz w:val="24"/>
          <w:szCs w:val="24"/>
        </w:rPr>
      </w:pPr>
    </w:p>
    <w:p w14:paraId="0B3F000E" w14:textId="77777777" w:rsidR="00307747" w:rsidRDefault="00307747" w:rsidP="00307747">
      <w:pPr>
        <w:rPr>
          <w:rFonts w:ascii="Arial" w:eastAsia="楷体" w:hAnsi="Arial" w:cs="Arial"/>
          <w:kern w:val="0"/>
          <w:sz w:val="24"/>
          <w:szCs w:val="24"/>
        </w:rPr>
      </w:pPr>
    </w:p>
    <w:p w14:paraId="786CCB8D" w14:textId="77777777" w:rsidR="00307747" w:rsidRDefault="00307747" w:rsidP="00307747">
      <w:pPr>
        <w:rPr>
          <w:rFonts w:ascii="Arial" w:eastAsia="楷体" w:hAnsi="Arial" w:cs="Arial"/>
          <w:kern w:val="0"/>
          <w:sz w:val="24"/>
          <w:szCs w:val="24"/>
        </w:rPr>
      </w:pPr>
    </w:p>
    <w:p w14:paraId="7214898C" w14:textId="77777777" w:rsidR="00307747" w:rsidRPr="00796C1E" w:rsidRDefault="00307747" w:rsidP="00307747">
      <w:pPr>
        <w:rPr>
          <w:rFonts w:ascii="Arial" w:eastAsia="楷体" w:hAnsi="Arial" w:cs="Arial"/>
          <w:kern w:val="0"/>
          <w:sz w:val="24"/>
          <w:szCs w:val="24"/>
        </w:rPr>
      </w:pPr>
    </w:p>
    <w:p w14:paraId="3207A959" w14:textId="77777777" w:rsidR="00307747" w:rsidRPr="00EA3C26" w:rsidRDefault="00307747" w:rsidP="00307747">
      <w:pPr>
        <w:rPr>
          <w:rStyle w:val="fontstyle21"/>
          <w:rFonts w:ascii="Arial" w:hAnsi="Arial" w:cs="Arial"/>
          <w:b/>
          <w:bCs/>
          <w:sz w:val="24"/>
          <w:szCs w:val="24"/>
        </w:rPr>
      </w:pPr>
      <w:r w:rsidRPr="00EA3C26">
        <w:rPr>
          <w:rFonts w:ascii="Arial" w:hAnsi="Arial" w:cs="Arial"/>
          <w:b/>
          <w:sz w:val="24"/>
          <w:szCs w:val="24"/>
        </w:rPr>
        <w:t xml:space="preserve">Supplementary Table 2. </w:t>
      </w:r>
      <w:r w:rsidRPr="00EA3C26">
        <w:rPr>
          <w:rStyle w:val="fontstyle21"/>
          <w:rFonts w:ascii="Arial" w:hAnsi="Arial" w:cs="Arial"/>
          <w:sz w:val="24"/>
          <w:szCs w:val="24"/>
        </w:rPr>
        <w:t xml:space="preserve">Primer sequences for the </w:t>
      </w:r>
      <w:r w:rsidRPr="00EA3C26">
        <w:rPr>
          <w:rFonts w:ascii="Arial" w:hAnsi="Arial" w:cs="Arial"/>
          <w:sz w:val="24"/>
          <w:szCs w:val="24"/>
          <w:lang w:val="en-GB"/>
        </w:rPr>
        <w:t>quantitative</w:t>
      </w:r>
      <w:r w:rsidRPr="00EA3C26">
        <w:rPr>
          <w:rFonts w:ascii="Arial" w:hAnsi="Arial" w:cs="Arial"/>
          <w:b/>
          <w:sz w:val="24"/>
          <w:szCs w:val="24"/>
          <w:lang w:val="en-GB"/>
        </w:rPr>
        <w:t xml:space="preserve"> </w:t>
      </w:r>
      <w:r w:rsidRPr="00EA3C26">
        <w:rPr>
          <w:rStyle w:val="fontstyle21"/>
          <w:rFonts w:ascii="Arial" w:hAnsi="Arial" w:cs="Arial"/>
          <w:sz w:val="24"/>
          <w:szCs w:val="24"/>
        </w:rPr>
        <w:t>real-time PCR assays</w:t>
      </w:r>
    </w:p>
    <w:tbl>
      <w:tblPr>
        <w:tblStyle w:val="a8"/>
        <w:tblW w:w="0" w:type="auto"/>
        <w:tblInd w:w="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2955"/>
        <w:gridCol w:w="3282"/>
        <w:gridCol w:w="793"/>
      </w:tblGrid>
      <w:tr w:rsidR="00307747" w:rsidRPr="00EA3C26" w14:paraId="728C9A45" w14:textId="77777777" w:rsidTr="002F1A8F">
        <w:tc>
          <w:tcPr>
            <w:tcW w:w="1276" w:type="dxa"/>
            <w:tcBorders>
              <w:top w:val="single" w:sz="4" w:space="0" w:color="auto"/>
              <w:left w:val="nil"/>
              <w:bottom w:val="single" w:sz="4" w:space="0" w:color="auto"/>
              <w:right w:val="nil"/>
            </w:tcBorders>
            <w:hideMark/>
          </w:tcPr>
          <w:p w14:paraId="6AF889EE" w14:textId="77777777" w:rsidR="00307747" w:rsidRPr="00EA3C26" w:rsidRDefault="00307747" w:rsidP="002F1A8F">
            <w:pPr>
              <w:rPr>
                <w:rFonts w:ascii="Arial" w:eastAsia="宋体" w:hAnsi="Arial" w:cs="Arial"/>
                <w:sz w:val="24"/>
                <w:szCs w:val="24"/>
              </w:rPr>
            </w:pPr>
            <w:r w:rsidRPr="00EA3C26">
              <w:rPr>
                <w:rFonts w:ascii="Arial" w:hAnsi="Arial" w:cs="Arial"/>
                <w:b/>
                <w:sz w:val="24"/>
                <w:szCs w:val="24"/>
              </w:rPr>
              <w:t>Gene</w:t>
            </w:r>
          </w:p>
        </w:tc>
        <w:tc>
          <w:tcPr>
            <w:tcW w:w="2955" w:type="dxa"/>
            <w:tcBorders>
              <w:top w:val="single" w:sz="4" w:space="0" w:color="auto"/>
              <w:left w:val="nil"/>
              <w:bottom w:val="single" w:sz="4" w:space="0" w:color="auto"/>
              <w:right w:val="nil"/>
            </w:tcBorders>
            <w:hideMark/>
          </w:tcPr>
          <w:p w14:paraId="5BD05E0E" w14:textId="77777777" w:rsidR="00307747" w:rsidRPr="00EA3C26" w:rsidRDefault="00307747" w:rsidP="002F1A8F">
            <w:pPr>
              <w:rPr>
                <w:rFonts w:ascii="Arial" w:eastAsia="宋体" w:hAnsi="Arial" w:cs="Arial"/>
                <w:b/>
                <w:sz w:val="24"/>
                <w:szCs w:val="24"/>
              </w:rPr>
            </w:pPr>
            <w:r w:rsidRPr="00EA3C26">
              <w:rPr>
                <w:rFonts w:ascii="Arial" w:hAnsi="Arial" w:cs="Arial"/>
                <w:b/>
                <w:sz w:val="24"/>
                <w:szCs w:val="24"/>
              </w:rPr>
              <w:t>Forward primers</w:t>
            </w:r>
          </w:p>
        </w:tc>
        <w:tc>
          <w:tcPr>
            <w:tcW w:w="3282" w:type="dxa"/>
            <w:tcBorders>
              <w:top w:val="single" w:sz="4" w:space="0" w:color="auto"/>
              <w:left w:val="nil"/>
              <w:bottom w:val="single" w:sz="4" w:space="0" w:color="auto"/>
              <w:right w:val="nil"/>
            </w:tcBorders>
            <w:hideMark/>
          </w:tcPr>
          <w:p w14:paraId="63B51CD2" w14:textId="77777777" w:rsidR="00307747" w:rsidRPr="00EA3C26" w:rsidRDefault="00307747" w:rsidP="002F1A8F">
            <w:pPr>
              <w:rPr>
                <w:rFonts w:ascii="Arial" w:eastAsia="宋体" w:hAnsi="Arial" w:cs="Arial"/>
                <w:b/>
                <w:sz w:val="24"/>
                <w:szCs w:val="24"/>
              </w:rPr>
            </w:pPr>
            <w:r w:rsidRPr="00EA3C26">
              <w:rPr>
                <w:rFonts w:ascii="Arial" w:hAnsi="Arial" w:cs="Arial"/>
                <w:b/>
                <w:sz w:val="24"/>
                <w:szCs w:val="24"/>
              </w:rPr>
              <w:t>Reverse primers</w:t>
            </w:r>
          </w:p>
        </w:tc>
        <w:tc>
          <w:tcPr>
            <w:tcW w:w="793" w:type="dxa"/>
            <w:tcBorders>
              <w:top w:val="single" w:sz="4" w:space="0" w:color="auto"/>
              <w:left w:val="nil"/>
              <w:bottom w:val="single" w:sz="4" w:space="0" w:color="auto"/>
              <w:right w:val="nil"/>
            </w:tcBorders>
            <w:hideMark/>
          </w:tcPr>
          <w:p w14:paraId="361F870C" w14:textId="77777777" w:rsidR="00307747" w:rsidRPr="00EA3C26" w:rsidRDefault="00307747" w:rsidP="002F1A8F">
            <w:pPr>
              <w:rPr>
                <w:rFonts w:ascii="Arial" w:eastAsiaTheme="minorEastAsia" w:hAnsi="Arial" w:cs="Arial"/>
                <w:b/>
                <w:sz w:val="24"/>
                <w:szCs w:val="24"/>
              </w:rPr>
            </w:pPr>
            <w:r w:rsidRPr="00EA3C26">
              <w:rPr>
                <w:rFonts w:ascii="Arial" w:hAnsi="Arial" w:cs="Arial"/>
                <w:b/>
                <w:sz w:val="24"/>
                <w:szCs w:val="24"/>
              </w:rPr>
              <w:t>Length</w:t>
            </w:r>
          </w:p>
        </w:tc>
      </w:tr>
      <w:tr w:rsidR="00307747" w:rsidRPr="00EA3C26" w14:paraId="152B7BED" w14:textId="77777777" w:rsidTr="002F1A8F">
        <w:trPr>
          <w:trHeight w:val="483"/>
        </w:trPr>
        <w:tc>
          <w:tcPr>
            <w:tcW w:w="1276" w:type="dxa"/>
            <w:tcBorders>
              <w:top w:val="single" w:sz="4" w:space="0" w:color="auto"/>
              <w:left w:val="nil"/>
              <w:bottom w:val="nil"/>
              <w:right w:val="nil"/>
            </w:tcBorders>
            <w:hideMark/>
          </w:tcPr>
          <w:p w14:paraId="17072AC7" w14:textId="77777777" w:rsidR="00307747" w:rsidRPr="00EA3C26" w:rsidRDefault="00307747" w:rsidP="002F1A8F">
            <w:pPr>
              <w:pStyle w:val="HTML"/>
              <w:jc w:val="both"/>
              <w:rPr>
                <w:rFonts w:ascii="Arial" w:hAnsi="Arial" w:cs="Arial"/>
                <w:szCs w:val="24"/>
              </w:rPr>
            </w:pPr>
            <w:r w:rsidRPr="00EA3C26">
              <w:rPr>
                <w:rFonts w:ascii="Arial" w:hAnsi="Arial" w:cs="Arial"/>
                <w:szCs w:val="24"/>
              </w:rPr>
              <w:t>β-Actin</w:t>
            </w:r>
          </w:p>
        </w:tc>
        <w:tc>
          <w:tcPr>
            <w:tcW w:w="2955" w:type="dxa"/>
            <w:tcBorders>
              <w:top w:val="single" w:sz="4" w:space="0" w:color="auto"/>
              <w:left w:val="nil"/>
              <w:bottom w:val="nil"/>
              <w:right w:val="nil"/>
            </w:tcBorders>
            <w:hideMark/>
          </w:tcPr>
          <w:p w14:paraId="0900C261" w14:textId="77777777" w:rsidR="00307747" w:rsidRPr="00EA3C26" w:rsidRDefault="00307747" w:rsidP="002F1A8F">
            <w:pPr>
              <w:tabs>
                <w:tab w:val="left" w:pos="916"/>
                <w:tab w:val="left" w:pos="1832"/>
                <w:tab w:val="left" w:pos="2748"/>
                <w:tab w:val="left" w:pos="2835"/>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A3C26">
              <w:rPr>
                <w:rFonts w:ascii="Arial" w:hAnsi="Arial" w:cs="Arial"/>
                <w:sz w:val="24"/>
                <w:szCs w:val="24"/>
              </w:rPr>
              <w:t>ACGGTCAGGTCATCACTATCG</w:t>
            </w:r>
          </w:p>
        </w:tc>
        <w:tc>
          <w:tcPr>
            <w:tcW w:w="3282" w:type="dxa"/>
            <w:tcBorders>
              <w:top w:val="single" w:sz="4" w:space="0" w:color="auto"/>
              <w:left w:val="nil"/>
              <w:bottom w:val="nil"/>
              <w:right w:val="nil"/>
            </w:tcBorders>
            <w:hideMark/>
          </w:tcPr>
          <w:p w14:paraId="7D2DAB8C" w14:textId="77777777" w:rsidR="00307747" w:rsidRPr="00EA3C26" w:rsidRDefault="00307747" w:rsidP="002F1A8F">
            <w:pPr>
              <w:tabs>
                <w:tab w:val="left" w:pos="916"/>
                <w:tab w:val="left" w:pos="1832"/>
                <w:tab w:val="left" w:pos="2748"/>
                <w:tab w:val="left" w:pos="2835"/>
                <w:tab w:val="left" w:pos="311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rPr>
            </w:pPr>
            <w:r w:rsidRPr="00EA3C26">
              <w:rPr>
                <w:rFonts w:ascii="Arial" w:hAnsi="Arial" w:cs="Arial"/>
                <w:sz w:val="24"/>
                <w:szCs w:val="24"/>
                <w:shd w:val="clear" w:color="auto" w:fill="FFFFFF"/>
              </w:rPr>
              <w:t>GGCATAGAGGTCTTTACGGATG</w:t>
            </w:r>
          </w:p>
        </w:tc>
        <w:tc>
          <w:tcPr>
            <w:tcW w:w="793" w:type="dxa"/>
            <w:tcBorders>
              <w:top w:val="single" w:sz="4" w:space="0" w:color="auto"/>
              <w:left w:val="nil"/>
              <w:bottom w:val="nil"/>
              <w:right w:val="nil"/>
            </w:tcBorders>
            <w:hideMark/>
          </w:tcPr>
          <w:p w14:paraId="5C1B0F6C" w14:textId="77777777" w:rsidR="00307747" w:rsidRPr="00EA3C26" w:rsidRDefault="00307747" w:rsidP="002F1A8F">
            <w:pPr>
              <w:pStyle w:val="HTML"/>
              <w:jc w:val="both"/>
              <w:rPr>
                <w:rFonts w:ascii="Arial" w:hAnsi="Arial" w:cs="Arial"/>
                <w:szCs w:val="24"/>
                <w:shd w:val="clear" w:color="auto" w:fill="FFFFFF"/>
              </w:rPr>
            </w:pPr>
            <w:r w:rsidRPr="00EA3C26">
              <w:rPr>
                <w:rFonts w:ascii="Arial" w:hAnsi="Arial" w:cs="Arial"/>
                <w:szCs w:val="24"/>
                <w:shd w:val="clear" w:color="auto" w:fill="FFFFFF"/>
              </w:rPr>
              <w:t>155</w:t>
            </w:r>
          </w:p>
        </w:tc>
      </w:tr>
      <w:tr w:rsidR="00307747" w:rsidRPr="00EA3C26" w14:paraId="7CD940C7" w14:textId="77777777" w:rsidTr="002F1A8F">
        <w:trPr>
          <w:trHeight w:val="483"/>
        </w:trPr>
        <w:tc>
          <w:tcPr>
            <w:tcW w:w="1276" w:type="dxa"/>
            <w:tcBorders>
              <w:top w:val="nil"/>
              <w:left w:val="nil"/>
              <w:bottom w:val="nil"/>
              <w:right w:val="nil"/>
            </w:tcBorders>
            <w:hideMark/>
          </w:tcPr>
          <w:p w14:paraId="403DF6D5" w14:textId="77777777" w:rsidR="00307747" w:rsidRPr="00EA3C26" w:rsidRDefault="00307747" w:rsidP="002F1A8F">
            <w:pPr>
              <w:pStyle w:val="HTML"/>
              <w:jc w:val="both"/>
              <w:rPr>
                <w:rFonts w:ascii="Arial" w:hAnsi="Arial" w:cs="Arial"/>
                <w:szCs w:val="24"/>
              </w:rPr>
            </w:pPr>
            <w:r w:rsidRPr="00EA3C26">
              <w:rPr>
                <w:rFonts w:ascii="Arial" w:hAnsi="Arial" w:cs="Arial"/>
                <w:szCs w:val="24"/>
              </w:rPr>
              <w:t>Adiponectin</w:t>
            </w:r>
          </w:p>
        </w:tc>
        <w:tc>
          <w:tcPr>
            <w:tcW w:w="2955" w:type="dxa"/>
            <w:tcBorders>
              <w:top w:val="nil"/>
              <w:left w:val="nil"/>
              <w:bottom w:val="nil"/>
              <w:right w:val="nil"/>
            </w:tcBorders>
            <w:hideMark/>
          </w:tcPr>
          <w:p w14:paraId="24332B03" w14:textId="77777777" w:rsidR="00307747" w:rsidRPr="00EA3C26" w:rsidRDefault="00307747" w:rsidP="002F1A8F">
            <w:pPr>
              <w:pStyle w:val="HTML"/>
              <w:jc w:val="both"/>
              <w:rPr>
                <w:rFonts w:ascii="Arial" w:hAnsi="Arial" w:cs="Arial"/>
                <w:szCs w:val="24"/>
              </w:rPr>
            </w:pPr>
            <w:r w:rsidRPr="00EA3C26">
              <w:rPr>
                <w:rFonts w:ascii="Arial" w:hAnsi="Arial" w:cs="Arial"/>
                <w:szCs w:val="24"/>
              </w:rPr>
              <w:t>CGACACCAAAAGGGCTCAGG</w:t>
            </w:r>
          </w:p>
        </w:tc>
        <w:tc>
          <w:tcPr>
            <w:tcW w:w="3282" w:type="dxa"/>
            <w:tcBorders>
              <w:top w:val="nil"/>
              <w:left w:val="nil"/>
              <w:bottom w:val="nil"/>
              <w:right w:val="nil"/>
            </w:tcBorders>
            <w:hideMark/>
          </w:tcPr>
          <w:p w14:paraId="5A05DF90" w14:textId="77777777" w:rsidR="00307747" w:rsidRPr="00EA3C26" w:rsidRDefault="00307747" w:rsidP="002F1A8F">
            <w:pPr>
              <w:pStyle w:val="HTML"/>
              <w:jc w:val="both"/>
              <w:rPr>
                <w:rFonts w:ascii="Arial" w:hAnsi="Arial" w:cs="Arial"/>
                <w:szCs w:val="24"/>
              </w:rPr>
            </w:pPr>
            <w:r w:rsidRPr="00EA3C26">
              <w:rPr>
                <w:rFonts w:ascii="Arial" w:hAnsi="Arial" w:cs="Arial"/>
                <w:szCs w:val="24"/>
              </w:rPr>
              <w:t>ACGTCATCTTCGGCATGACT</w:t>
            </w:r>
          </w:p>
        </w:tc>
        <w:tc>
          <w:tcPr>
            <w:tcW w:w="793" w:type="dxa"/>
            <w:tcBorders>
              <w:top w:val="nil"/>
              <w:left w:val="nil"/>
              <w:bottom w:val="nil"/>
              <w:right w:val="nil"/>
            </w:tcBorders>
            <w:hideMark/>
          </w:tcPr>
          <w:p w14:paraId="2E5E9079" w14:textId="77777777" w:rsidR="00307747" w:rsidRPr="00EA3C26" w:rsidRDefault="00307747" w:rsidP="002F1A8F">
            <w:pPr>
              <w:pStyle w:val="HTML"/>
              <w:jc w:val="both"/>
              <w:rPr>
                <w:rFonts w:ascii="Arial" w:hAnsi="Arial" w:cs="Arial"/>
                <w:szCs w:val="24"/>
              </w:rPr>
            </w:pPr>
            <w:r w:rsidRPr="00EA3C26">
              <w:rPr>
                <w:rFonts w:ascii="Arial" w:hAnsi="Arial" w:cs="Arial"/>
                <w:szCs w:val="24"/>
              </w:rPr>
              <w:t>82</w:t>
            </w:r>
          </w:p>
        </w:tc>
      </w:tr>
      <w:tr w:rsidR="00307747" w:rsidRPr="00EA3C26" w14:paraId="476CE435" w14:textId="77777777" w:rsidTr="002F1A8F">
        <w:trPr>
          <w:trHeight w:val="483"/>
        </w:trPr>
        <w:tc>
          <w:tcPr>
            <w:tcW w:w="1276" w:type="dxa"/>
            <w:tcBorders>
              <w:top w:val="nil"/>
              <w:left w:val="nil"/>
              <w:bottom w:val="nil"/>
              <w:right w:val="nil"/>
            </w:tcBorders>
            <w:hideMark/>
          </w:tcPr>
          <w:p w14:paraId="359715CB" w14:textId="77777777" w:rsidR="00307747" w:rsidRPr="00EA3C26" w:rsidRDefault="00307747" w:rsidP="002F1A8F">
            <w:pPr>
              <w:pStyle w:val="HTML"/>
              <w:jc w:val="both"/>
              <w:rPr>
                <w:rFonts w:ascii="Arial" w:hAnsi="Arial" w:cs="Arial"/>
                <w:szCs w:val="24"/>
              </w:rPr>
            </w:pPr>
            <w:r w:rsidRPr="00EA3C26">
              <w:rPr>
                <w:rFonts w:ascii="Arial" w:hAnsi="Arial" w:cs="Arial"/>
                <w:szCs w:val="24"/>
              </w:rPr>
              <w:t>AdipoR1</w:t>
            </w:r>
          </w:p>
        </w:tc>
        <w:tc>
          <w:tcPr>
            <w:tcW w:w="2955" w:type="dxa"/>
            <w:tcBorders>
              <w:top w:val="nil"/>
              <w:left w:val="nil"/>
              <w:bottom w:val="nil"/>
              <w:right w:val="nil"/>
            </w:tcBorders>
            <w:hideMark/>
          </w:tcPr>
          <w:p w14:paraId="002BDE33" w14:textId="77777777" w:rsidR="00307747" w:rsidRPr="00EA3C26" w:rsidRDefault="00307747" w:rsidP="002F1A8F">
            <w:pPr>
              <w:pStyle w:val="HTML"/>
              <w:jc w:val="both"/>
              <w:rPr>
                <w:rFonts w:ascii="Arial" w:hAnsi="Arial" w:cs="Arial"/>
                <w:szCs w:val="24"/>
              </w:rPr>
            </w:pPr>
            <w:r w:rsidRPr="00EA3C26">
              <w:rPr>
                <w:rFonts w:ascii="Arial" w:hAnsi="Arial" w:cs="Arial"/>
                <w:szCs w:val="24"/>
              </w:rPr>
              <w:t>CCTGGCTCTATTACTCCTTC</w:t>
            </w:r>
          </w:p>
        </w:tc>
        <w:tc>
          <w:tcPr>
            <w:tcW w:w="3282" w:type="dxa"/>
            <w:tcBorders>
              <w:top w:val="nil"/>
              <w:left w:val="nil"/>
              <w:bottom w:val="nil"/>
              <w:right w:val="nil"/>
            </w:tcBorders>
            <w:hideMark/>
          </w:tcPr>
          <w:p w14:paraId="2DF7E8A6" w14:textId="77777777" w:rsidR="00307747" w:rsidRPr="00EA3C26" w:rsidRDefault="00307747" w:rsidP="002F1A8F">
            <w:pPr>
              <w:pStyle w:val="HTML"/>
              <w:jc w:val="both"/>
              <w:rPr>
                <w:rFonts w:ascii="Arial" w:hAnsi="Arial" w:cs="Arial"/>
                <w:szCs w:val="24"/>
              </w:rPr>
            </w:pPr>
            <w:r w:rsidRPr="00EA3C26">
              <w:rPr>
                <w:rFonts w:ascii="Arial" w:hAnsi="Arial" w:cs="Arial"/>
                <w:szCs w:val="24"/>
              </w:rPr>
              <w:t>GAACACTCCTGCTCTTGTCT</w:t>
            </w:r>
          </w:p>
        </w:tc>
        <w:tc>
          <w:tcPr>
            <w:tcW w:w="793" w:type="dxa"/>
            <w:tcBorders>
              <w:top w:val="nil"/>
              <w:left w:val="nil"/>
              <w:bottom w:val="nil"/>
              <w:right w:val="nil"/>
            </w:tcBorders>
            <w:hideMark/>
          </w:tcPr>
          <w:p w14:paraId="1AA502E6" w14:textId="77777777" w:rsidR="00307747" w:rsidRPr="00EA3C26" w:rsidRDefault="00307747" w:rsidP="002F1A8F">
            <w:pPr>
              <w:pStyle w:val="HTML"/>
              <w:jc w:val="both"/>
              <w:rPr>
                <w:rFonts w:ascii="Arial" w:hAnsi="Arial" w:cs="Arial"/>
                <w:szCs w:val="24"/>
              </w:rPr>
            </w:pPr>
            <w:r w:rsidRPr="00EA3C26">
              <w:rPr>
                <w:rFonts w:ascii="Arial" w:hAnsi="Arial" w:cs="Arial"/>
                <w:szCs w:val="24"/>
              </w:rPr>
              <w:t>149</w:t>
            </w:r>
          </w:p>
        </w:tc>
      </w:tr>
      <w:tr w:rsidR="00307747" w:rsidRPr="00EA3C26" w14:paraId="0C68FD72" w14:textId="77777777" w:rsidTr="002F1A8F">
        <w:trPr>
          <w:trHeight w:val="483"/>
        </w:trPr>
        <w:tc>
          <w:tcPr>
            <w:tcW w:w="1276" w:type="dxa"/>
            <w:tcBorders>
              <w:top w:val="nil"/>
              <w:left w:val="nil"/>
              <w:bottom w:val="single" w:sz="4" w:space="0" w:color="auto"/>
              <w:right w:val="nil"/>
            </w:tcBorders>
            <w:hideMark/>
          </w:tcPr>
          <w:p w14:paraId="377B9700" w14:textId="77777777" w:rsidR="00307747" w:rsidRPr="00EA3C26" w:rsidRDefault="00307747" w:rsidP="002F1A8F">
            <w:pPr>
              <w:pStyle w:val="HTML"/>
              <w:jc w:val="both"/>
              <w:rPr>
                <w:rFonts w:ascii="Arial" w:hAnsi="Arial" w:cs="Arial"/>
                <w:szCs w:val="24"/>
              </w:rPr>
            </w:pPr>
            <w:r w:rsidRPr="00EA3C26">
              <w:rPr>
                <w:rFonts w:ascii="Arial" w:hAnsi="Arial" w:cs="Arial"/>
                <w:szCs w:val="24"/>
              </w:rPr>
              <w:t>AdipoR2</w:t>
            </w:r>
          </w:p>
        </w:tc>
        <w:tc>
          <w:tcPr>
            <w:tcW w:w="2955" w:type="dxa"/>
            <w:tcBorders>
              <w:top w:val="nil"/>
              <w:left w:val="nil"/>
              <w:bottom w:val="single" w:sz="4" w:space="0" w:color="auto"/>
              <w:right w:val="nil"/>
            </w:tcBorders>
            <w:hideMark/>
          </w:tcPr>
          <w:p w14:paraId="1B5CBB5C" w14:textId="77777777" w:rsidR="00307747" w:rsidRPr="00EA3C26" w:rsidRDefault="00307747" w:rsidP="002F1A8F">
            <w:pPr>
              <w:pStyle w:val="HTML"/>
              <w:jc w:val="both"/>
              <w:rPr>
                <w:rFonts w:ascii="Arial" w:hAnsi="Arial" w:cs="Arial"/>
                <w:szCs w:val="24"/>
              </w:rPr>
            </w:pPr>
            <w:r w:rsidRPr="00EA3C26">
              <w:rPr>
                <w:rFonts w:ascii="Arial" w:hAnsi="Arial" w:cs="Arial"/>
                <w:szCs w:val="24"/>
              </w:rPr>
              <w:t>AGCCTCTATATCACCGGAGC</w:t>
            </w:r>
          </w:p>
        </w:tc>
        <w:tc>
          <w:tcPr>
            <w:tcW w:w="3282" w:type="dxa"/>
            <w:tcBorders>
              <w:top w:val="nil"/>
              <w:left w:val="nil"/>
              <w:bottom w:val="single" w:sz="4" w:space="0" w:color="auto"/>
              <w:right w:val="nil"/>
            </w:tcBorders>
            <w:hideMark/>
          </w:tcPr>
          <w:p w14:paraId="4F8C8286" w14:textId="77777777" w:rsidR="00307747" w:rsidRPr="00EA3C26" w:rsidRDefault="00307747" w:rsidP="002F1A8F">
            <w:pPr>
              <w:pStyle w:val="HTML"/>
              <w:jc w:val="both"/>
              <w:rPr>
                <w:rFonts w:ascii="Arial" w:hAnsi="Arial" w:cs="Arial"/>
                <w:szCs w:val="24"/>
              </w:rPr>
            </w:pPr>
            <w:r w:rsidRPr="00EA3C26">
              <w:rPr>
                <w:rFonts w:ascii="Arial" w:hAnsi="Arial" w:cs="Arial"/>
                <w:szCs w:val="24"/>
              </w:rPr>
              <w:t>TTTGAGACTCCGTGGAAGTG</w:t>
            </w:r>
          </w:p>
        </w:tc>
        <w:tc>
          <w:tcPr>
            <w:tcW w:w="793" w:type="dxa"/>
            <w:tcBorders>
              <w:top w:val="nil"/>
              <w:left w:val="nil"/>
              <w:bottom w:val="single" w:sz="4" w:space="0" w:color="auto"/>
              <w:right w:val="nil"/>
            </w:tcBorders>
            <w:hideMark/>
          </w:tcPr>
          <w:p w14:paraId="5C78412B" w14:textId="77777777" w:rsidR="00307747" w:rsidRPr="00EA3C26" w:rsidRDefault="00307747" w:rsidP="002F1A8F">
            <w:pPr>
              <w:pStyle w:val="HTML"/>
              <w:jc w:val="both"/>
              <w:rPr>
                <w:rFonts w:ascii="Arial" w:hAnsi="Arial" w:cs="Arial"/>
                <w:szCs w:val="24"/>
              </w:rPr>
            </w:pPr>
            <w:r w:rsidRPr="00EA3C26">
              <w:rPr>
                <w:rFonts w:ascii="Arial" w:hAnsi="Arial" w:cs="Arial"/>
                <w:szCs w:val="24"/>
              </w:rPr>
              <w:t>149</w:t>
            </w:r>
          </w:p>
        </w:tc>
      </w:tr>
    </w:tbl>
    <w:p w14:paraId="32CFA454" w14:textId="77777777" w:rsidR="00307747" w:rsidRPr="00EA3C26" w:rsidRDefault="00307747" w:rsidP="00307747">
      <w:pPr>
        <w:rPr>
          <w:rFonts w:ascii="Arial" w:hAnsi="Arial" w:cs="Arial"/>
          <w:sz w:val="24"/>
          <w:szCs w:val="24"/>
        </w:rPr>
      </w:pPr>
      <w:r w:rsidRPr="00EA3C26">
        <w:rPr>
          <w:rFonts w:ascii="Arial" w:eastAsia="Arial" w:hAnsi="Arial" w:cs="Arial"/>
          <w:sz w:val="24"/>
          <w:szCs w:val="24"/>
        </w:rPr>
        <w:t>Sequences: 5’ to 3’.</w:t>
      </w:r>
    </w:p>
    <w:p w14:paraId="260114FD" w14:textId="77777777" w:rsidR="00D6459D" w:rsidRPr="00757FC5" w:rsidRDefault="00307747" w:rsidP="00D6459D">
      <w:pPr>
        <w:rPr>
          <w:rFonts w:ascii="Arial" w:hAnsi="Arial" w:cs="Arial"/>
          <w:kern w:val="0"/>
          <w:sz w:val="24"/>
          <w:szCs w:val="24"/>
        </w:rPr>
      </w:pPr>
      <w:r>
        <w:rPr>
          <w:rFonts w:ascii="Arial" w:eastAsia="宋体" w:hAnsi="Arial" w:cs="Arial"/>
          <w:kern w:val="0"/>
          <w:sz w:val="24"/>
          <w:szCs w:val="24"/>
        </w:rPr>
        <w:br w:type="page"/>
      </w:r>
      <w:r w:rsidR="00D6459D" w:rsidRPr="00757FC5">
        <w:rPr>
          <w:rStyle w:val="fontstyle01"/>
          <w:rFonts w:ascii="Arial" w:hAnsi="Arial" w:cs="Arial"/>
          <w:kern w:val="0"/>
          <w:sz w:val="24"/>
          <w:szCs w:val="24"/>
        </w:rPr>
        <w:t xml:space="preserve">Supplementary Table </w:t>
      </w:r>
      <w:r w:rsidR="00D6459D" w:rsidRPr="00757FC5">
        <w:rPr>
          <w:rFonts w:ascii="Arial" w:hAnsi="Arial" w:cs="Arial"/>
          <w:b/>
          <w:kern w:val="0"/>
          <w:sz w:val="24"/>
          <w:szCs w:val="24"/>
        </w:rPr>
        <w:t xml:space="preserve">3 </w:t>
      </w:r>
      <w:r w:rsidR="00D6459D" w:rsidRPr="00757FC5">
        <w:rPr>
          <w:rFonts w:ascii="Arial" w:hAnsi="Arial" w:cs="Arial"/>
          <w:kern w:val="0"/>
          <w:sz w:val="24"/>
          <w:szCs w:val="24"/>
        </w:rPr>
        <w:t>Statistics of all results in this study are provided</w:t>
      </w:r>
    </w:p>
    <w:tbl>
      <w:tblPr>
        <w:tblStyle w:val="a8"/>
        <w:tblW w:w="8335" w:type="dxa"/>
        <w:tblInd w:w="0" w:type="dxa"/>
        <w:tblLook w:val="04A0" w:firstRow="1" w:lastRow="0" w:firstColumn="1" w:lastColumn="0" w:noHBand="0" w:noVBand="1"/>
      </w:tblPr>
      <w:tblGrid>
        <w:gridCol w:w="1831"/>
        <w:gridCol w:w="3925"/>
        <w:gridCol w:w="2579"/>
      </w:tblGrid>
      <w:tr w:rsidR="00D6459D" w:rsidRPr="00757FC5" w14:paraId="13A20881" w14:textId="77777777" w:rsidTr="002D030C">
        <w:trPr>
          <w:trHeight w:val="453"/>
        </w:trPr>
        <w:tc>
          <w:tcPr>
            <w:tcW w:w="8335" w:type="dxa"/>
            <w:gridSpan w:val="3"/>
            <w:vAlign w:val="center"/>
          </w:tcPr>
          <w:p w14:paraId="128F043B" w14:textId="77777777" w:rsidR="00D6459D" w:rsidRPr="00757FC5" w:rsidRDefault="00D6459D" w:rsidP="002D030C">
            <w:pPr>
              <w:tabs>
                <w:tab w:val="left" w:pos="3097"/>
              </w:tabs>
              <w:jc w:val="center"/>
              <w:rPr>
                <w:rFonts w:ascii="Arial" w:hAnsi="Arial" w:cs="Arial"/>
                <w:sz w:val="24"/>
                <w:szCs w:val="24"/>
              </w:rPr>
            </w:pPr>
            <w:r w:rsidRPr="00757FC5">
              <w:rPr>
                <w:rFonts w:ascii="Arial" w:hAnsi="Arial" w:cs="Arial"/>
                <w:kern w:val="0"/>
                <w:sz w:val="24"/>
                <w:szCs w:val="24"/>
              </w:rPr>
              <w:t>Fig.1</w:t>
            </w:r>
          </w:p>
        </w:tc>
      </w:tr>
      <w:tr w:rsidR="00D6459D" w:rsidRPr="00757FC5" w14:paraId="4F30D927" w14:textId="77777777" w:rsidTr="002D030C">
        <w:trPr>
          <w:trHeight w:val="567"/>
        </w:trPr>
        <w:tc>
          <w:tcPr>
            <w:tcW w:w="1831" w:type="dxa"/>
            <w:vMerge w:val="restart"/>
            <w:vAlign w:val="center"/>
          </w:tcPr>
          <w:p w14:paraId="4A2CF1C3" w14:textId="77777777" w:rsidR="00D6459D" w:rsidRPr="00757FC5" w:rsidRDefault="00D6459D" w:rsidP="002D030C">
            <w:pPr>
              <w:jc w:val="center"/>
              <w:rPr>
                <w:rFonts w:ascii="Arial" w:hAnsi="Arial" w:cs="Arial"/>
                <w:sz w:val="24"/>
                <w:szCs w:val="24"/>
              </w:rPr>
            </w:pPr>
            <w:r w:rsidRPr="00757FC5">
              <w:rPr>
                <w:rFonts w:ascii="Arial" w:hAnsi="Arial" w:cs="Arial"/>
                <w:kern w:val="0"/>
                <w:sz w:val="24"/>
                <w:szCs w:val="24"/>
              </w:rPr>
              <w:t>Fig. 1</w:t>
            </w:r>
            <w:r>
              <w:rPr>
                <w:rFonts w:ascii="Arial" w:eastAsia="楷体" w:hAnsi="Arial" w:cs="Arial" w:hint="eastAsia"/>
                <w:kern w:val="0"/>
                <w:sz w:val="24"/>
                <w:szCs w:val="24"/>
              </w:rPr>
              <w:t>B</w:t>
            </w:r>
          </w:p>
        </w:tc>
        <w:tc>
          <w:tcPr>
            <w:tcW w:w="3925" w:type="dxa"/>
            <w:vAlign w:val="center"/>
          </w:tcPr>
          <w:p w14:paraId="3943A8D2" w14:textId="77777777" w:rsidR="00D6459D" w:rsidRPr="00757FC5" w:rsidRDefault="00D6459D" w:rsidP="002D030C">
            <w:pPr>
              <w:rPr>
                <w:rFonts w:ascii="Arial" w:hAnsi="Arial" w:cs="Arial"/>
                <w:sz w:val="24"/>
                <w:szCs w:val="24"/>
              </w:rPr>
            </w:pPr>
            <w:r w:rsidRPr="00757FC5">
              <w:rPr>
                <w:rFonts w:ascii="Arial" w:hAnsi="Arial" w:cs="Arial"/>
                <w:kern w:val="0"/>
                <w:sz w:val="24"/>
                <w:szCs w:val="24"/>
              </w:rPr>
              <w:t>Sucrose preference (Baseline)</w:t>
            </w:r>
          </w:p>
        </w:tc>
        <w:tc>
          <w:tcPr>
            <w:tcW w:w="2579" w:type="dxa"/>
            <w:vAlign w:val="center"/>
          </w:tcPr>
          <w:p w14:paraId="73B0581A"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 =</w:t>
            </w:r>
            <w:r w:rsidRPr="00757FC5">
              <w:rPr>
                <w:rFonts w:ascii="Arial" w:eastAsia="楷体" w:hAnsi="Arial" w:cs="Arial"/>
                <w:kern w:val="0"/>
                <w:sz w:val="24"/>
                <w:szCs w:val="24"/>
              </w:rPr>
              <w:t xml:space="preserve"> 0.589</w:t>
            </w:r>
          </w:p>
        </w:tc>
      </w:tr>
      <w:tr w:rsidR="00D6459D" w:rsidRPr="00757FC5" w14:paraId="7DC0E348" w14:textId="77777777" w:rsidTr="002D030C">
        <w:trPr>
          <w:trHeight w:val="567"/>
        </w:trPr>
        <w:tc>
          <w:tcPr>
            <w:tcW w:w="1831" w:type="dxa"/>
            <w:vMerge/>
            <w:vAlign w:val="center"/>
          </w:tcPr>
          <w:p w14:paraId="200782D0" w14:textId="77777777" w:rsidR="00D6459D" w:rsidRPr="00757FC5" w:rsidRDefault="00D6459D" w:rsidP="002D030C">
            <w:pPr>
              <w:jc w:val="center"/>
              <w:rPr>
                <w:rFonts w:ascii="Arial" w:hAnsi="Arial" w:cs="Arial"/>
                <w:sz w:val="24"/>
                <w:szCs w:val="24"/>
              </w:rPr>
            </w:pPr>
          </w:p>
        </w:tc>
        <w:tc>
          <w:tcPr>
            <w:tcW w:w="3925" w:type="dxa"/>
            <w:vAlign w:val="center"/>
          </w:tcPr>
          <w:p w14:paraId="5B3230A4" w14:textId="77777777" w:rsidR="00D6459D" w:rsidRPr="00757FC5" w:rsidRDefault="00D6459D" w:rsidP="002D030C">
            <w:pPr>
              <w:rPr>
                <w:rFonts w:ascii="Arial" w:hAnsi="Arial" w:cs="Arial"/>
                <w:sz w:val="24"/>
                <w:szCs w:val="24"/>
              </w:rPr>
            </w:pPr>
            <w:r w:rsidRPr="00757FC5">
              <w:rPr>
                <w:rFonts w:ascii="Arial" w:hAnsi="Arial" w:cs="Arial"/>
                <w:kern w:val="0"/>
                <w:sz w:val="24"/>
                <w:szCs w:val="24"/>
              </w:rPr>
              <w:t>Sucrose preference (After CUS)</w:t>
            </w:r>
          </w:p>
        </w:tc>
        <w:tc>
          <w:tcPr>
            <w:tcW w:w="2579" w:type="dxa"/>
            <w:vAlign w:val="center"/>
          </w:tcPr>
          <w:p w14:paraId="2F80DD91"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 xml:space="preserve">P &lt; </w:t>
            </w:r>
            <w:r w:rsidRPr="00757FC5">
              <w:rPr>
                <w:rFonts w:ascii="Arial" w:eastAsia="楷体" w:hAnsi="Arial" w:cs="Arial"/>
                <w:kern w:val="0"/>
                <w:sz w:val="24"/>
                <w:szCs w:val="24"/>
              </w:rPr>
              <w:t>0.001</w:t>
            </w:r>
          </w:p>
        </w:tc>
      </w:tr>
      <w:tr w:rsidR="00D6459D" w:rsidRPr="00757FC5" w14:paraId="231354B7" w14:textId="77777777" w:rsidTr="002D030C">
        <w:trPr>
          <w:trHeight w:val="567"/>
        </w:trPr>
        <w:tc>
          <w:tcPr>
            <w:tcW w:w="1831" w:type="dxa"/>
            <w:vAlign w:val="center"/>
          </w:tcPr>
          <w:p w14:paraId="6BDC38AA" w14:textId="77777777" w:rsidR="00D6459D" w:rsidRPr="00757FC5" w:rsidRDefault="00D6459D" w:rsidP="002D030C">
            <w:pPr>
              <w:jc w:val="center"/>
              <w:rPr>
                <w:rFonts w:ascii="Arial" w:hAnsi="Arial" w:cs="Arial"/>
                <w:sz w:val="24"/>
                <w:szCs w:val="24"/>
              </w:rPr>
            </w:pPr>
            <w:r w:rsidRPr="00757FC5">
              <w:rPr>
                <w:rFonts w:ascii="Arial" w:hAnsi="Arial" w:cs="Arial"/>
                <w:kern w:val="0"/>
                <w:sz w:val="24"/>
                <w:szCs w:val="24"/>
              </w:rPr>
              <w:t>Fig. 1</w:t>
            </w:r>
            <w:r>
              <w:rPr>
                <w:rFonts w:ascii="Arial" w:hAnsi="Arial" w:cs="Arial" w:hint="eastAsia"/>
                <w:kern w:val="0"/>
                <w:sz w:val="24"/>
                <w:szCs w:val="24"/>
              </w:rPr>
              <w:t>C</w:t>
            </w:r>
          </w:p>
        </w:tc>
        <w:tc>
          <w:tcPr>
            <w:tcW w:w="3925" w:type="dxa"/>
            <w:vAlign w:val="center"/>
          </w:tcPr>
          <w:p w14:paraId="7A76C72B" w14:textId="77777777" w:rsidR="00D6459D" w:rsidRPr="00757FC5" w:rsidRDefault="00D6459D" w:rsidP="002D030C">
            <w:pPr>
              <w:jc w:val="left"/>
              <w:rPr>
                <w:rFonts w:ascii="Arial" w:hAnsi="Arial" w:cs="Arial"/>
                <w:kern w:val="0"/>
                <w:sz w:val="24"/>
                <w:szCs w:val="24"/>
              </w:rPr>
            </w:pPr>
            <w:r w:rsidRPr="00757FC5">
              <w:rPr>
                <w:rFonts w:ascii="Arial" w:hAnsi="Arial" w:cs="Arial"/>
                <w:kern w:val="0"/>
                <w:sz w:val="24"/>
                <w:szCs w:val="24"/>
              </w:rPr>
              <w:t>Immobility time in TST</w:t>
            </w:r>
          </w:p>
        </w:tc>
        <w:tc>
          <w:tcPr>
            <w:tcW w:w="2579" w:type="dxa"/>
            <w:vAlign w:val="center"/>
          </w:tcPr>
          <w:p w14:paraId="39C3AEBD"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 =</w:t>
            </w:r>
            <w:r w:rsidRPr="00757FC5">
              <w:rPr>
                <w:rFonts w:ascii="Arial" w:eastAsia="楷体" w:hAnsi="Arial" w:cs="Arial"/>
                <w:kern w:val="0"/>
                <w:sz w:val="24"/>
                <w:szCs w:val="24"/>
              </w:rPr>
              <w:t xml:space="preserve"> 0.025</w:t>
            </w:r>
          </w:p>
        </w:tc>
      </w:tr>
      <w:tr w:rsidR="00D6459D" w:rsidRPr="00757FC5" w14:paraId="5C2E6D4D" w14:textId="77777777" w:rsidTr="002D030C">
        <w:trPr>
          <w:trHeight w:val="567"/>
        </w:trPr>
        <w:tc>
          <w:tcPr>
            <w:tcW w:w="1831" w:type="dxa"/>
            <w:vAlign w:val="center"/>
          </w:tcPr>
          <w:p w14:paraId="37A5B1F8" w14:textId="77777777" w:rsidR="00D6459D" w:rsidRPr="00757FC5" w:rsidRDefault="00D6459D" w:rsidP="002D030C">
            <w:pPr>
              <w:jc w:val="center"/>
              <w:rPr>
                <w:rFonts w:ascii="Arial" w:hAnsi="Arial" w:cs="Arial"/>
                <w:kern w:val="0"/>
                <w:sz w:val="24"/>
                <w:szCs w:val="24"/>
              </w:rPr>
            </w:pPr>
            <w:r w:rsidRPr="00757FC5">
              <w:rPr>
                <w:rFonts w:ascii="Arial" w:hAnsi="Arial" w:cs="Arial"/>
                <w:kern w:val="0"/>
                <w:sz w:val="24"/>
                <w:szCs w:val="24"/>
              </w:rPr>
              <w:t xml:space="preserve">Fig. </w:t>
            </w:r>
            <w:r>
              <w:rPr>
                <w:rFonts w:ascii="Arial" w:hAnsi="Arial" w:cs="Arial" w:hint="eastAsia"/>
                <w:kern w:val="0"/>
                <w:sz w:val="24"/>
                <w:szCs w:val="24"/>
              </w:rPr>
              <w:t>1E</w:t>
            </w:r>
          </w:p>
        </w:tc>
        <w:tc>
          <w:tcPr>
            <w:tcW w:w="3925" w:type="dxa"/>
            <w:vAlign w:val="center"/>
          </w:tcPr>
          <w:p w14:paraId="6AA9477D"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Protein levels of MAP2</w:t>
            </w:r>
          </w:p>
        </w:tc>
        <w:tc>
          <w:tcPr>
            <w:tcW w:w="2579" w:type="dxa"/>
            <w:vAlign w:val="center"/>
          </w:tcPr>
          <w:p w14:paraId="7B2882CA"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17649C12" w14:textId="77777777" w:rsidTr="002D030C">
        <w:trPr>
          <w:trHeight w:val="567"/>
        </w:trPr>
        <w:tc>
          <w:tcPr>
            <w:tcW w:w="1831" w:type="dxa"/>
            <w:vMerge w:val="restart"/>
            <w:vAlign w:val="center"/>
          </w:tcPr>
          <w:p w14:paraId="7C240ECB" w14:textId="77777777" w:rsidR="00D6459D" w:rsidRPr="00757FC5" w:rsidRDefault="00D6459D" w:rsidP="002D030C">
            <w:pPr>
              <w:jc w:val="center"/>
              <w:rPr>
                <w:rFonts w:ascii="Arial" w:hAnsi="Arial" w:cs="Arial"/>
                <w:kern w:val="0"/>
                <w:sz w:val="24"/>
                <w:szCs w:val="24"/>
              </w:rPr>
            </w:pPr>
            <w:r w:rsidRPr="00757FC5">
              <w:rPr>
                <w:rFonts w:ascii="Arial" w:hAnsi="Arial" w:cs="Arial"/>
                <w:kern w:val="0"/>
                <w:sz w:val="24"/>
                <w:szCs w:val="24"/>
              </w:rPr>
              <w:t xml:space="preserve">Fig. </w:t>
            </w:r>
            <w:r>
              <w:rPr>
                <w:rFonts w:ascii="Arial" w:hAnsi="Arial" w:cs="Arial" w:hint="eastAsia"/>
                <w:kern w:val="0"/>
                <w:sz w:val="24"/>
                <w:szCs w:val="24"/>
              </w:rPr>
              <w:t>1G</w:t>
            </w:r>
          </w:p>
        </w:tc>
        <w:tc>
          <w:tcPr>
            <w:tcW w:w="3925" w:type="dxa"/>
            <w:vAlign w:val="center"/>
          </w:tcPr>
          <w:p w14:paraId="0E586A33"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Protein expression levels of PSD95</w:t>
            </w:r>
          </w:p>
        </w:tc>
        <w:tc>
          <w:tcPr>
            <w:tcW w:w="2579" w:type="dxa"/>
            <w:vAlign w:val="center"/>
          </w:tcPr>
          <w:p w14:paraId="70EEE218"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51FF5E3B" w14:textId="77777777" w:rsidTr="002D030C">
        <w:trPr>
          <w:trHeight w:val="567"/>
        </w:trPr>
        <w:tc>
          <w:tcPr>
            <w:tcW w:w="1831" w:type="dxa"/>
            <w:vMerge/>
            <w:vAlign w:val="center"/>
          </w:tcPr>
          <w:p w14:paraId="09C42101" w14:textId="77777777" w:rsidR="00D6459D" w:rsidRPr="00757FC5" w:rsidRDefault="00D6459D" w:rsidP="002D030C">
            <w:pPr>
              <w:jc w:val="center"/>
              <w:rPr>
                <w:rFonts w:ascii="Arial" w:hAnsi="Arial" w:cs="Arial"/>
                <w:kern w:val="0"/>
                <w:sz w:val="24"/>
                <w:szCs w:val="24"/>
              </w:rPr>
            </w:pPr>
          </w:p>
        </w:tc>
        <w:tc>
          <w:tcPr>
            <w:tcW w:w="3925" w:type="dxa"/>
            <w:vAlign w:val="center"/>
          </w:tcPr>
          <w:p w14:paraId="4432DB43"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Protein expression levels of Synapsin1</w:t>
            </w:r>
          </w:p>
        </w:tc>
        <w:tc>
          <w:tcPr>
            <w:tcW w:w="2579" w:type="dxa"/>
            <w:vAlign w:val="center"/>
          </w:tcPr>
          <w:p w14:paraId="6E126025"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72D3FC5A" w14:textId="77777777" w:rsidTr="002D030C">
        <w:trPr>
          <w:trHeight w:val="567"/>
        </w:trPr>
        <w:tc>
          <w:tcPr>
            <w:tcW w:w="1831" w:type="dxa"/>
            <w:vAlign w:val="center"/>
          </w:tcPr>
          <w:p w14:paraId="4CCEE1C3" w14:textId="77777777" w:rsidR="00D6459D" w:rsidRPr="00757FC5" w:rsidRDefault="00D6459D" w:rsidP="002D030C">
            <w:pPr>
              <w:jc w:val="center"/>
              <w:rPr>
                <w:rFonts w:ascii="Arial" w:hAnsi="Arial" w:cs="Arial"/>
                <w:kern w:val="0"/>
                <w:sz w:val="24"/>
                <w:szCs w:val="24"/>
              </w:rPr>
            </w:pPr>
            <w:r w:rsidRPr="00757FC5">
              <w:rPr>
                <w:rFonts w:ascii="Arial" w:hAnsi="Arial" w:cs="Arial"/>
                <w:kern w:val="0"/>
                <w:sz w:val="24"/>
                <w:szCs w:val="24"/>
              </w:rPr>
              <w:t xml:space="preserve">Fig. </w:t>
            </w:r>
            <w:r>
              <w:rPr>
                <w:rFonts w:ascii="Arial" w:hAnsi="Arial" w:cs="Arial" w:hint="eastAsia"/>
                <w:kern w:val="0"/>
                <w:sz w:val="24"/>
                <w:szCs w:val="24"/>
              </w:rPr>
              <w:t>1I</w:t>
            </w:r>
          </w:p>
        </w:tc>
        <w:tc>
          <w:tcPr>
            <w:tcW w:w="3925" w:type="dxa"/>
            <w:vAlign w:val="center"/>
          </w:tcPr>
          <w:p w14:paraId="37B7D7FF"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Protein levels of Gephyrin</w:t>
            </w:r>
          </w:p>
        </w:tc>
        <w:tc>
          <w:tcPr>
            <w:tcW w:w="2579" w:type="dxa"/>
            <w:vAlign w:val="center"/>
          </w:tcPr>
          <w:p w14:paraId="22E62988"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4F2F6B46" w14:textId="77777777" w:rsidTr="002D030C">
        <w:trPr>
          <w:trHeight w:val="567"/>
        </w:trPr>
        <w:tc>
          <w:tcPr>
            <w:tcW w:w="1831" w:type="dxa"/>
            <w:vMerge w:val="restart"/>
            <w:vAlign w:val="center"/>
          </w:tcPr>
          <w:p w14:paraId="49850081" w14:textId="77777777" w:rsidR="00D6459D" w:rsidRPr="00757FC5" w:rsidRDefault="00D6459D" w:rsidP="002D030C">
            <w:pPr>
              <w:jc w:val="center"/>
              <w:rPr>
                <w:rFonts w:ascii="Arial" w:eastAsia="楷体" w:hAnsi="Arial" w:cs="Arial"/>
                <w:kern w:val="0"/>
                <w:sz w:val="24"/>
                <w:szCs w:val="24"/>
              </w:rPr>
            </w:pPr>
            <w:r w:rsidRPr="00757FC5">
              <w:rPr>
                <w:rFonts w:ascii="Arial" w:hAnsi="Arial" w:cs="Arial"/>
                <w:kern w:val="0"/>
                <w:sz w:val="24"/>
                <w:szCs w:val="24"/>
              </w:rPr>
              <w:t xml:space="preserve">Fig. </w:t>
            </w:r>
            <w:r>
              <w:rPr>
                <w:rFonts w:ascii="Arial" w:hAnsi="Arial" w:cs="Arial" w:hint="eastAsia"/>
                <w:kern w:val="0"/>
                <w:sz w:val="24"/>
                <w:szCs w:val="24"/>
              </w:rPr>
              <w:t>1N</w:t>
            </w:r>
          </w:p>
        </w:tc>
        <w:tc>
          <w:tcPr>
            <w:tcW w:w="3925" w:type="dxa"/>
            <w:vMerge w:val="restart"/>
            <w:vAlign w:val="center"/>
          </w:tcPr>
          <w:p w14:paraId="0E713FCA"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MAP2</w:t>
            </w:r>
            <w:r w:rsidRPr="00757FC5">
              <w:rPr>
                <w:rFonts w:ascii="Arial" w:eastAsia="楷体" w:hAnsi="Arial" w:cs="Arial"/>
                <w:kern w:val="0"/>
                <w:sz w:val="24"/>
                <w:szCs w:val="24"/>
                <w:vertAlign w:val="superscript"/>
              </w:rPr>
              <w:t>+</w:t>
            </w:r>
            <w:r w:rsidRPr="00757FC5">
              <w:rPr>
                <w:rFonts w:ascii="Arial" w:eastAsia="楷体" w:hAnsi="Arial" w:cs="Arial"/>
                <w:kern w:val="0"/>
                <w:sz w:val="24"/>
                <w:szCs w:val="24"/>
              </w:rPr>
              <w:t>/PSD95</w:t>
            </w:r>
            <w:r w:rsidRPr="00757FC5">
              <w:rPr>
                <w:rFonts w:ascii="Arial" w:eastAsia="楷体" w:hAnsi="Arial" w:cs="Arial"/>
                <w:kern w:val="0"/>
                <w:sz w:val="24"/>
                <w:szCs w:val="24"/>
                <w:vertAlign w:val="superscript"/>
              </w:rPr>
              <w:t>+</w:t>
            </w:r>
          </w:p>
        </w:tc>
        <w:tc>
          <w:tcPr>
            <w:tcW w:w="2579" w:type="dxa"/>
            <w:vAlign w:val="center"/>
          </w:tcPr>
          <w:p w14:paraId="29A8E394"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5CD1FB30" w14:textId="77777777" w:rsidTr="002D030C">
        <w:trPr>
          <w:trHeight w:val="567"/>
        </w:trPr>
        <w:tc>
          <w:tcPr>
            <w:tcW w:w="1831" w:type="dxa"/>
            <w:vMerge/>
            <w:vAlign w:val="center"/>
          </w:tcPr>
          <w:p w14:paraId="69333358"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6C45ABC8"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47DBF850"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164422AD" w14:textId="77777777" w:rsidTr="002D030C">
        <w:trPr>
          <w:trHeight w:val="567"/>
        </w:trPr>
        <w:tc>
          <w:tcPr>
            <w:tcW w:w="1831" w:type="dxa"/>
            <w:vMerge/>
            <w:vAlign w:val="center"/>
          </w:tcPr>
          <w:p w14:paraId="7E9E5060"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1A7E8151"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0233BF72"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194E61E3" w14:textId="77777777" w:rsidTr="002D030C">
        <w:trPr>
          <w:trHeight w:val="567"/>
        </w:trPr>
        <w:tc>
          <w:tcPr>
            <w:tcW w:w="1831" w:type="dxa"/>
            <w:vMerge w:val="restart"/>
            <w:vAlign w:val="center"/>
          </w:tcPr>
          <w:p w14:paraId="4EF30B6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1O</w:t>
            </w:r>
          </w:p>
        </w:tc>
        <w:tc>
          <w:tcPr>
            <w:tcW w:w="3925" w:type="dxa"/>
            <w:vMerge w:val="restart"/>
            <w:vAlign w:val="center"/>
          </w:tcPr>
          <w:p w14:paraId="5D098D57"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MAP2</w:t>
            </w:r>
            <w:r w:rsidRPr="00757FC5">
              <w:rPr>
                <w:rFonts w:ascii="Arial" w:eastAsia="楷体" w:hAnsi="Arial" w:cs="Arial"/>
                <w:kern w:val="0"/>
                <w:sz w:val="24"/>
                <w:szCs w:val="24"/>
                <w:vertAlign w:val="superscript"/>
              </w:rPr>
              <w:t>+</w:t>
            </w:r>
            <w:r w:rsidRPr="00757FC5">
              <w:rPr>
                <w:rFonts w:ascii="Arial" w:eastAsia="楷体" w:hAnsi="Arial" w:cs="Arial"/>
                <w:kern w:val="0"/>
                <w:sz w:val="24"/>
                <w:szCs w:val="24"/>
              </w:rPr>
              <w:t>/Gephyrin</w:t>
            </w:r>
            <w:r w:rsidRPr="00757FC5">
              <w:rPr>
                <w:rFonts w:ascii="Arial" w:eastAsia="楷体" w:hAnsi="Arial" w:cs="Arial"/>
                <w:kern w:val="0"/>
                <w:sz w:val="24"/>
                <w:szCs w:val="24"/>
                <w:vertAlign w:val="superscript"/>
              </w:rPr>
              <w:t>+</w:t>
            </w:r>
          </w:p>
        </w:tc>
        <w:tc>
          <w:tcPr>
            <w:tcW w:w="2579" w:type="dxa"/>
            <w:vAlign w:val="center"/>
          </w:tcPr>
          <w:p w14:paraId="52802669"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3779A4F9" w14:textId="77777777" w:rsidTr="002D030C">
        <w:trPr>
          <w:trHeight w:val="567"/>
        </w:trPr>
        <w:tc>
          <w:tcPr>
            <w:tcW w:w="1831" w:type="dxa"/>
            <w:vMerge/>
            <w:vAlign w:val="center"/>
          </w:tcPr>
          <w:p w14:paraId="6F0E0FD6"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098284CC"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6F2D49EB"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618D6679" w14:textId="77777777" w:rsidTr="002D030C">
        <w:trPr>
          <w:trHeight w:val="567"/>
        </w:trPr>
        <w:tc>
          <w:tcPr>
            <w:tcW w:w="1831" w:type="dxa"/>
            <w:vMerge/>
            <w:vAlign w:val="center"/>
          </w:tcPr>
          <w:p w14:paraId="50BAADD0"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24AAD7BC"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49231299"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DG: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29C471F3" w14:textId="77777777" w:rsidTr="002D030C">
        <w:trPr>
          <w:trHeight w:val="567"/>
        </w:trPr>
        <w:tc>
          <w:tcPr>
            <w:tcW w:w="8335" w:type="dxa"/>
            <w:gridSpan w:val="3"/>
            <w:vAlign w:val="center"/>
          </w:tcPr>
          <w:p w14:paraId="08A12992"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w:t>
            </w:r>
          </w:p>
        </w:tc>
      </w:tr>
      <w:tr w:rsidR="00D6459D" w:rsidRPr="00757FC5" w14:paraId="7BAAA731" w14:textId="77777777" w:rsidTr="002D030C">
        <w:trPr>
          <w:trHeight w:val="567"/>
        </w:trPr>
        <w:tc>
          <w:tcPr>
            <w:tcW w:w="1831" w:type="dxa"/>
            <w:vMerge w:val="restart"/>
            <w:vAlign w:val="center"/>
          </w:tcPr>
          <w:p w14:paraId="70543BAF"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w:t>
            </w:r>
            <w:r w:rsidRPr="00757FC5">
              <w:rPr>
                <w:rFonts w:ascii="Arial" w:eastAsia="楷体" w:hAnsi="Arial" w:cs="Arial"/>
                <w:kern w:val="0"/>
                <w:sz w:val="24"/>
                <w:szCs w:val="24"/>
              </w:rPr>
              <w:t>A</w:t>
            </w:r>
          </w:p>
        </w:tc>
        <w:tc>
          <w:tcPr>
            <w:tcW w:w="3925" w:type="dxa"/>
            <w:vAlign w:val="center"/>
          </w:tcPr>
          <w:p w14:paraId="6A82A28E"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total adiponectin in the plasma</w:t>
            </w:r>
          </w:p>
        </w:tc>
        <w:tc>
          <w:tcPr>
            <w:tcW w:w="2579" w:type="dxa"/>
            <w:vAlign w:val="center"/>
          </w:tcPr>
          <w:p w14:paraId="30A316B3"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05A650C1" w14:textId="77777777" w:rsidTr="002D030C">
        <w:trPr>
          <w:trHeight w:val="567"/>
        </w:trPr>
        <w:tc>
          <w:tcPr>
            <w:tcW w:w="1831" w:type="dxa"/>
            <w:vMerge/>
            <w:vAlign w:val="center"/>
          </w:tcPr>
          <w:p w14:paraId="5CDCFEA8" w14:textId="77777777" w:rsidR="00D6459D" w:rsidRPr="00757FC5" w:rsidRDefault="00D6459D" w:rsidP="002D030C">
            <w:pPr>
              <w:jc w:val="center"/>
              <w:rPr>
                <w:rFonts w:ascii="Arial" w:eastAsia="楷体" w:hAnsi="Arial" w:cs="Arial"/>
                <w:kern w:val="0"/>
                <w:sz w:val="24"/>
                <w:szCs w:val="24"/>
              </w:rPr>
            </w:pPr>
          </w:p>
        </w:tc>
        <w:tc>
          <w:tcPr>
            <w:tcW w:w="3925" w:type="dxa"/>
            <w:vAlign w:val="center"/>
          </w:tcPr>
          <w:p w14:paraId="2522569D"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HMW adiponectin in the plasma</w:t>
            </w:r>
          </w:p>
        </w:tc>
        <w:tc>
          <w:tcPr>
            <w:tcW w:w="2579" w:type="dxa"/>
            <w:vAlign w:val="center"/>
          </w:tcPr>
          <w:p w14:paraId="316187DF"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4F064E1A" w14:textId="77777777" w:rsidTr="002D030C">
        <w:trPr>
          <w:trHeight w:val="567"/>
        </w:trPr>
        <w:tc>
          <w:tcPr>
            <w:tcW w:w="1831" w:type="dxa"/>
            <w:vMerge/>
            <w:vAlign w:val="center"/>
          </w:tcPr>
          <w:p w14:paraId="5874AE50" w14:textId="77777777" w:rsidR="00D6459D" w:rsidRPr="00757FC5" w:rsidRDefault="00D6459D" w:rsidP="002D030C">
            <w:pPr>
              <w:jc w:val="center"/>
              <w:rPr>
                <w:rFonts w:ascii="Arial" w:eastAsia="楷体" w:hAnsi="Arial" w:cs="Arial"/>
                <w:kern w:val="0"/>
                <w:sz w:val="24"/>
                <w:szCs w:val="24"/>
              </w:rPr>
            </w:pPr>
          </w:p>
        </w:tc>
        <w:tc>
          <w:tcPr>
            <w:tcW w:w="3925" w:type="dxa"/>
            <w:vAlign w:val="center"/>
          </w:tcPr>
          <w:p w14:paraId="0F5027BB"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MMW and LWM adiponectin in the plasma</w:t>
            </w:r>
          </w:p>
        </w:tc>
        <w:tc>
          <w:tcPr>
            <w:tcW w:w="2579" w:type="dxa"/>
            <w:vAlign w:val="center"/>
          </w:tcPr>
          <w:p w14:paraId="1110DD4B"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1C27B21A" w14:textId="77777777" w:rsidTr="002D030C">
        <w:trPr>
          <w:trHeight w:val="567"/>
        </w:trPr>
        <w:tc>
          <w:tcPr>
            <w:tcW w:w="1831" w:type="dxa"/>
            <w:vAlign w:val="center"/>
          </w:tcPr>
          <w:p w14:paraId="3FEF1CB4"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w:t>
            </w:r>
            <w:r w:rsidRPr="00757FC5">
              <w:rPr>
                <w:rFonts w:ascii="Arial" w:eastAsia="楷体" w:hAnsi="Arial" w:cs="Arial"/>
                <w:kern w:val="0"/>
                <w:sz w:val="24"/>
                <w:szCs w:val="24"/>
              </w:rPr>
              <w:t>B</w:t>
            </w:r>
          </w:p>
        </w:tc>
        <w:tc>
          <w:tcPr>
            <w:tcW w:w="3925" w:type="dxa"/>
            <w:vAlign w:val="center"/>
          </w:tcPr>
          <w:p w14:paraId="532CF663"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 xml:space="preserve">The adiponectin mRNA levels in </w:t>
            </w:r>
            <w:proofErr w:type="spellStart"/>
            <w:r w:rsidRPr="00757FC5">
              <w:rPr>
                <w:rFonts w:ascii="Arial" w:eastAsia="楷体" w:hAnsi="Arial" w:cs="Arial"/>
                <w:kern w:val="0"/>
                <w:sz w:val="24"/>
                <w:szCs w:val="24"/>
              </w:rPr>
              <w:t>eWAT</w:t>
            </w:r>
            <w:proofErr w:type="spellEnd"/>
          </w:p>
        </w:tc>
        <w:tc>
          <w:tcPr>
            <w:tcW w:w="2579" w:type="dxa"/>
            <w:vAlign w:val="center"/>
          </w:tcPr>
          <w:p w14:paraId="7EF51B5D"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3FFAA2FC" w14:textId="77777777" w:rsidTr="002D030C">
        <w:trPr>
          <w:trHeight w:val="567"/>
        </w:trPr>
        <w:tc>
          <w:tcPr>
            <w:tcW w:w="1831" w:type="dxa"/>
            <w:vAlign w:val="center"/>
          </w:tcPr>
          <w:p w14:paraId="39E857E7"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w:t>
            </w:r>
            <w:r w:rsidRPr="00757FC5">
              <w:rPr>
                <w:rFonts w:ascii="Arial" w:eastAsia="楷体" w:hAnsi="Arial" w:cs="Arial"/>
                <w:kern w:val="0"/>
                <w:sz w:val="24"/>
                <w:szCs w:val="24"/>
              </w:rPr>
              <w:t>C</w:t>
            </w:r>
          </w:p>
        </w:tc>
        <w:tc>
          <w:tcPr>
            <w:tcW w:w="3925" w:type="dxa"/>
            <w:vAlign w:val="center"/>
          </w:tcPr>
          <w:p w14:paraId="21810532"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mRNA levels of AdipoR1</w:t>
            </w:r>
          </w:p>
        </w:tc>
        <w:tc>
          <w:tcPr>
            <w:tcW w:w="2579" w:type="dxa"/>
            <w:vAlign w:val="center"/>
          </w:tcPr>
          <w:p w14:paraId="6DB1258E"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21C9A13C" w14:textId="77777777" w:rsidTr="002D030C">
        <w:trPr>
          <w:trHeight w:val="567"/>
        </w:trPr>
        <w:tc>
          <w:tcPr>
            <w:tcW w:w="1831" w:type="dxa"/>
            <w:vAlign w:val="center"/>
          </w:tcPr>
          <w:p w14:paraId="0D4B74B1"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2D</w:t>
            </w:r>
          </w:p>
        </w:tc>
        <w:tc>
          <w:tcPr>
            <w:tcW w:w="3925" w:type="dxa"/>
            <w:vAlign w:val="center"/>
          </w:tcPr>
          <w:p w14:paraId="22C8674B"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mRNA levels of AdipoR2</w:t>
            </w:r>
          </w:p>
        </w:tc>
        <w:tc>
          <w:tcPr>
            <w:tcW w:w="2579" w:type="dxa"/>
            <w:vAlign w:val="center"/>
          </w:tcPr>
          <w:p w14:paraId="7D2F7C8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0.673</w:t>
            </w:r>
          </w:p>
        </w:tc>
      </w:tr>
      <w:tr w:rsidR="00D6459D" w:rsidRPr="00757FC5" w14:paraId="3944344C" w14:textId="77777777" w:rsidTr="002D030C">
        <w:trPr>
          <w:trHeight w:val="567"/>
        </w:trPr>
        <w:tc>
          <w:tcPr>
            <w:tcW w:w="1831" w:type="dxa"/>
            <w:vAlign w:val="center"/>
          </w:tcPr>
          <w:p w14:paraId="4F3B523D"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2F</w:t>
            </w:r>
          </w:p>
        </w:tc>
        <w:tc>
          <w:tcPr>
            <w:tcW w:w="3925" w:type="dxa"/>
            <w:vAlign w:val="center"/>
          </w:tcPr>
          <w:p w14:paraId="31CEC707"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AdipoR1</w:t>
            </w:r>
          </w:p>
        </w:tc>
        <w:tc>
          <w:tcPr>
            <w:tcW w:w="2579" w:type="dxa"/>
            <w:vAlign w:val="center"/>
          </w:tcPr>
          <w:p w14:paraId="64B61B5A"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3376CE3D" w14:textId="77777777" w:rsidTr="002D030C">
        <w:trPr>
          <w:trHeight w:val="567"/>
        </w:trPr>
        <w:tc>
          <w:tcPr>
            <w:tcW w:w="1831" w:type="dxa"/>
            <w:vAlign w:val="center"/>
          </w:tcPr>
          <w:p w14:paraId="089710F8"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2</w:t>
            </w:r>
            <w:r w:rsidRPr="00757FC5">
              <w:rPr>
                <w:rFonts w:ascii="Arial" w:eastAsia="楷体" w:hAnsi="Arial" w:cs="Arial"/>
                <w:kern w:val="0"/>
                <w:sz w:val="24"/>
                <w:szCs w:val="24"/>
              </w:rPr>
              <w:t>H</w:t>
            </w:r>
          </w:p>
        </w:tc>
        <w:tc>
          <w:tcPr>
            <w:tcW w:w="3925" w:type="dxa"/>
            <w:vAlign w:val="center"/>
          </w:tcPr>
          <w:p w14:paraId="2672A6E7"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AdipoR2</w:t>
            </w:r>
          </w:p>
        </w:tc>
        <w:tc>
          <w:tcPr>
            <w:tcW w:w="2579" w:type="dxa"/>
            <w:vAlign w:val="center"/>
          </w:tcPr>
          <w:p w14:paraId="1779B73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0.246</w:t>
            </w:r>
          </w:p>
        </w:tc>
      </w:tr>
      <w:tr w:rsidR="00D6459D" w:rsidRPr="00757FC5" w14:paraId="051EE10E" w14:textId="77777777" w:rsidTr="002D030C">
        <w:trPr>
          <w:trHeight w:val="567"/>
        </w:trPr>
        <w:tc>
          <w:tcPr>
            <w:tcW w:w="8335" w:type="dxa"/>
            <w:gridSpan w:val="3"/>
            <w:vAlign w:val="center"/>
          </w:tcPr>
          <w:p w14:paraId="6FD2CD67"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w:t>
            </w:r>
          </w:p>
        </w:tc>
      </w:tr>
      <w:tr w:rsidR="00D6459D" w:rsidRPr="00757FC5" w14:paraId="72ABD9A4" w14:textId="77777777" w:rsidTr="002D030C">
        <w:trPr>
          <w:trHeight w:val="567"/>
        </w:trPr>
        <w:tc>
          <w:tcPr>
            <w:tcW w:w="1831" w:type="dxa"/>
            <w:vMerge w:val="restart"/>
            <w:vAlign w:val="center"/>
          </w:tcPr>
          <w:p w14:paraId="0CAC9AA6"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3C</w:t>
            </w:r>
          </w:p>
        </w:tc>
        <w:tc>
          <w:tcPr>
            <w:tcW w:w="3925" w:type="dxa"/>
            <w:vAlign w:val="center"/>
          </w:tcPr>
          <w:p w14:paraId="54B58D7F"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Sucrose preference (Baseline)</w:t>
            </w:r>
          </w:p>
        </w:tc>
        <w:tc>
          <w:tcPr>
            <w:tcW w:w="2579" w:type="dxa"/>
            <w:vAlign w:val="center"/>
          </w:tcPr>
          <w:p w14:paraId="54022E02"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0.922</w:t>
            </w:r>
          </w:p>
        </w:tc>
      </w:tr>
      <w:tr w:rsidR="00D6459D" w:rsidRPr="00757FC5" w14:paraId="42C75294" w14:textId="77777777" w:rsidTr="002D030C">
        <w:trPr>
          <w:trHeight w:val="567"/>
        </w:trPr>
        <w:tc>
          <w:tcPr>
            <w:tcW w:w="1831" w:type="dxa"/>
            <w:vMerge/>
            <w:vAlign w:val="center"/>
          </w:tcPr>
          <w:p w14:paraId="45C95D64" w14:textId="77777777" w:rsidR="00D6459D" w:rsidRPr="00757FC5" w:rsidRDefault="00D6459D" w:rsidP="002D030C">
            <w:pPr>
              <w:jc w:val="center"/>
              <w:rPr>
                <w:rFonts w:ascii="Arial" w:eastAsia="楷体" w:hAnsi="Arial" w:cs="Arial"/>
                <w:kern w:val="0"/>
                <w:sz w:val="24"/>
                <w:szCs w:val="24"/>
              </w:rPr>
            </w:pPr>
          </w:p>
        </w:tc>
        <w:tc>
          <w:tcPr>
            <w:tcW w:w="3925" w:type="dxa"/>
            <w:vAlign w:val="center"/>
          </w:tcPr>
          <w:p w14:paraId="5910A60F"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 xml:space="preserve">Sucrose preference (After </w:t>
            </w:r>
            <w:r w:rsidRPr="00757FC5">
              <w:rPr>
                <w:rFonts w:ascii="Arial" w:eastAsia="楷体" w:hAnsi="Arial" w:cs="Arial"/>
                <w:kern w:val="0"/>
                <w:sz w:val="24"/>
                <w:szCs w:val="24"/>
              </w:rPr>
              <w:t>injection</w:t>
            </w:r>
            <w:r w:rsidRPr="00757FC5">
              <w:rPr>
                <w:rFonts w:ascii="Arial" w:hAnsi="Arial" w:cs="Arial"/>
                <w:kern w:val="0"/>
                <w:sz w:val="24"/>
                <w:szCs w:val="24"/>
              </w:rPr>
              <w:t>)</w:t>
            </w:r>
          </w:p>
        </w:tc>
        <w:tc>
          <w:tcPr>
            <w:tcW w:w="2579" w:type="dxa"/>
            <w:vAlign w:val="center"/>
          </w:tcPr>
          <w:p w14:paraId="6EBF7A64"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13DDE1F0" w14:textId="77777777" w:rsidTr="002D030C">
        <w:trPr>
          <w:trHeight w:val="567"/>
        </w:trPr>
        <w:tc>
          <w:tcPr>
            <w:tcW w:w="1831" w:type="dxa"/>
            <w:vAlign w:val="center"/>
          </w:tcPr>
          <w:p w14:paraId="73B7C22B"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3D</w:t>
            </w:r>
          </w:p>
        </w:tc>
        <w:tc>
          <w:tcPr>
            <w:tcW w:w="3925" w:type="dxa"/>
            <w:vAlign w:val="center"/>
          </w:tcPr>
          <w:p w14:paraId="6BA0D39F"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Immobility time in FST</w:t>
            </w:r>
          </w:p>
        </w:tc>
        <w:tc>
          <w:tcPr>
            <w:tcW w:w="2579" w:type="dxa"/>
            <w:vAlign w:val="center"/>
          </w:tcPr>
          <w:p w14:paraId="13E3591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5236E554" w14:textId="77777777" w:rsidTr="002D030C">
        <w:trPr>
          <w:trHeight w:val="567"/>
        </w:trPr>
        <w:tc>
          <w:tcPr>
            <w:tcW w:w="1831" w:type="dxa"/>
            <w:vAlign w:val="center"/>
          </w:tcPr>
          <w:p w14:paraId="42315D1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3E</w:t>
            </w:r>
          </w:p>
        </w:tc>
        <w:tc>
          <w:tcPr>
            <w:tcW w:w="3925" w:type="dxa"/>
            <w:vAlign w:val="center"/>
          </w:tcPr>
          <w:p w14:paraId="7ACD68A9"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mRNA levels of AdipoR1</w:t>
            </w:r>
          </w:p>
        </w:tc>
        <w:tc>
          <w:tcPr>
            <w:tcW w:w="2579" w:type="dxa"/>
            <w:vAlign w:val="center"/>
          </w:tcPr>
          <w:p w14:paraId="353520C5"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3E58E632" w14:textId="77777777" w:rsidTr="002D030C">
        <w:trPr>
          <w:trHeight w:val="567"/>
        </w:trPr>
        <w:tc>
          <w:tcPr>
            <w:tcW w:w="1831" w:type="dxa"/>
            <w:vAlign w:val="center"/>
          </w:tcPr>
          <w:p w14:paraId="1F08B776"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3G</w:t>
            </w:r>
          </w:p>
        </w:tc>
        <w:tc>
          <w:tcPr>
            <w:tcW w:w="3925" w:type="dxa"/>
            <w:vAlign w:val="center"/>
          </w:tcPr>
          <w:p w14:paraId="2C72EB95"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AdipoR1</w:t>
            </w:r>
          </w:p>
        </w:tc>
        <w:tc>
          <w:tcPr>
            <w:tcW w:w="2579" w:type="dxa"/>
            <w:vAlign w:val="center"/>
          </w:tcPr>
          <w:p w14:paraId="4FC47211"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4F03A30E" w14:textId="77777777" w:rsidTr="002D030C">
        <w:trPr>
          <w:trHeight w:val="567"/>
        </w:trPr>
        <w:tc>
          <w:tcPr>
            <w:tcW w:w="1831" w:type="dxa"/>
            <w:vAlign w:val="center"/>
          </w:tcPr>
          <w:p w14:paraId="7383D4D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3H</w:t>
            </w:r>
          </w:p>
        </w:tc>
        <w:tc>
          <w:tcPr>
            <w:tcW w:w="3925" w:type="dxa"/>
            <w:vAlign w:val="center"/>
          </w:tcPr>
          <w:p w14:paraId="238943A7"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mRNA levels of AdipoR2</w:t>
            </w:r>
          </w:p>
        </w:tc>
        <w:tc>
          <w:tcPr>
            <w:tcW w:w="2579" w:type="dxa"/>
            <w:vAlign w:val="center"/>
          </w:tcPr>
          <w:p w14:paraId="63F527C5"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0.586</w:t>
            </w:r>
          </w:p>
        </w:tc>
      </w:tr>
      <w:tr w:rsidR="00D6459D" w:rsidRPr="00757FC5" w14:paraId="549CEE01" w14:textId="77777777" w:rsidTr="002D030C">
        <w:trPr>
          <w:trHeight w:val="567"/>
        </w:trPr>
        <w:tc>
          <w:tcPr>
            <w:tcW w:w="1831" w:type="dxa"/>
            <w:vAlign w:val="center"/>
          </w:tcPr>
          <w:p w14:paraId="59933EE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3J</w:t>
            </w:r>
          </w:p>
        </w:tc>
        <w:tc>
          <w:tcPr>
            <w:tcW w:w="3925" w:type="dxa"/>
            <w:vAlign w:val="center"/>
          </w:tcPr>
          <w:p w14:paraId="00E11690"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AdipoR2</w:t>
            </w:r>
          </w:p>
        </w:tc>
        <w:tc>
          <w:tcPr>
            <w:tcW w:w="2579" w:type="dxa"/>
            <w:vAlign w:val="center"/>
          </w:tcPr>
          <w:p w14:paraId="562B425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0.282</w:t>
            </w:r>
          </w:p>
        </w:tc>
      </w:tr>
      <w:tr w:rsidR="00D6459D" w:rsidRPr="00757FC5" w14:paraId="1A33D258" w14:textId="77777777" w:rsidTr="002D030C">
        <w:trPr>
          <w:trHeight w:val="567"/>
        </w:trPr>
        <w:tc>
          <w:tcPr>
            <w:tcW w:w="1831" w:type="dxa"/>
            <w:vAlign w:val="center"/>
          </w:tcPr>
          <w:p w14:paraId="23637EF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3K</w:t>
            </w:r>
          </w:p>
        </w:tc>
        <w:tc>
          <w:tcPr>
            <w:tcW w:w="3925" w:type="dxa"/>
            <w:vAlign w:val="center"/>
          </w:tcPr>
          <w:p w14:paraId="3B0ACB6F"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 xml:space="preserve">The adiponectin mRNA levels in </w:t>
            </w:r>
            <w:proofErr w:type="spellStart"/>
            <w:r w:rsidRPr="00757FC5">
              <w:rPr>
                <w:rFonts w:ascii="Arial" w:eastAsia="楷体" w:hAnsi="Arial" w:cs="Arial"/>
                <w:kern w:val="0"/>
                <w:sz w:val="24"/>
                <w:szCs w:val="24"/>
              </w:rPr>
              <w:t>eWAT</w:t>
            </w:r>
            <w:proofErr w:type="spellEnd"/>
          </w:p>
        </w:tc>
        <w:tc>
          <w:tcPr>
            <w:tcW w:w="2579" w:type="dxa"/>
            <w:vAlign w:val="center"/>
          </w:tcPr>
          <w:p w14:paraId="282B24E9"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0.162</w:t>
            </w:r>
          </w:p>
        </w:tc>
      </w:tr>
      <w:tr w:rsidR="00D6459D" w:rsidRPr="00757FC5" w14:paraId="2EBCF3AD" w14:textId="77777777" w:rsidTr="002D030C">
        <w:trPr>
          <w:trHeight w:val="567"/>
        </w:trPr>
        <w:tc>
          <w:tcPr>
            <w:tcW w:w="1831" w:type="dxa"/>
            <w:vMerge w:val="restart"/>
            <w:vAlign w:val="center"/>
          </w:tcPr>
          <w:p w14:paraId="51192953"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3L</w:t>
            </w:r>
          </w:p>
        </w:tc>
        <w:tc>
          <w:tcPr>
            <w:tcW w:w="3925" w:type="dxa"/>
            <w:vAlign w:val="center"/>
          </w:tcPr>
          <w:p w14:paraId="4D532733"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total adiponectin in the plasma</w:t>
            </w:r>
          </w:p>
        </w:tc>
        <w:tc>
          <w:tcPr>
            <w:tcW w:w="2579" w:type="dxa"/>
            <w:vAlign w:val="center"/>
          </w:tcPr>
          <w:p w14:paraId="0A13A566"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0.900</w:t>
            </w:r>
          </w:p>
        </w:tc>
      </w:tr>
      <w:tr w:rsidR="00D6459D" w:rsidRPr="00757FC5" w14:paraId="20A8EEFD" w14:textId="77777777" w:rsidTr="002D030C">
        <w:trPr>
          <w:trHeight w:val="567"/>
        </w:trPr>
        <w:tc>
          <w:tcPr>
            <w:tcW w:w="1831" w:type="dxa"/>
            <w:vMerge/>
            <w:vAlign w:val="center"/>
          </w:tcPr>
          <w:p w14:paraId="21DD017A"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368E5FB1"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HMW adiponectin in the plasma</w:t>
            </w:r>
          </w:p>
        </w:tc>
        <w:tc>
          <w:tcPr>
            <w:tcW w:w="2579" w:type="dxa"/>
            <w:vAlign w:val="center"/>
          </w:tcPr>
          <w:p w14:paraId="0EF9CFE3"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0.162</w:t>
            </w:r>
          </w:p>
        </w:tc>
      </w:tr>
      <w:tr w:rsidR="00D6459D" w:rsidRPr="00757FC5" w14:paraId="15508288" w14:textId="77777777" w:rsidTr="002D030C">
        <w:trPr>
          <w:trHeight w:val="567"/>
        </w:trPr>
        <w:tc>
          <w:tcPr>
            <w:tcW w:w="1831" w:type="dxa"/>
            <w:vMerge/>
            <w:vAlign w:val="center"/>
          </w:tcPr>
          <w:p w14:paraId="0BE52A3E"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71924731"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MMW and LWM adiponectin in the plasma</w:t>
            </w:r>
          </w:p>
        </w:tc>
        <w:tc>
          <w:tcPr>
            <w:tcW w:w="2579" w:type="dxa"/>
            <w:vAlign w:val="center"/>
          </w:tcPr>
          <w:p w14:paraId="13C20542"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0.890</w:t>
            </w:r>
          </w:p>
        </w:tc>
      </w:tr>
      <w:tr w:rsidR="00D6459D" w:rsidRPr="00757FC5" w14:paraId="0C2505D1" w14:textId="77777777" w:rsidTr="002D030C">
        <w:trPr>
          <w:trHeight w:val="567"/>
        </w:trPr>
        <w:tc>
          <w:tcPr>
            <w:tcW w:w="1831" w:type="dxa"/>
            <w:vMerge w:val="restart"/>
            <w:vAlign w:val="center"/>
          </w:tcPr>
          <w:p w14:paraId="4CAC4ECE"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3M</w:t>
            </w:r>
          </w:p>
        </w:tc>
        <w:tc>
          <w:tcPr>
            <w:tcW w:w="3925" w:type="dxa"/>
            <w:vAlign w:val="center"/>
          </w:tcPr>
          <w:p w14:paraId="095825E8"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total adiponectin in the CSF</w:t>
            </w:r>
          </w:p>
        </w:tc>
        <w:tc>
          <w:tcPr>
            <w:tcW w:w="2579" w:type="dxa"/>
            <w:vAlign w:val="center"/>
          </w:tcPr>
          <w:p w14:paraId="15B2EC6E"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0.434</w:t>
            </w:r>
          </w:p>
        </w:tc>
      </w:tr>
      <w:tr w:rsidR="00D6459D" w:rsidRPr="00757FC5" w14:paraId="285AB706" w14:textId="77777777" w:rsidTr="002D030C">
        <w:trPr>
          <w:trHeight w:val="567"/>
        </w:trPr>
        <w:tc>
          <w:tcPr>
            <w:tcW w:w="1831" w:type="dxa"/>
            <w:vMerge/>
            <w:vAlign w:val="center"/>
          </w:tcPr>
          <w:p w14:paraId="035CCBD7"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1A04B154"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HMW adiponectin in the CSF</w:t>
            </w:r>
          </w:p>
        </w:tc>
        <w:tc>
          <w:tcPr>
            <w:tcW w:w="2579" w:type="dxa"/>
            <w:vAlign w:val="center"/>
          </w:tcPr>
          <w:p w14:paraId="41139C29"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0.142</w:t>
            </w:r>
          </w:p>
        </w:tc>
      </w:tr>
      <w:tr w:rsidR="00D6459D" w:rsidRPr="00757FC5" w14:paraId="21954EB3" w14:textId="77777777" w:rsidTr="002D030C">
        <w:trPr>
          <w:trHeight w:val="567"/>
        </w:trPr>
        <w:tc>
          <w:tcPr>
            <w:tcW w:w="1831" w:type="dxa"/>
            <w:vMerge/>
            <w:vAlign w:val="center"/>
          </w:tcPr>
          <w:p w14:paraId="3B2C2AC3"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28713C8E"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The concentrations of MMW and LWM adiponectin in the CSF</w:t>
            </w:r>
          </w:p>
        </w:tc>
        <w:tc>
          <w:tcPr>
            <w:tcW w:w="2579" w:type="dxa"/>
            <w:vAlign w:val="center"/>
          </w:tcPr>
          <w:p w14:paraId="1B2CD28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0.627</w:t>
            </w:r>
          </w:p>
        </w:tc>
      </w:tr>
      <w:tr w:rsidR="00D6459D" w:rsidRPr="00757FC5" w14:paraId="245D8DF0" w14:textId="77777777" w:rsidTr="002D030C">
        <w:trPr>
          <w:trHeight w:val="567"/>
        </w:trPr>
        <w:tc>
          <w:tcPr>
            <w:tcW w:w="8335" w:type="dxa"/>
            <w:gridSpan w:val="3"/>
            <w:vAlign w:val="center"/>
          </w:tcPr>
          <w:p w14:paraId="77F8F1B4"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p>
        </w:tc>
      </w:tr>
      <w:tr w:rsidR="00D6459D" w:rsidRPr="00757FC5" w14:paraId="5DB51B28" w14:textId="77777777" w:rsidTr="002D030C">
        <w:trPr>
          <w:trHeight w:val="567"/>
        </w:trPr>
        <w:tc>
          <w:tcPr>
            <w:tcW w:w="1831" w:type="dxa"/>
            <w:vMerge w:val="restart"/>
            <w:vAlign w:val="center"/>
          </w:tcPr>
          <w:p w14:paraId="341AFA4B"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B</w:t>
            </w:r>
          </w:p>
        </w:tc>
        <w:tc>
          <w:tcPr>
            <w:tcW w:w="3925" w:type="dxa"/>
            <w:vMerge w:val="restart"/>
            <w:vAlign w:val="center"/>
          </w:tcPr>
          <w:p w14:paraId="0A00DB60"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 xml:space="preserve">Number of </w:t>
            </w:r>
            <w:proofErr w:type="spellStart"/>
            <w:r w:rsidRPr="00757FC5">
              <w:rPr>
                <w:rFonts w:ascii="Arial" w:eastAsia="楷体" w:hAnsi="Arial" w:cs="Arial"/>
                <w:kern w:val="0"/>
                <w:sz w:val="24"/>
                <w:szCs w:val="24"/>
              </w:rPr>
              <w:t>spinophilin</w:t>
            </w:r>
            <w:proofErr w:type="spellEnd"/>
            <w:r w:rsidRPr="00757FC5">
              <w:rPr>
                <w:rFonts w:ascii="Arial" w:eastAsia="楷体" w:hAnsi="Arial" w:cs="Arial"/>
                <w:kern w:val="0"/>
                <w:sz w:val="24"/>
                <w:szCs w:val="24"/>
              </w:rPr>
              <w:t>-immunoreactive puncta</w:t>
            </w:r>
          </w:p>
        </w:tc>
        <w:tc>
          <w:tcPr>
            <w:tcW w:w="2579" w:type="dxa"/>
            <w:vAlign w:val="center"/>
          </w:tcPr>
          <w:p w14:paraId="5DECBA54"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07E44F22" w14:textId="77777777" w:rsidTr="002D030C">
        <w:trPr>
          <w:trHeight w:val="567"/>
        </w:trPr>
        <w:tc>
          <w:tcPr>
            <w:tcW w:w="1831" w:type="dxa"/>
            <w:vMerge/>
            <w:vAlign w:val="center"/>
          </w:tcPr>
          <w:p w14:paraId="07DFA3ED"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29A07F22"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0D3A127F"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0.94</w:t>
            </w:r>
          </w:p>
        </w:tc>
      </w:tr>
      <w:tr w:rsidR="00D6459D" w:rsidRPr="00757FC5" w14:paraId="6D9E26BC" w14:textId="77777777" w:rsidTr="002D030C">
        <w:trPr>
          <w:trHeight w:val="567"/>
        </w:trPr>
        <w:tc>
          <w:tcPr>
            <w:tcW w:w="1831" w:type="dxa"/>
            <w:vMerge/>
            <w:vAlign w:val="center"/>
          </w:tcPr>
          <w:p w14:paraId="5CBC7948"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4585A642"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3348096B"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DG: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3A486E61" w14:textId="77777777" w:rsidTr="002D030C">
        <w:trPr>
          <w:trHeight w:val="567"/>
        </w:trPr>
        <w:tc>
          <w:tcPr>
            <w:tcW w:w="1831" w:type="dxa"/>
            <w:vAlign w:val="center"/>
          </w:tcPr>
          <w:p w14:paraId="6740E478"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D</w:t>
            </w:r>
          </w:p>
        </w:tc>
        <w:tc>
          <w:tcPr>
            <w:tcW w:w="3925" w:type="dxa"/>
            <w:vAlign w:val="center"/>
          </w:tcPr>
          <w:p w14:paraId="3F89B845"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MAP2</w:t>
            </w:r>
          </w:p>
        </w:tc>
        <w:tc>
          <w:tcPr>
            <w:tcW w:w="2579" w:type="dxa"/>
            <w:vAlign w:val="center"/>
          </w:tcPr>
          <w:p w14:paraId="216EFF64"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66A662AA" w14:textId="77777777" w:rsidTr="002D030C">
        <w:trPr>
          <w:trHeight w:val="567"/>
        </w:trPr>
        <w:tc>
          <w:tcPr>
            <w:tcW w:w="1831" w:type="dxa"/>
            <w:vMerge w:val="restart"/>
            <w:vAlign w:val="center"/>
          </w:tcPr>
          <w:p w14:paraId="07BF4AEB"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F</w:t>
            </w:r>
          </w:p>
        </w:tc>
        <w:tc>
          <w:tcPr>
            <w:tcW w:w="3925" w:type="dxa"/>
            <w:vAlign w:val="center"/>
          </w:tcPr>
          <w:p w14:paraId="50A9DE61"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expression levels of PSD95</w:t>
            </w:r>
          </w:p>
        </w:tc>
        <w:tc>
          <w:tcPr>
            <w:tcW w:w="2579" w:type="dxa"/>
            <w:vAlign w:val="center"/>
          </w:tcPr>
          <w:p w14:paraId="1FC5143E"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5C8CFD94" w14:textId="77777777" w:rsidTr="002D030C">
        <w:trPr>
          <w:trHeight w:val="567"/>
        </w:trPr>
        <w:tc>
          <w:tcPr>
            <w:tcW w:w="1831" w:type="dxa"/>
            <w:vMerge/>
            <w:vAlign w:val="center"/>
          </w:tcPr>
          <w:p w14:paraId="1824134A"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3B04B734"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expression levels of Synapsin1</w:t>
            </w:r>
          </w:p>
        </w:tc>
        <w:tc>
          <w:tcPr>
            <w:tcW w:w="2579" w:type="dxa"/>
            <w:vAlign w:val="center"/>
          </w:tcPr>
          <w:p w14:paraId="3EF51E02"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3481A647" w14:textId="77777777" w:rsidTr="002D030C">
        <w:trPr>
          <w:trHeight w:val="567"/>
        </w:trPr>
        <w:tc>
          <w:tcPr>
            <w:tcW w:w="1831" w:type="dxa"/>
            <w:vAlign w:val="center"/>
          </w:tcPr>
          <w:p w14:paraId="27E90237"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H</w:t>
            </w:r>
          </w:p>
        </w:tc>
        <w:tc>
          <w:tcPr>
            <w:tcW w:w="3925" w:type="dxa"/>
            <w:vAlign w:val="center"/>
          </w:tcPr>
          <w:p w14:paraId="3106BD97"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Protein levels of Gephyrin</w:t>
            </w:r>
          </w:p>
        </w:tc>
        <w:tc>
          <w:tcPr>
            <w:tcW w:w="2579" w:type="dxa"/>
            <w:vAlign w:val="center"/>
          </w:tcPr>
          <w:p w14:paraId="6AA419E0"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0A325BED" w14:textId="77777777" w:rsidTr="002D030C">
        <w:trPr>
          <w:trHeight w:val="567"/>
        </w:trPr>
        <w:tc>
          <w:tcPr>
            <w:tcW w:w="1831" w:type="dxa"/>
            <w:vMerge w:val="restart"/>
            <w:vAlign w:val="center"/>
          </w:tcPr>
          <w:p w14:paraId="6CD4CDF4"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M</w:t>
            </w:r>
          </w:p>
        </w:tc>
        <w:tc>
          <w:tcPr>
            <w:tcW w:w="3925" w:type="dxa"/>
            <w:vMerge w:val="restart"/>
            <w:vAlign w:val="center"/>
          </w:tcPr>
          <w:p w14:paraId="3AEDF384"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MAP2</w:t>
            </w:r>
            <w:r w:rsidRPr="00757FC5">
              <w:rPr>
                <w:rFonts w:ascii="Arial" w:eastAsia="楷体" w:hAnsi="Arial" w:cs="Arial"/>
                <w:kern w:val="0"/>
                <w:sz w:val="24"/>
                <w:szCs w:val="24"/>
                <w:vertAlign w:val="superscript"/>
              </w:rPr>
              <w:t>+</w:t>
            </w:r>
            <w:r w:rsidRPr="00757FC5">
              <w:rPr>
                <w:rFonts w:ascii="Arial" w:eastAsia="楷体" w:hAnsi="Arial" w:cs="Arial"/>
                <w:kern w:val="0"/>
                <w:sz w:val="24"/>
                <w:szCs w:val="24"/>
              </w:rPr>
              <w:t>/PSD95</w:t>
            </w:r>
            <w:r w:rsidRPr="00757FC5">
              <w:rPr>
                <w:rFonts w:ascii="Arial" w:eastAsia="楷体" w:hAnsi="Arial" w:cs="Arial"/>
                <w:kern w:val="0"/>
                <w:sz w:val="24"/>
                <w:szCs w:val="24"/>
                <w:vertAlign w:val="superscript"/>
              </w:rPr>
              <w:t>+</w:t>
            </w:r>
          </w:p>
        </w:tc>
        <w:tc>
          <w:tcPr>
            <w:tcW w:w="2579" w:type="dxa"/>
            <w:vAlign w:val="center"/>
          </w:tcPr>
          <w:p w14:paraId="55A3DBC1"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14881338" w14:textId="77777777" w:rsidTr="002D030C">
        <w:trPr>
          <w:trHeight w:val="567"/>
        </w:trPr>
        <w:tc>
          <w:tcPr>
            <w:tcW w:w="1831" w:type="dxa"/>
            <w:vMerge/>
            <w:vAlign w:val="center"/>
          </w:tcPr>
          <w:p w14:paraId="48FD3A49"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35B1DC49"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035CA73A"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3DF38D13" w14:textId="77777777" w:rsidTr="002D030C">
        <w:trPr>
          <w:trHeight w:val="567"/>
        </w:trPr>
        <w:tc>
          <w:tcPr>
            <w:tcW w:w="1831" w:type="dxa"/>
            <w:vMerge/>
            <w:vAlign w:val="center"/>
          </w:tcPr>
          <w:p w14:paraId="43561932"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59116270"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0AFA4346"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2A2EA7A4" w14:textId="77777777" w:rsidTr="002D030C">
        <w:trPr>
          <w:trHeight w:val="567"/>
        </w:trPr>
        <w:tc>
          <w:tcPr>
            <w:tcW w:w="1831" w:type="dxa"/>
            <w:vMerge w:val="restart"/>
            <w:vAlign w:val="center"/>
          </w:tcPr>
          <w:p w14:paraId="4377F808" w14:textId="77777777" w:rsidR="00D6459D" w:rsidRPr="00757FC5" w:rsidRDefault="00D6459D" w:rsidP="002D030C">
            <w:pPr>
              <w:jc w:val="center"/>
              <w:rPr>
                <w:rFonts w:ascii="Arial" w:eastAsia="宋体" w:hAnsi="Arial" w:cs="Arial"/>
                <w:kern w:val="0"/>
                <w:sz w:val="24"/>
                <w:szCs w:val="24"/>
              </w:rPr>
            </w:pPr>
            <w:r w:rsidRPr="00757FC5">
              <w:rPr>
                <w:rFonts w:ascii="Arial" w:eastAsia="楷体" w:hAnsi="Arial" w:cs="Arial"/>
                <w:kern w:val="0"/>
                <w:sz w:val="24"/>
                <w:szCs w:val="24"/>
              </w:rPr>
              <w:t xml:space="preserve">Fig. </w:t>
            </w:r>
            <w:r>
              <w:rPr>
                <w:rFonts w:ascii="Arial" w:eastAsia="楷体" w:hAnsi="Arial" w:cs="Arial" w:hint="eastAsia"/>
                <w:kern w:val="0"/>
                <w:sz w:val="24"/>
                <w:szCs w:val="24"/>
              </w:rPr>
              <w:t>4</w:t>
            </w:r>
            <w:r w:rsidRPr="00757FC5">
              <w:rPr>
                <w:rFonts w:ascii="Arial" w:eastAsia="楷体" w:hAnsi="Arial" w:cs="Arial"/>
                <w:kern w:val="0"/>
                <w:sz w:val="24"/>
                <w:szCs w:val="24"/>
              </w:rPr>
              <w:t>N</w:t>
            </w:r>
          </w:p>
        </w:tc>
        <w:tc>
          <w:tcPr>
            <w:tcW w:w="3925" w:type="dxa"/>
            <w:vMerge w:val="restart"/>
            <w:vAlign w:val="center"/>
          </w:tcPr>
          <w:p w14:paraId="6C73147C"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MAP2</w:t>
            </w:r>
            <w:r w:rsidRPr="00757FC5">
              <w:rPr>
                <w:rFonts w:ascii="Arial" w:eastAsia="楷体" w:hAnsi="Arial" w:cs="Arial"/>
                <w:kern w:val="0"/>
                <w:sz w:val="24"/>
                <w:szCs w:val="24"/>
                <w:vertAlign w:val="superscript"/>
              </w:rPr>
              <w:t>+</w:t>
            </w:r>
            <w:r w:rsidRPr="00757FC5">
              <w:rPr>
                <w:rFonts w:ascii="Arial" w:eastAsia="楷体" w:hAnsi="Arial" w:cs="Arial"/>
                <w:kern w:val="0"/>
                <w:sz w:val="24"/>
                <w:szCs w:val="24"/>
              </w:rPr>
              <w:t>/Gephyrin</w:t>
            </w:r>
            <w:r w:rsidRPr="00757FC5">
              <w:rPr>
                <w:rFonts w:ascii="Arial" w:eastAsia="楷体" w:hAnsi="Arial" w:cs="Arial"/>
                <w:kern w:val="0"/>
                <w:sz w:val="24"/>
                <w:szCs w:val="24"/>
                <w:vertAlign w:val="superscript"/>
              </w:rPr>
              <w:t>+</w:t>
            </w:r>
          </w:p>
        </w:tc>
        <w:tc>
          <w:tcPr>
            <w:tcW w:w="2579" w:type="dxa"/>
            <w:vAlign w:val="center"/>
          </w:tcPr>
          <w:p w14:paraId="15E5C120"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4E31C4C0" w14:textId="77777777" w:rsidTr="002D030C">
        <w:trPr>
          <w:trHeight w:val="567"/>
        </w:trPr>
        <w:tc>
          <w:tcPr>
            <w:tcW w:w="1831" w:type="dxa"/>
            <w:vMerge/>
            <w:vAlign w:val="center"/>
          </w:tcPr>
          <w:p w14:paraId="5AE20F33"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2D6E0274"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7060D755"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0.05</w:t>
            </w:r>
          </w:p>
        </w:tc>
      </w:tr>
      <w:tr w:rsidR="00D6459D" w:rsidRPr="00757FC5" w14:paraId="5F496DD8" w14:textId="77777777" w:rsidTr="002D030C">
        <w:trPr>
          <w:trHeight w:val="567"/>
        </w:trPr>
        <w:tc>
          <w:tcPr>
            <w:tcW w:w="1831" w:type="dxa"/>
            <w:vMerge/>
            <w:vAlign w:val="center"/>
          </w:tcPr>
          <w:p w14:paraId="6655D0BD"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0535DE72"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7EA37195"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 xml:space="preserve">DG: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0.01</w:t>
            </w:r>
          </w:p>
        </w:tc>
      </w:tr>
      <w:tr w:rsidR="00D6459D" w:rsidRPr="00757FC5" w14:paraId="0AAD8D19" w14:textId="77777777" w:rsidTr="002D030C">
        <w:trPr>
          <w:trHeight w:val="567"/>
        </w:trPr>
        <w:tc>
          <w:tcPr>
            <w:tcW w:w="8335" w:type="dxa"/>
            <w:gridSpan w:val="3"/>
            <w:vAlign w:val="center"/>
          </w:tcPr>
          <w:p w14:paraId="1F07D61B"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xml:space="preserve">. </w:t>
            </w:r>
            <w:r w:rsidRPr="00757FC5">
              <w:rPr>
                <w:rFonts w:ascii="Arial" w:hAnsi="Arial" w:cs="Arial"/>
                <w:bCs/>
                <w:sz w:val="24"/>
                <w:szCs w:val="24"/>
              </w:rPr>
              <w:t>2</w:t>
            </w:r>
          </w:p>
        </w:tc>
      </w:tr>
      <w:tr w:rsidR="00D6459D" w:rsidRPr="00757FC5" w14:paraId="41917927" w14:textId="77777777" w:rsidTr="002D030C">
        <w:trPr>
          <w:trHeight w:val="567"/>
        </w:trPr>
        <w:tc>
          <w:tcPr>
            <w:tcW w:w="1831" w:type="dxa"/>
            <w:vMerge w:val="restart"/>
            <w:vAlign w:val="center"/>
          </w:tcPr>
          <w:p w14:paraId="3F0AAFE7" w14:textId="77777777" w:rsidR="00D6459D" w:rsidRPr="00757FC5" w:rsidRDefault="00D6459D" w:rsidP="002D030C">
            <w:pPr>
              <w:jc w:val="center"/>
              <w:rPr>
                <w:rFonts w:ascii="Arial" w:eastAsia="宋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xml:space="preserve">. </w:t>
            </w:r>
            <w:r w:rsidRPr="00757FC5">
              <w:rPr>
                <w:rFonts w:ascii="Arial" w:hAnsi="Arial" w:cs="Arial"/>
                <w:bCs/>
                <w:sz w:val="24"/>
                <w:szCs w:val="24"/>
              </w:rPr>
              <w:t>2</w:t>
            </w:r>
            <w:r>
              <w:rPr>
                <w:rFonts w:ascii="Arial" w:eastAsia="楷体" w:hAnsi="Arial" w:cs="Arial" w:hint="eastAsia"/>
                <w:kern w:val="0"/>
                <w:sz w:val="24"/>
                <w:szCs w:val="24"/>
              </w:rPr>
              <w:t>A</w:t>
            </w:r>
          </w:p>
        </w:tc>
        <w:tc>
          <w:tcPr>
            <w:tcW w:w="3925" w:type="dxa"/>
            <w:vAlign w:val="center"/>
          </w:tcPr>
          <w:p w14:paraId="180B171F"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2</w:t>
            </w:r>
            <w:r w:rsidRPr="00757FC5">
              <w:rPr>
                <w:rFonts w:ascii="Arial" w:eastAsia="楷体" w:hAnsi="Arial" w:cs="Arial"/>
                <w:kern w:val="0"/>
                <w:sz w:val="24"/>
                <w:szCs w:val="24"/>
                <w:vertAlign w:val="superscript"/>
              </w:rPr>
              <w:t>nd</w:t>
            </w:r>
            <w:r w:rsidRPr="00757FC5">
              <w:rPr>
                <w:rFonts w:ascii="Arial" w:eastAsia="楷体" w:hAnsi="Arial" w:cs="Arial"/>
                <w:kern w:val="0"/>
                <w:sz w:val="24"/>
                <w:szCs w:val="24"/>
              </w:rPr>
              <w:t xml:space="preserve"> week)</w:t>
            </w:r>
          </w:p>
        </w:tc>
        <w:tc>
          <w:tcPr>
            <w:tcW w:w="2579" w:type="dxa"/>
            <w:vAlign w:val="center"/>
          </w:tcPr>
          <w:p w14:paraId="7C82D0CE"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07672F16" w14:textId="77777777" w:rsidTr="002D030C">
        <w:trPr>
          <w:trHeight w:val="567"/>
        </w:trPr>
        <w:tc>
          <w:tcPr>
            <w:tcW w:w="1831" w:type="dxa"/>
            <w:vMerge/>
            <w:vAlign w:val="center"/>
          </w:tcPr>
          <w:p w14:paraId="04E1B300"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619CB4B4"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3</w:t>
            </w:r>
            <w:r w:rsidRPr="00757FC5">
              <w:rPr>
                <w:rFonts w:ascii="Arial" w:eastAsia="楷体" w:hAnsi="Arial" w:cs="Arial"/>
                <w:kern w:val="0"/>
                <w:sz w:val="24"/>
                <w:szCs w:val="24"/>
                <w:vertAlign w:val="superscript"/>
              </w:rPr>
              <w:t>rd</w:t>
            </w:r>
            <w:r w:rsidRPr="00757FC5">
              <w:rPr>
                <w:rFonts w:ascii="Arial" w:eastAsia="楷体" w:hAnsi="Arial" w:cs="Arial"/>
                <w:kern w:val="0"/>
                <w:sz w:val="24"/>
                <w:szCs w:val="24"/>
              </w:rPr>
              <w:t xml:space="preserve"> week)</w:t>
            </w:r>
          </w:p>
        </w:tc>
        <w:tc>
          <w:tcPr>
            <w:tcW w:w="2579" w:type="dxa"/>
            <w:vAlign w:val="center"/>
          </w:tcPr>
          <w:p w14:paraId="53CD55F3"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1FC89245" w14:textId="77777777" w:rsidTr="002D030C">
        <w:trPr>
          <w:trHeight w:val="567"/>
        </w:trPr>
        <w:tc>
          <w:tcPr>
            <w:tcW w:w="1831" w:type="dxa"/>
            <w:vMerge/>
            <w:vAlign w:val="center"/>
          </w:tcPr>
          <w:p w14:paraId="1C86105F"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5E2EDAE3"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4</w:t>
            </w:r>
            <w:r w:rsidRPr="00757FC5">
              <w:rPr>
                <w:rFonts w:ascii="Arial" w:eastAsia="楷体" w:hAnsi="Arial" w:cs="Arial"/>
                <w:kern w:val="0"/>
                <w:sz w:val="24"/>
                <w:szCs w:val="24"/>
                <w:vertAlign w:val="superscript"/>
              </w:rPr>
              <w:t>th</w:t>
            </w:r>
            <w:r w:rsidRPr="00757FC5">
              <w:rPr>
                <w:rFonts w:ascii="Arial" w:eastAsia="楷体" w:hAnsi="Arial" w:cs="Arial"/>
                <w:kern w:val="0"/>
                <w:sz w:val="24"/>
                <w:szCs w:val="24"/>
              </w:rPr>
              <w:t xml:space="preserve"> week)</w:t>
            </w:r>
          </w:p>
        </w:tc>
        <w:tc>
          <w:tcPr>
            <w:tcW w:w="2579" w:type="dxa"/>
            <w:vAlign w:val="center"/>
          </w:tcPr>
          <w:p w14:paraId="4690102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 xml:space="preserve">P &lt; </w:t>
            </w:r>
            <w:r w:rsidRPr="00757FC5">
              <w:rPr>
                <w:rFonts w:ascii="Arial" w:eastAsia="楷体" w:hAnsi="Arial" w:cs="Arial"/>
                <w:kern w:val="0"/>
                <w:sz w:val="24"/>
                <w:szCs w:val="24"/>
              </w:rPr>
              <w:t>0.001</w:t>
            </w:r>
          </w:p>
        </w:tc>
      </w:tr>
      <w:tr w:rsidR="00D6459D" w:rsidRPr="00757FC5" w14:paraId="4EF18F25" w14:textId="77777777" w:rsidTr="002D030C">
        <w:trPr>
          <w:trHeight w:val="567"/>
        </w:trPr>
        <w:tc>
          <w:tcPr>
            <w:tcW w:w="1831" w:type="dxa"/>
            <w:vAlign w:val="center"/>
          </w:tcPr>
          <w:p w14:paraId="6CA01C55" w14:textId="77777777" w:rsidR="00D6459D" w:rsidRPr="00757FC5" w:rsidRDefault="00D6459D" w:rsidP="002D030C">
            <w:pPr>
              <w:jc w:val="center"/>
              <w:rPr>
                <w:rFonts w:ascii="Arial" w:eastAsia="宋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xml:space="preserve">. </w:t>
            </w:r>
            <w:r w:rsidRPr="00757FC5">
              <w:rPr>
                <w:rFonts w:ascii="Arial" w:hAnsi="Arial" w:cs="Arial"/>
                <w:bCs/>
                <w:sz w:val="24"/>
                <w:szCs w:val="24"/>
              </w:rPr>
              <w:t>2</w:t>
            </w:r>
            <w:r>
              <w:rPr>
                <w:rFonts w:ascii="Arial" w:eastAsia="楷体" w:hAnsi="Arial" w:cs="Arial" w:hint="eastAsia"/>
                <w:kern w:val="0"/>
                <w:sz w:val="24"/>
                <w:szCs w:val="24"/>
              </w:rPr>
              <w:t>B</w:t>
            </w:r>
          </w:p>
        </w:tc>
        <w:tc>
          <w:tcPr>
            <w:tcW w:w="3925" w:type="dxa"/>
            <w:vAlign w:val="center"/>
          </w:tcPr>
          <w:p w14:paraId="556BDCB8" w14:textId="77777777" w:rsidR="00D6459D" w:rsidRPr="00757FC5" w:rsidRDefault="00D6459D" w:rsidP="002D030C">
            <w:pPr>
              <w:jc w:val="left"/>
              <w:rPr>
                <w:rFonts w:ascii="Arial" w:hAnsi="Arial" w:cs="Arial"/>
                <w:kern w:val="0"/>
                <w:sz w:val="24"/>
                <w:szCs w:val="24"/>
              </w:rPr>
            </w:pPr>
            <w:r w:rsidRPr="00757FC5">
              <w:rPr>
                <w:rFonts w:ascii="Arial" w:hAnsi="Arial" w:cs="Arial"/>
                <w:kern w:val="0"/>
                <w:sz w:val="24"/>
                <w:szCs w:val="24"/>
              </w:rPr>
              <w:t>Immobility time in FST</w:t>
            </w:r>
          </w:p>
        </w:tc>
        <w:tc>
          <w:tcPr>
            <w:tcW w:w="2579" w:type="dxa"/>
            <w:vAlign w:val="center"/>
          </w:tcPr>
          <w:p w14:paraId="25FF51CB"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 =</w:t>
            </w:r>
            <w:r w:rsidRPr="00757FC5">
              <w:rPr>
                <w:rFonts w:ascii="Arial" w:eastAsia="楷体" w:hAnsi="Arial" w:cs="Arial"/>
                <w:kern w:val="0"/>
                <w:sz w:val="24"/>
                <w:szCs w:val="24"/>
              </w:rPr>
              <w:t xml:space="preserve"> 0.404</w:t>
            </w:r>
          </w:p>
        </w:tc>
      </w:tr>
      <w:tr w:rsidR="00D6459D" w:rsidRPr="00757FC5" w14:paraId="2E42DC5D" w14:textId="77777777" w:rsidTr="002D030C">
        <w:trPr>
          <w:trHeight w:val="567"/>
        </w:trPr>
        <w:tc>
          <w:tcPr>
            <w:tcW w:w="8335" w:type="dxa"/>
            <w:gridSpan w:val="3"/>
            <w:vAlign w:val="center"/>
          </w:tcPr>
          <w:p w14:paraId="240D5356"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xml:space="preserve">. </w:t>
            </w:r>
            <w:r>
              <w:rPr>
                <w:rFonts w:ascii="Arial" w:hAnsi="Arial" w:cs="Arial" w:hint="eastAsia"/>
                <w:bCs/>
                <w:sz w:val="24"/>
                <w:szCs w:val="24"/>
              </w:rPr>
              <w:t>3</w:t>
            </w:r>
          </w:p>
        </w:tc>
      </w:tr>
      <w:tr w:rsidR="00D6459D" w:rsidRPr="00757FC5" w14:paraId="291E4FD6" w14:textId="77777777" w:rsidTr="002D030C">
        <w:trPr>
          <w:trHeight w:val="567"/>
        </w:trPr>
        <w:tc>
          <w:tcPr>
            <w:tcW w:w="1831" w:type="dxa"/>
            <w:vMerge w:val="restart"/>
            <w:vAlign w:val="center"/>
          </w:tcPr>
          <w:p w14:paraId="560CB89F"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3</w:t>
            </w:r>
            <w:r w:rsidRPr="00757FC5">
              <w:rPr>
                <w:rFonts w:ascii="Arial" w:hAnsi="Arial" w:cs="Arial"/>
                <w:bCs/>
                <w:sz w:val="24"/>
                <w:szCs w:val="24"/>
              </w:rPr>
              <w:t>B</w:t>
            </w:r>
          </w:p>
        </w:tc>
        <w:tc>
          <w:tcPr>
            <w:tcW w:w="3925" w:type="dxa"/>
            <w:vMerge w:val="restart"/>
            <w:vAlign w:val="center"/>
          </w:tcPr>
          <w:p w14:paraId="411387A0"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MAP2</w:t>
            </w:r>
          </w:p>
        </w:tc>
        <w:tc>
          <w:tcPr>
            <w:tcW w:w="2579" w:type="dxa"/>
            <w:vAlign w:val="center"/>
          </w:tcPr>
          <w:p w14:paraId="2546D321"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7F7A7874" w14:textId="77777777" w:rsidTr="002D030C">
        <w:trPr>
          <w:trHeight w:val="567"/>
        </w:trPr>
        <w:tc>
          <w:tcPr>
            <w:tcW w:w="1831" w:type="dxa"/>
            <w:vMerge/>
            <w:vAlign w:val="center"/>
          </w:tcPr>
          <w:p w14:paraId="0AE99D16"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3F3C0E63"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7E00CB0C"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0F971236" w14:textId="77777777" w:rsidTr="002D030C">
        <w:trPr>
          <w:trHeight w:val="567"/>
        </w:trPr>
        <w:tc>
          <w:tcPr>
            <w:tcW w:w="1831" w:type="dxa"/>
            <w:vMerge/>
            <w:vAlign w:val="center"/>
          </w:tcPr>
          <w:p w14:paraId="186BE5F7"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7E61F6E3"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0F497195"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3B81ED13" w14:textId="77777777" w:rsidTr="002D030C">
        <w:trPr>
          <w:trHeight w:val="567"/>
        </w:trPr>
        <w:tc>
          <w:tcPr>
            <w:tcW w:w="8335" w:type="dxa"/>
            <w:gridSpan w:val="3"/>
            <w:vAlign w:val="center"/>
          </w:tcPr>
          <w:p w14:paraId="31A2541F"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4</w:t>
            </w:r>
          </w:p>
        </w:tc>
      </w:tr>
      <w:tr w:rsidR="00D6459D" w:rsidRPr="00757FC5" w14:paraId="48410D71" w14:textId="77777777" w:rsidTr="002D030C">
        <w:trPr>
          <w:trHeight w:val="567"/>
        </w:trPr>
        <w:tc>
          <w:tcPr>
            <w:tcW w:w="1831" w:type="dxa"/>
            <w:vMerge w:val="restart"/>
            <w:vAlign w:val="center"/>
          </w:tcPr>
          <w:p w14:paraId="0270B425"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4</w:t>
            </w:r>
            <w:r w:rsidRPr="00757FC5">
              <w:rPr>
                <w:rFonts w:ascii="Arial" w:hAnsi="Arial" w:cs="Arial"/>
                <w:bCs/>
                <w:sz w:val="24"/>
                <w:szCs w:val="24"/>
              </w:rPr>
              <w:t>B</w:t>
            </w:r>
          </w:p>
        </w:tc>
        <w:tc>
          <w:tcPr>
            <w:tcW w:w="3925" w:type="dxa"/>
            <w:vMerge w:val="restart"/>
            <w:vAlign w:val="center"/>
          </w:tcPr>
          <w:p w14:paraId="38BB926F"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PSD95</w:t>
            </w:r>
          </w:p>
        </w:tc>
        <w:tc>
          <w:tcPr>
            <w:tcW w:w="2579" w:type="dxa"/>
            <w:vAlign w:val="center"/>
          </w:tcPr>
          <w:p w14:paraId="0EED7F80"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3FA91C80" w14:textId="77777777" w:rsidTr="002D030C">
        <w:trPr>
          <w:trHeight w:val="567"/>
        </w:trPr>
        <w:tc>
          <w:tcPr>
            <w:tcW w:w="1831" w:type="dxa"/>
            <w:vMerge/>
            <w:vAlign w:val="center"/>
          </w:tcPr>
          <w:p w14:paraId="02AD8DE2"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5728C4CF"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52130B66"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CA3:</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0.01</w:t>
            </w:r>
          </w:p>
        </w:tc>
      </w:tr>
      <w:tr w:rsidR="00D6459D" w:rsidRPr="00757FC5" w14:paraId="6FEF8B16" w14:textId="77777777" w:rsidTr="002D030C">
        <w:trPr>
          <w:trHeight w:val="567"/>
        </w:trPr>
        <w:tc>
          <w:tcPr>
            <w:tcW w:w="1831" w:type="dxa"/>
            <w:vMerge/>
            <w:vAlign w:val="center"/>
          </w:tcPr>
          <w:p w14:paraId="55B7292C" w14:textId="77777777" w:rsidR="00D6459D" w:rsidRPr="00757FC5" w:rsidRDefault="00D6459D" w:rsidP="002D030C">
            <w:pPr>
              <w:jc w:val="center"/>
              <w:rPr>
                <w:rFonts w:ascii="Arial" w:eastAsia="楷体" w:hAnsi="Arial" w:cs="Arial"/>
                <w:kern w:val="0"/>
                <w:sz w:val="24"/>
                <w:szCs w:val="24"/>
              </w:rPr>
            </w:pPr>
          </w:p>
        </w:tc>
        <w:tc>
          <w:tcPr>
            <w:tcW w:w="3925" w:type="dxa"/>
            <w:vMerge/>
            <w:vAlign w:val="center"/>
          </w:tcPr>
          <w:p w14:paraId="6EB3728B"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753E3E78"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DG: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49073C6F" w14:textId="77777777" w:rsidTr="002D030C">
        <w:trPr>
          <w:trHeight w:val="567"/>
        </w:trPr>
        <w:tc>
          <w:tcPr>
            <w:tcW w:w="8335" w:type="dxa"/>
            <w:gridSpan w:val="3"/>
            <w:vAlign w:val="center"/>
          </w:tcPr>
          <w:p w14:paraId="53B7B0D2"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5</w:t>
            </w:r>
          </w:p>
        </w:tc>
      </w:tr>
      <w:tr w:rsidR="00D6459D" w:rsidRPr="00757FC5" w14:paraId="1FBCA299" w14:textId="77777777" w:rsidTr="002D030C">
        <w:trPr>
          <w:trHeight w:val="567"/>
        </w:trPr>
        <w:tc>
          <w:tcPr>
            <w:tcW w:w="1831" w:type="dxa"/>
            <w:vMerge w:val="restart"/>
            <w:vAlign w:val="center"/>
          </w:tcPr>
          <w:p w14:paraId="35A6477D" w14:textId="77777777" w:rsidR="00D6459D" w:rsidRPr="00757FC5" w:rsidRDefault="00D6459D" w:rsidP="002D030C">
            <w:pPr>
              <w:jc w:val="center"/>
              <w:rPr>
                <w:rFonts w:ascii="Arial" w:eastAsia="宋体"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5</w:t>
            </w:r>
            <w:r w:rsidRPr="00757FC5">
              <w:rPr>
                <w:rFonts w:ascii="Arial" w:hAnsi="Arial" w:cs="Arial"/>
                <w:bCs/>
                <w:sz w:val="24"/>
                <w:szCs w:val="24"/>
              </w:rPr>
              <w:t>B</w:t>
            </w:r>
          </w:p>
        </w:tc>
        <w:tc>
          <w:tcPr>
            <w:tcW w:w="3925" w:type="dxa"/>
            <w:vMerge w:val="restart"/>
            <w:vAlign w:val="center"/>
          </w:tcPr>
          <w:p w14:paraId="47116618" w14:textId="77777777" w:rsidR="00D6459D" w:rsidRPr="00757FC5" w:rsidRDefault="00D6459D" w:rsidP="002D030C">
            <w:pPr>
              <w:jc w:val="left"/>
              <w:rPr>
                <w:rFonts w:ascii="Arial" w:eastAsia="楷体" w:hAnsi="Arial" w:cs="Arial"/>
                <w:kern w:val="0"/>
                <w:sz w:val="24"/>
                <w:szCs w:val="24"/>
              </w:rPr>
            </w:pPr>
            <w:r w:rsidRPr="00757FC5">
              <w:rPr>
                <w:rFonts w:ascii="Arial" w:eastAsia="楷体" w:hAnsi="Arial" w:cs="Arial"/>
                <w:kern w:val="0"/>
                <w:sz w:val="24"/>
                <w:szCs w:val="24"/>
              </w:rPr>
              <w:t>Immunofluorescence intensity of Gephyrin</w:t>
            </w:r>
          </w:p>
        </w:tc>
        <w:tc>
          <w:tcPr>
            <w:tcW w:w="2579" w:type="dxa"/>
            <w:vAlign w:val="center"/>
          </w:tcPr>
          <w:p w14:paraId="01867ED7"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CA1:</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5B8478B9" w14:textId="77777777" w:rsidTr="002D030C">
        <w:trPr>
          <w:trHeight w:val="567"/>
        </w:trPr>
        <w:tc>
          <w:tcPr>
            <w:tcW w:w="1831" w:type="dxa"/>
            <w:vMerge/>
            <w:vAlign w:val="center"/>
          </w:tcPr>
          <w:p w14:paraId="22B68CAB"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503F4D3B"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2782AF1B"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CA3:</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0.01</w:t>
            </w:r>
          </w:p>
        </w:tc>
      </w:tr>
      <w:tr w:rsidR="00D6459D" w:rsidRPr="00757FC5" w14:paraId="22666F98" w14:textId="77777777" w:rsidTr="002D030C">
        <w:trPr>
          <w:trHeight w:val="567"/>
        </w:trPr>
        <w:tc>
          <w:tcPr>
            <w:tcW w:w="1831" w:type="dxa"/>
            <w:vMerge/>
            <w:vAlign w:val="center"/>
          </w:tcPr>
          <w:p w14:paraId="041829DA" w14:textId="77777777" w:rsidR="00D6459D" w:rsidRPr="00757FC5" w:rsidRDefault="00D6459D" w:rsidP="002D030C">
            <w:pPr>
              <w:jc w:val="center"/>
              <w:rPr>
                <w:rFonts w:ascii="Arial" w:eastAsia="宋体" w:hAnsi="Arial" w:cs="Arial"/>
                <w:kern w:val="0"/>
                <w:sz w:val="24"/>
                <w:szCs w:val="24"/>
              </w:rPr>
            </w:pPr>
          </w:p>
        </w:tc>
        <w:tc>
          <w:tcPr>
            <w:tcW w:w="3925" w:type="dxa"/>
            <w:vMerge/>
            <w:vAlign w:val="center"/>
          </w:tcPr>
          <w:p w14:paraId="2E0A3F1A" w14:textId="77777777" w:rsidR="00D6459D" w:rsidRPr="00757FC5" w:rsidRDefault="00D6459D" w:rsidP="002D030C">
            <w:pPr>
              <w:jc w:val="left"/>
              <w:rPr>
                <w:rFonts w:ascii="Arial" w:eastAsia="楷体" w:hAnsi="Arial" w:cs="Arial"/>
                <w:kern w:val="0"/>
                <w:sz w:val="24"/>
                <w:szCs w:val="24"/>
              </w:rPr>
            </w:pPr>
          </w:p>
        </w:tc>
        <w:tc>
          <w:tcPr>
            <w:tcW w:w="2579" w:type="dxa"/>
            <w:vAlign w:val="center"/>
          </w:tcPr>
          <w:p w14:paraId="5A23970B"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0.01</w:t>
            </w:r>
          </w:p>
        </w:tc>
      </w:tr>
      <w:tr w:rsidR="00D6459D" w:rsidRPr="00757FC5" w14:paraId="2F1C709D" w14:textId="77777777" w:rsidTr="002D030C">
        <w:trPr>
          <w:trHeight w:val="567"/>
        </w:trPr>
        <w:tc>
          <w:tcPr>
            <w:tcW w:w="8335" w:type="dxa"/>
            <w:gridSpan w:val="3"/>
            <w:vAlign w:val="center"/>
          </w:tcPr>
          <w:p w14:paraId="4ED3D197"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6</w:t>
            </w:r>
          </w:p>
        </w:tc>
      </w:tr>
      <w:tr w:rsidR="00D6459D" w:rsidRPr="00757FC5" w14:paraId="1841B1EE" w14:textId="77777777" w:rsidTr="002D030C">
        <w:trPr>
          <w:trHeight w:val="567"/>
        </w:trPr>
        <w:tc>
          <w:tcPr>
            <w:tcW w:w="1831" w:type="dxa"/>
            <w:vMerge w:val="restart"/>
            <w:vAlign w:val="center"/>
          </w:tcPr>
          <w:p w14:paraId="7118F9F2" w14:textId="77777777" w:rsidR="00D6459D" w:rsidRPr="00757FC5" w:rsidRDefault="00D6459D" w:rsidP="002D030C">
            <w:pPr>
              <w:jc w:val="center"/>
              <w:rPr>
                <w:rFonts w:ascii="Arial" w:eastAsia="宋体"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6A</w:t>
            </w:r>
          </w:p>
        </w:tc>
        <w:tc>
          <w:tcPr>
            <w:tcW w:w="3925" w:type="dxa"/>
            <w:vAlign w:val="center"/>
          </w:tcPr>
          <w:p w14:paraId="66399A9E"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1</w:t>
            </w:r>
            <w:r w:rsidRPr="00757FC5">
              <w:rPr>
                <w:rFonts w:ascii="Arial" w:eastAsia="楷体" w:hAnsi="Arial" w:cs="Arial"/>
                <w:kern w:val="0"/>
                <w:sz w:val="24"/>
                <w:szCs w:val="24"/>
                <w:vertAlign w:val="superscript"/>
              </w:rPr>
              <w:t>st</w:t>
            </w:r>
            <w:r w:rsidRPr="00757FC5">
              <w:rPr>
                <w:rFonts w:ascii="Arial" w:eastAsia="楷体" w:hAnsi="Arial" w:cs="Arial"/>
                <w:kern w:val="0"/>
                <w:sz w:val="24"/>
                <w:szCs w:val="24"/>
              </w:rPr>
              <w:t xml:space="preserve"> week)</w:t>
            </w:r>
          </w:p>
        </w:tc>
        <w:tc>
          <w:tcPr>
            <w:tcW w:w="2579" w:type="dxa"/>
            <w:vAlign w:val="center"/>
          </w:tcPr>
          <w:p w14:paraId="4AED9A35"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0.107</w:t>
            </w:r>
          </w:p>
        </w:tc>
      </w:tr>
      <w:tr w:rsidR="00D6459D" w:rsidRPr="00757FC5" w14:paraId="7476FD4F" w14:textId="77777777" w:rsidTr="002D030C">
        <w:trPr>
          <w:trHeight w:val="567"/>
        </w:trPr>
        <w:tc>
          <w:tcPr>
            <w:tcW w:w="1831" w:type="dxa"/>
            <w:vMerge/>
            <w:vAlign w:val="center"/>
          </w:tcPr>
          <w:p w14:paraId="2B53C6A9"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47F91B02"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2</w:t>
            </w:r>
            <w:r w:rsidRPr="00757FC5">
              <w:rPr>
                <w:rFonts w:ascii="Arial" w:eastAsia="楷体" w:hAnsi="Arial" w:cs="Arial"/>
                <w:kern w:val="0"/>
                <w:sz w:val="24"/>
                <w:szCs w:val="24"/>
                <w:vertAlign w:val="superscript"/>
              </w:rPr>
              <w:t>nd</w:t>
            </w:r>
            <w:r w:rsidRPr="00757FC5">
              <w:rPr>
                <w:rFonts w:ascii="Arial" w:eastAsia="楷体" w:hAnsi="Arial" w:cs="Arial"/>
                <w:kern w:val="0"/>
                <w:sz w:val="24"/>
                <w:szCs w:val="24"/>
              </w:rPr>
              <w:t xml:space="preserve"> week)</w:t>
            </w:r>
          </w:p>
        </w:tc>
        <w:tc>
          <w:tcPr>
            <w:tcW w:w="2579" w:type="dxa"/>
            <w:vAlign w:val="center"/>
          </w:tcPr>
          <w:p w14:paraId="3A8DFEDB"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0.514</w:t>
            </w:r>
          </w:p>
        </w:tc>
      </w:tr>
      <w:tr w:rsidR="00D6459D" w:rsidRPr="00757FC5" w14:paraId="0C7B9A89" w14:textId="77777777" w:rsidTr="002D030C">
        <w:trPr>
          <w:trHeight w:val="567"/>
        </w:trPr>
        <w:tc>
          <w:tcPr>
            <w:tcW w:w="1831" w:type="dxa"/>
            <w:vMerge/>
            <w:vAlign w:val="center"/>
          </w:tcPr>
          <w:p w14:paraId="13E0B32B"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2E4628A7"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3</w:t>
            </w:r>
            <w:r w:rsidRPr="00757FC5">
              <w:rPr>
                <w:rFonts w:ascii="Arial" w:eastAsia="楷体" w:hAnsi="Arial" w:cs="Arial"/>
                <w:kern w:val="0"/>
                <w:sz w:val="24"/>
                <w:szCs w:val="24"/>
                <w:vertAlign w:val="superscript"/>
              </w:rPr>
              <w:t>rd</w:t>
            </w:r>
            <w:r w:rsidRPr="00757FC5">
              <w:rPr>
                <w:rFonts w:ascii="Arial" w:eastAsia="楷体" w:hAnsi="Arial" w:cs="Arial"/>
                <w:kern w:val="0"/>
                <w:sz w:val="24"/>
                <w:szCs w:val="24"/>
              </w:rPr>
              <w:t xml:space="preserve"> week)</w:t>
            </w:r>
          </w:p>
        </w:tc>
        <w:tc>
          <w:tcPr>
            <w:tcW w:w="2579" w:type="dxa"/>
            <w:vAlign w:val="center"/>
          </w:tcPr>
          <w:p w14:paraId="549252B4"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0.877</w:t>
            </w:r>
          </w:p>
        </w:tc>
      </w:tr>
      <w:tr w:rsidR="00D6459D" w:rsidRPr="00757FC5" w14:paraId="6BC6FF73" w14:textId="77777777" w:rsidTr="002D030C">
        <w:trPr>
          <w:trHeight w:val="567"/>
        </w:trPr>
        <w:tc>
          <w:tcPr>
            <w:tcW w:w="1831" w:type="dxa"/>
            <w:vMerge/>
            <w:vAlign w:val="center"/>
          </w:tcPr>
          <w:p w14:paraId="7CE436C2" w14:textId="77777777" w:rsidR="00D6459D" w:rsidRPr="00757FC5" w:rsidRDefault="00D6459D" w:rsidP="002D030C">
            <w:pPr>
              <w:jc w:val="center"/>
              <w:rPr>
                <w:rFonts w:ascii="Arial" w:eastAsia="宋体" w:hAnsi="Arial" w:cs="Arial"/>
                <w:kern w:val="0"/>
                <w:sz w:val="24"/>
                <w:szCs w:val="24"/>
              </w:rPr>
            </w:pPr>
          </w:p>
        </w:tc>
        <w:tc>
          <w:tcPr>
            <w:tcW w:w="3925" w:type="dxa"/>
            <w:vAlign w:val="center"/>
          </w:tcPr>
          <w:p w14:paraId="5A15AB22" w14:textId="77777777" w:rsidR="00D6459D" w:rsidRPr="00757FC5" w:rsidRDefault="00D6459D" w:rsidP="002D030C">
            <w:pPr>
              <w:jc w:val="left"/>
              <w:rPr>
                <w:rFonts w:ascii="Arial" w:eastAsia="楷体" w:hAnsi="Arial" w:cs="Arial"/>
                <w:kern w:val="0"/>
                <w:sz w:val="24"/>
                <w:szCs w:val="24"/>
              </w:rPr>
            </w:pPr>
            <w:r w:rsidRPr="00757FC5">
              <w:rPr>
                <w:rFonts w:ascii="Arial" w:hAnsi="Arial" w:cs="Arial"/>
                <w:kern w:val="0"/>
                <w:sz w:val="24"/>
                <w:szCs w:val="24"/>
              </w:rPr>
              <w:t>Body wight (</w:t>
            </w:r>
            <w:r w:rsidRPr="00757FC5">
              <w:rPr>
                <w:rFonts w:ascii="Arial" w:eastAsia="楷体" w:hAnsi="Arial" w:cs="Arial"/>
                <w:kern w:val="0"/>
                <w:sz w:val="24"/>
                <w:szCs w:val="24"/>
              </w:rPr>
              <w:t>4</w:t>
            </w:r>
            <w:r w:rsidRPr="00757FC5">
              <w:rPr>
                <w:rFonts w:ascii="Arial" w:eastAsia="楷体" w:hAnsi="Arial" w:cs="Arial"/>
                <w:kern w:val="0"/>
                <w:sz w:val="24"/>
                <w:szCs w:val="24"/>
                <w:vertAlign w:val="superscript"/>
              </w:rPr>
              <w:t>th</w:t>
            </w:r>
            <w:r w:rsidRPr="00757FC5">
              <w:rPr>
                <w:rFonts w:ascii="Arial" w:eastAsia="楷体" w:hAnsi="Arial" w:cs="Arial"/>
                <w:kern w:val="0"/>
                <w:sz w:val="24"/>
                <w:szCs w:val="24"/>
              </w:rPr>
              <w:t xml:space="preserve"> week)</w:t>
            </w:r>
          </w:p>
        </w:tc>
        <w:tc>
          <w:tcPr>
            <w:tcW w:w="2579" w:type="dxa"/>
            <w:vAlign w:val="center"/>
          </w:tcPr>
          <w:p w14:paraId="0C531E88" w14:textId="77777777" w:rsidR="00D6459D" w:rsidRPr="00757FC5" w:rsidRDefault="00D6459D" w:rsidP="002D030C">
            <w:pPr>
              <w:jc w:val="center"/>
              <w:rPr>
                <w:rFonts w:ascii="Arial" w:eastAsia="楷体" w:hAnsi="Arial" w:cs="Arial"/>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0.751</w:t>
            </w:r>
          </w:p>
        </w:tc>
      </w:tr>
      <w:tr w:rsidR="00D6459D" w:rsidRPr="00757FC5" w14:paraId="2C91CA9B" w14:textId="77777777" w:rsidTr="002D030C">
        <w:trPr>
          <w:trHeight w:val="567"/>
        </w:trPr>
        <w:tc>
          <w:tcPr>
            <w:tcW w:w="1831" w:type="dxa"/>
            <w:vAlign w:val="center"/>
          </w:tcPr>
          <w:p w14:paraId="4C42D9E2" w14:textId="77777777" w:rsidR="00D6459D" w:rsidRPr="00757FC5" w:rsidRDefault="00D6459D" w:rsidP="002D030C">
            <w:pPr>
              <w:jc w:val="center"/>
              <w:rPr>
                <w:rFonts w:ascii="Arial" w:eastAsia="宋体"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6B</w:t>
            </w:r>
          </w:p>
        </w:tc>
        <w:tc>
          <w:tcPr>
            <w:tcW w:w="3925" w:type="dxa"/>
            <w:vAlign w:val="center"/>
          </w:tcPr>
          <w:p w14:paraId="3BAD9DBA" w14:textId="77777777" w:rsidR="00D6459D" w:rsidRPr="00757FC5" w:rsidRDefault="00D6459D" w:rsidP="002D030C">
            <w:pPr>
              <w:jc w:val="left"/>
              <w:rPr>
                <w:rFonts w:ascii="Arial" w:hAnsi="Arial" w:cs="Arial"/>
                <w:kern w:val="0"/>
                <w:sz w:val="24"/>
                <w:szCs w:val="24"/>
              </w:rPr>
            </w:pPr>
            <w:r w:rsidRPr="00757FC5">
              <w:rPr>
                <w:rFonts w:ascii="Arial" w:hAnsi="Arial" w:cs="Arial"/>
                <w:kern w:val="0"/>
                <w:sz w:val="24"/>
                <w:szCs w:val="24"/>
              </w:rPr>
              <w:t>Immobility time in TST</w:t>
            </w:r>
          </w:p>
        </w:tc>
        <w:tc>
          <w:tcPr>
            <w:tcW w:w="2579" w:type="dxa"/>
            <w:vAlign w:val="center"/>
          </w:tcPr>
          <w:p w14:paraId="0E88AE42"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 0.216</w:t>
            </w:r>
          </w:p>
        </w:tc>
      </w:tr>
      <w:tr w:rsidR="00D6459D" w:rsidRPr="00757FC5" w14:paraId="2815C91C" w14:textId="77777777" w:rsidTr="002D030C">
        <w:trPr>
          <w:trHeight w:val="567"/>
        </w:trPr>
        <w:tc>
          <w:tcPr>
            <w:tcW w:w="8335" w:type="dxa"/>
            <w:gridSpan w:val="3"/>
            <w:vAlign w:val="center"/>
          </w:tcPr>
          <w:p w14:paraId="701671B9"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7</w:t>
            </w:r>
          </w:p>
        </w:tc>
      </w:tr>
      <w:tr w:rsidR="00D6459D" w:rsidRPr="00757FC5" w14:paraId="687A22FB" w14:textId="77777777" w:rsidTr="002D030C">
        <w:trPr>
          <w:trHeight w:val="567"/>
        </w:trPr>
        <w:tc>
          <w:tcPr>
            <w:tcW w:w="1831" w:type="dxa"/>
            <w:vMerge w:val="restart"/>
            <w:vAlign w:val="center"/>
          </w:tcPr>
          <w:p w14:paraId="66D0F73C" w14:textId="77777777" w:rsidR="00D6459D" w:rsidRPr="00757FC5" w:rsidRDefault="00D6459D" w:rsidP="002D030C">
            <w:pPr>
              <w:jc w:val="center"/>
              <w:rPr>
                <w:rFonts w:ascii="Arial"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7</w:t>
            </w:r>
            <w:r w:rsidRPr="00757FC5">
              <w:rPr>
                <w:rFonts w:ascii="Arial" w:hAnsi="Arial" w:cs="Arial"/>
                <w:bCs/>
                <w:sz w:val="24"/>
                <w:szCs w:val="24"/>
              </w:rPr>
              <w:t>B</w:t>
            </w:r>
          </w:p>
        </w:tc>
        <w:tc>
          <w:tcPr>
            <w:tcW w:w="3925" w:type="dxa"/>
            <w:vMerge w:val="restart"/>
            <w:vAlign w:val="center"/>
          </w:tcPr>
          <w:p w14:paraId="79A99E3F"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Immunofluorescence intensity of MAP2</w:t>
            </w:r>
          </w:p>
        </w:tc>
        <w:tc>
          <w:tcPr>
            <w:tcW w:w="2579" w:type="dxa"/>
            <w:vAlign w:val="center"/>
          </w:tcPr>
          <w:p w14:paraId="7B28D4D7"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CA1:</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0.05</w:t>
            </w:r>
          </w:p>
        </w:tc>
      </w:tr>
      <w:tr w:rsidR="00D6459D" w:rsidRPr="00757FC5" w14:paraId="76B349AC" w14:textId="77777777" w:rsidTr="002D030C">
        <w:trPr>
          <w:trHeight w:val="567"/>
        </w:trPr>
        <w:tc>
          <w:tcPr>
            <w:tcW w:w="1831" w:type="dxa"/>
            <w:vMerge/>
            <w:vAlign w:val="center"/>
          </w:tcPr>
          <w:p w14:paraId="309CE029"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0D504ABB" w14:textId="77777777" w:rsidR="00D6459D" w:rsidRPr="00757FC5" w:rsidRDefault="00D6459D" w:rsidP="002D030C">
            <w:pPr>
              <w:jc w:val="left"/>
              <w:rPr>
                <w:rFonts w:ascii="Arial" w:hAnsi="Arial" w:cs="Arial"/>
                <w:kern w:val="0"/>
                <w:sz w:val="24"/>
                <w:szCs w:val="24"/>
              </w:rPr>
            </w:pPr>
          </w:p>
        </w:tc>
        <w:tc>
          <w:tcPr>
            <w:tcW w:w="2579" w:type="dxa"/>
            <w:vAlign w:val="center"/>
          </w:tcPr>
          <w:p w14:paraId="5C4FA67F"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CA3:</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 0.663</w:t>
            </w:r>
          </w:p>
        </w:tc>
      </w:tr>
      <w:tr w:rsidR="00D6459D" w:rsidRPr="00757FC5" w14:paraId="5CF30941" w14:textId="77777777" w:rsidTr="002D030C">
        <w:trPr>
          <w:trHeight w:val="567"/>
        </w:trPr>
        <w:tc>
          <w:tcPr>
            <w:tcW w:w="1831" w:type="dxa"/>
            <w:vMerge/>
            <w:vAlign w:val="center"/>
          </w:tcPr>
          <w:p w14:paraId="571E4F22"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40CEAABC" w14:textId="77777777" w:rsidR="00D6459D" w:rsidRPr="00757FC5" w:rsidRDefault="00D6459D" w:rsidP="002D030C">
            <w:pPr>
              <w:jc w:val="left"/>
              <w:rPr>
                <w:rFonts w:ascii="Arial" w:hAnsi="Arial" w:cs="Arial"/>
                <w:kern w:val="0"/>
                <w:sz w:val="24"/>
                <w:szCs w:val="24"/>
              </w:rPr>
            </w:pPr>
          </w:p>
        </w:tc>
        <w:tc>
          <w:tcPr>
            <w:tcW w:w="2579" w:type="dxa"/>
            <w:vAlign w:val="center"/>
          </w:tcPr>
          <w:p w14:paraId="5378D0E7"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 0.465</w:t>
            </w:r>
          </w:p>
        </w:tc>
      </w:tr>
      <w:tr w:rsidR="00D6459D" w:rsidRPr="00757FC5" w14:paraId="6E9E2401" w14:textId="77777777" w:rsidTr="002D030C">
        <w:trPr>
          <w:trHeight w:val="567"/>
        </w:trPr>
        <w:tc>
          <w:tcPr>
            <w:tcW w:w="8335" w:type="dxa"/>
            <w:gridSpan w:val="3"/>
            <w:vAlign w:val="center"/>
          </w:tcPr>
          <w:p w14:paraId="72B6EC8F"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8</w:t>
            </w:r>
          </w:p>
        </w:tc>
      </w:tr>
      <w:tr w:rsidR="00D6459D" w:rsidRPr="00757FC5" w14:paraId="64D8275F" w14:textId="77777777" w:rsidTr="002D030C">
        <w:trPr>
          <w:trHeight w:val="567"/>
        </w:trPr>
        <w:tc>
          <w:tcPr>
            <w:tcW w:w="1831" w:type="dxa"/>
            <w:vMerge w:val="restart"/>
            <w:vAlign w:val="center"/>
          </w:tcPr>
          <w:p w14:paraId="43D83685" w14:textId="77777777" w:rsidR="00D6459D" w:rsidRPr="00757FC5" w:rsidRDefault="00D6459D" w:rsidP="002D030C">
            <w:pPr>
              <w:jc w:val="center"/>
              <w:rPr>
                <w:rFonts w:ascii="Arial"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8</w:t>
            </w:r>
            <w:r w:rsidRPr="00757FC5">
              <w:rPr>
                <w:rFonts w:ascii="Arial" w:hAnsi="Arial" w:cs="Arial"/>
                <w:bCs/>
                <w:sz w:val="24"/>
                <w:szCs w:val="24"/>
              </w:rPr>
              <w:t>B</w:t>
            </w:r>
          </w:p>
        </w:tc>
        <w:tc>
          <w:tcPr>
            <w:tcW w:w="3925" w:type="dxa"/>
            <w:vMerge w:val="restart"/>
            <w:vAlign w:val="center"/>
          </w:tcPr>
          <w:p w14:paraId="58B06568"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Immunofluorescence intensity of PSD95</w:t>
            </w:r>
          </w:p>
        </w:tc>
        <w:tc>
          <w:tcPr>
            <w:tcW w:w="2579" w:type="dxa"/>
            <w:vAlign w:val="center"/>
          </w:tcPr>
          <w:p w14:paraId="022F1F80"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CA1: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0A76FD0B" w14:textId="77777777" w:rsidTr="002D030C">
        <w:trPr>
          <w:trHeight w:val="567"/>
        </w:trPr>
        <w:tc>
          <w:tcPr>
            <w:tcW w:w="1831" w:type="dxa"/>
            <w:vMerge/>
            <w:vAlign w:val="center"/>
          </w:tcPr>
          <w:p w14:paraId="536B585B"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58297AAA" w14:textId="77777777" w:rsidR="00D6459D" w:rsidRPr="00757FC5" w:rsidRDefault="00D6459D" w:rsidP="002D030C">
            <w:pPr>
              <w:jc w:val="left"/>
              <w:rPr>
                <w:rFonts w:ascii="Arial" w:hAnsi="Arial" w:cs="Arial"/>
                <w:kern w:val="0"/>
                <w:sz w:val="24"/>
                <w:szCs w:val="24"/>
              </w:rPr>
            </w:pPr>
          </w:p>
        </w:tc>
        <w:tc>
          <w:tcPr>
            <w:tcW w:w="2579" w:type="dxa"/>
            <w:vAlign w:val="center"/>
          </w:tcPr>
          <w:p w14:paraId="4A53C345"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 xml:space="preserve">CA3: </w:t>
            </w:r>
            <w:r w:rsidRPr="00757FC5">
              <w:rPr>
                <w:rFonts w:ascii="Arial" w:eastAsia="楷体" w:hAnsi="Arial" w:cs="Arial"/>
                <w:i/>
                <w:iCs/>
                <w:kern w:val="0"/>
                <w:sz w:val="24"/>
                <w:szCs w:val="24"/>
              </w:rPr>
              <w:t>P</w:t>
            </w:r>
            <w:r w:rsidRPr="00757FC5">
              <w:rPr>
                <w:rFonts w:ascii="Arial" w:eastAsia="楷体" w:hAnsi="Arial" w:cs="Arial"/>
                <w:kern w:val="0"/>
                <w:sz w:val="24"/>
                <w:szCs w:val="24"/>
              </w:rPr>
              <w:t xml:space="preserve"> &lt; 0.001</w:t>
            </w:r>
          </w:p>
        </w:tc>
      </w:tr>
      <w:tr w:rsidR="00D6459D" w:rsidRPr="00757FC5" w14:paraId="7F961E99" w14:textId="77777777" w:rsidTr="002D030C">
        <w:trPr>
          <w:trHeight w:val="567"/>
        </w:trPr>
        <w:tc>
          <w:tcPr>
            <w:tcW w:w="1831" w:type="dxa"/>
            <w:vMerge/>
            <w:vAlign w:val="center"/>
          </w:tcPr>
          <w:p w14:paraId="11D653B5"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66560FE2" w14:textId="77777777" w:rsidR="00D6459D" w:rsidRPr="00757FC5" w:rsidRDefault="00D6459D" w:rsidP="002D030C">
            <w:pPr>
              <w:jc w:val="left"/>
              <w:rPr>
                <w:rFonts w:ascii="Arial" w:hAnsi="Arial" w:cs="Arial"/>
                <w:kern w:val="0"/>
                <w:sz w:val="24"/>
                <w:szCs w:val="24"/>
              </w:rPr>
            </w:pPr>
          </w:p>
        </w:tc>
        <w:tc>
          <w:tcPr>
            <w:tcW w:w="2579" w:type="dxa"/>
            <w:vAlign w:val="center"/>
          </w:tcPr>
          <w:p w14:paraId="0EAC35BC"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2CA67795" w14:textId="77777777" w:rsidTr="002D030C">
        <w:trPr>
          <w:trHeight w:val="567"/>
        </w:trPr>
        <w:tc>
          <w:tcPr>
            <w:tcW w:w="8335" w:type="dxa"/>
            <w:gridSpan w:val="3"/>
            <w:vAlign w:val="center"/>
          </w:tcPr>
          <w:p w14:paraId="3D20C15A" w14:textId="77777777" w:rsidR="00D6459D" w:rsidRPr="00757FC5" w:rsidRDefault="00D6459D" w:rsidP="002D030C">
            <w:pPr>
              <w:jc w:val="center"/>
              <w:rPr>
                <w:rFonts w:ascii="Arial" w:eastAsia="楷体" w:hAnsi="Arial" w:cs="Arial"/>
                <w:kern w:val="0"/>
                <w:sz w:val="24"/>
                <w:szCs w:val="24"/>
              </w:rPr>
            </w:pPr>
            <w:r w:rsidRPr="00757FC5">
              <w:rPr>
                <w:rFonts w:ascii="Arial" w:eastAsia="宋体" w:hAnsi="Arial" w:cs="Arial"/>
                <w:kern w:val="0"/>
                <w:sz w:val="24"/>
                <w:szCs w:val="24"/>
              </w:rPr>
              <w:t>Supplementary Fig</w:t>
            </w:r>
            <w:r>
              <w:rPr>
                <w:rFonts w:ascii="Arial" w:eastAsia="宋体" w:hAnsi="Arial" w:cs="Arial" w:hint="eastAsia"/>
                <w:kern w:val="0"/>
                <w:sz w:val="24"/>
                <w:szCs w:val="24"/>
              </w:rPr>
              <w:t>. 9</w:t>
            </w:r>
          </w:p>
        </w:tc>
      </w:tr>
      <w:tr w:rsidR="00D6459D" w:rsidRPr="00757FC5" w14:paraId="00422EA0" w14:textId="77777777" w:rsidTr="002D030C">
        <w:trPr>
          <w:trHeight w:val="567"/>
        </w:trPr>
        <w:tc>
          <w:tcPr>
            <w:tcW w:w="1831" w:type="dxa"/>
            <w:vMerge w:val="restart"/>
            <w:vAlign w:val="center"/>
          </w:tcPr>
          <w:p w14:paraId="09465976" w14:textId="77777777" w:rsidR="00D6459D" w:rsidRPr="00757FC5" w:rsidRDefault="00D6459D" w:rsidP="002D030C">
            <w:pPr>
              <w:jc w:val="center"/>
              <w:rPr>
                <w:rFonts w:ascii="Arial" w:hAnsi="Arial" w:cs="Arial"/>
                <w:kern w:val="0"/>
                <w:sz w:val="24"/>
                <w:szCs w:val="24"/>
              </w:rPr>
            </w:pPr>
            <w:r w:rsidRPr="00757FC5">
              <w:rPr>
                <w:rFonts w:ascii="Arial" w:eastAsia="宋体" w:hAnsi="Arial" w:cs="Arial"/>
                <w:kern w:val="0"/>
                <w:sz w:val="24"/>
                <w:szCs w:val="24"/>
              </w:rPr>
              <w:t>Supplementary Fig.</w:t>
            </w:r>
            <w:r w:rsidRPr="00757FC5">
              <w:rPr>
                <w:rFonts w:ascii="Arial" w:hAnsi="Arial" w:cs="Arial"/>
                <w:bCs/>
                <w:sz w:val="24"/>
                <w:szCs w:val="24"/>
              </w:rPr>
              <w:t xml:space="preserve"> </w:t>
            </w:r>
            <w:r>
              <w:rPr>
                <w:rFonts w:ascii="Arial" w:hAnsi="Arial" w:cs="Arial" w:hint="eastAsia"/>
                <w:bCs/>
                <w:sz w:val="24"/>
                <w:szCs w:val="24"/>
              </w:rPr>
              <w:t>9</w:t>
            </w:r>
            <w:r w:rsidRPr="00757FC5">
              <w:rPr>
                <w:rFonts w:ascii="Arial" w:hAnsi="Arial" w:cs="Arial"/>
                <w:bCs/>
                <w:sz w:val="24"/>
                <w:szCs w:val="24"/>
              </w:rPr>
              <w:t>B</w:t>
            </w:r>
          </w:p>
        </w:tc>
        <w:tc>
          <w:tcPr>
            <w:tcW w:w="3925" w:type="dxa"/>
            <w:vMerge w:val="restart"/>
            <w:vAlign w:val="center"/>
          </w:tcPr>
          <w:p w14:paraId="6AE2BE89" w14:textId="77777777" w:rsidR="00D6459D" w:rsidRPr="00757FC5" w:rsidRDefault="00D6459D" w:rsidP="002D030C">
            <w:pPr>
              <w:jc w:val="left"/>
              <w:rPr>
                <w:rFonts w:ascii="Arial" w:hAnsi="Arial" w:cs="Arial"/>
                <w:kern w:val="0"/>
                <w:sz w:val="24"/>
                <w:szCs w:val="24"/>
              </w:rPr>
            </w:pPr>
            <w:r w:rsidRPr="00757FC5">
              <w:rPr>
                <w:rFonts w:ascii="Arial" w:eastAsia="楷体" w:hAnsi="Arial" w:cs="Arial"/>
                <w:kern w:val="0"/>
                <w:sz w:val="24"/>
                <w:szCs w:val="24"/>
              </w:rPr>
              <w:t>Immunofluorescence intensity of Gephyrin</w:t>
            </w:r>
          </w:p>
        </w:tc>
        <w:tc>
          <w:tcPr>
            <w:tcW w:w="2579" w:type="dxa"/>
            <w:vAlign w:val="center"/>
          </w:tcPr>
          <w:p w14:paraId="17B4703A"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CA1:</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r w:rsidR="00D6459D" w:rsidRPr="00757FC5" w14:paraId="68D78AA1" w14:textId="77777777" w:rsidTr="002D030C">
        <w:trPr>
          <w:trHeight w:val="567"/>
        </w:trPr>
        <w:tc>
          <w:tcPr>
            <w:tcW w:w="1831" w:type="dxa"/>
            <w:vMerge/>
            <w:vAlign w:val="center"/>
          </w:tcPr>
          <w:p w14:paraId="06036388"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4B0DFCBF" w14:textId="77777777" w:rsidR="00D6459D" w:rsidRPr="00757FC5" w:rsidRDefault="00D6459D" w:rsidP="002D030C">
            <w:pPr>
              <w:jc w:val="left"/>
              <w:rPr>
                <w:rFonts w:ascii="Arial" w:hAnsi="Arial" w:cs="Arial"/>
                <w:kern w:val="0"/>
                <w:sz w:val="24"/>
                <w:szCs w:val="24"/>
              </w:rPr>
            </w:pPr>
          </w:p>
        </w:tc>
        <w:tc>
          <w:tcPr>
            <w:tcW w:w="2579" w:type="dxa"/>
            <w:vAlign w:val="center"/>
          </w:tcPr>
          <w:p w14:paraId="72A61744"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CA3:</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 0.348</w:t>
            </w:r>
          </w:p>
        </w:tc>
      </w:tr>
      <w:tr w:rsidR="00D6459D" w:rsidRPr="00757FC5" w14:paraId="3882323D" w14:textId="77777777" w:rsidTr="002D030C">
        <w:trPr>
          <w:trHeight w:val="567"/>
        </w:trPr>
        <w:tc>
          <w:tcPr>
            <w:tcW w:w="1831" w:type="dxa"/>
            <w:vMerge/>
            <w:vAlign w:val="center"/>
          </w:tcPr>
          <w:p w14:paraId="2FEE374E" w14:textId="77777777" w:rsidR="00D6459D" w:rsidRPr="00757FC5" w:rsidRDefault="00D6459D" w:rsidP="002D030C">
            <w:pPr>
              <w:jc w:val="center"/>
              <w:rPr>
                <w:rFonts w:ascii="Arial" w:hAnsi="Arial" w:cs="Arial"/>
                <w:kern w:val="0"/>
                <w:sz w:val="24"/>
                <w:szCs w:val="24"/>
              </w:rPr>
            </w:pPr>
          </w:p>
        </w:tc>
        <w:tc>
          <w:tcPr>
            <w:tcW w:w="3925" w:type="dxa"/>
            <w:vMerge/>
            <w:vAlign w:val="center"/>
          </w:tcPr>
          <w:p w14:paraId="60CC65A1" w14:textId="77777777" w:rsidR="00D6459D" w:rsidRPr="00757FC5" w:rsidRDefault="00D6459D" w:rsidP="002D030C">
            <w:pPr>
              <w:jc w:val="left"/>
              <w:rPr>
                <w:rFonts w:ascii="Arial" w:hAnsi="Arial" w:cs="Arial"/>
                <w:kern w:val="0"/>
                <w:sz w:val="24"/>
                <w:szCs w:val="24"/>
              </w:rPr>
            </w:pPr>
          </w:p>
        </w:tc>
        <w:tc>
          <w:tcPr>
            <w:tcW w:w="2579" w:type="dxa"/>
            <w:vAlign w:val="center"/>
          </w:tcPr>
          <w:p w14:paraId="1C63B778" w14:textId="77777777" w:rsidR="00D6459D" w:rsidRPr="00757FC5" w:rsidRDefault="00D6459D" w:rsidP="002D030C">
            <w:pPr>
              <w:jc w:val="center"/>
              <w:rPr>
                <w:rFonts w:ascii="Arial" w:eastAsia="楷体" w:hAnsi="Arial" w:cs="Arial"/>
                <w:i/>
                <w:iCs/>
                <w:kern w:val="0"/>
                <w:sz w:val="24"/>
                <w:szCs w:val="24"/>
              </w:rPr>
            </w:pPr>
            <w:r w:rsidRPr="00757FC5">
              <w:rPr>
                <w:rFonts w:ascii="Arial" w:eastAsia="楷体" w:hAnsi="Arial" w:cs="Arial"/>
                <w:kern w:val="0"/>
                <w:sz w:val="24"/>
                <w:szCs w:val="24"/>
              </w:rPr>
              <w:t>DG:</w:t>
            </w:r>
            <w:r w:rsidRPr="00757FC5">
              <w:rPr>
                <w:rFonts w:ascii="Arial" w:eastAsia="楷体" w:hAnsi="Arial" w:cs="Arial"/>
                <w:i/>
                <w:iCs/>
                <w:kern w:val="0"/>
                <w:sz w:val="24"/>
                <w:szCs w:val="24"/>
              </w:rPr>
              <w:t xml:space="preserve"> P</w:t>
            </w:r>
            <w:r w:rsidRPr="00757FC5">
              <w:rPr>
                <w:rFonts w:ascii="Arial" w:eastAsia="楷体" w:hAnsi="Arial" w:cs="Arial"/>
                <w:kern w:val="0"/>
                <w:sz w:val="24"/>
                <w:szCs w:val="24"/>
              </w:rPr>
              <w:t xml:space="preserve"> &lt; 0.001</w:t>
            </w:r>
          </w:p>
        </w:tc>
      </w:tr>
    </w:tbl>
    <w:p w14:paraId="75CE181D" w14:textId="77777777" w:rsidR="00D6459D" w:rsidRPr="00757FC5" w:rsidRDefault="00D6459D" w:rsidP="00D6459D">
      <w:pPr>
        <w:rPr>
          <w:rFonts w:ascii="Arial" w:hAnsi="Arial" w:cs="Arial"/>
          <w:sz w:val="24"/>
          <w:szCs w:val="24"/>
        </w:rPr>
      </w:pPr>
    </w:p>
    <w:p w14:paraId="1A28EE5E" w14:textId="7E7FF516" w:rsidR="00307747" w:rsidRDefault="00307747" w:rsidP="00F71117">
      <w:pPr>
        <w:spacing w:line="360" w:lineRule="auto"/>
        <w:ind w:firstLineChars="200" w:firstLine="480"/>
        <w:rPr>
          <w:rFonts w:ascii="Arial" w:eastAsia="宋体" w:hAnsi="Arial" w:cs="Arial"/>
          <w:kern w:val="0"/>
          <w:sz w:val="24"/>
          <w:szCs w:val="24"/>
        </w:rPr>
      </w:pPr>
    </w:p>
    <w:p w14:paraId="3CE7C8F8" w14:textId="77777777" w:rsidR="00307747" w:rsidRPr="00FB3D0B" w:rsidRDefault="00307747" w:rsidP="00307747">
      <w:pPr>
        <w:widowControl/>
        <w:spacing w:line="360" w:lineRule="auto"/>
        <w:jc w:val="left"/>
        <w:rPr>
          <w:rFonts w:ascii="Arial" w:eastAsia="楷体" w:hAnsi="Arial" w:cs="Arial"/>
          <w:b/>
          <w:bCs/>
          <w:kern w:val="0"/>
          <w:sz w:val="24"/>
          <w:szCs w:val="24"/>
        </w:rPr>
      </w:pPr>
      <w:r w:rsidRPr="00593604">
        <w:rPr>
          <w:rFonts w:ascii="Arial" w:eastAsia="楷体" w:hAnsi="Arial" w:cs="Arial"/>
          <w:b/>
          <w:bCs/>
          <w:kern w:val="0"/>
          <w:sz w:val="24"/>
          <w:szCs w:val="24"/>
        </w:rPr>
        <w:t>Supplementary Figure Legend</w:t>
      </w:r>
    </w:p>
    <w:p w14:paraId="2315A198" w14:textId="77777777" w:rsidR="00307747" w:rsidRPr="00FB3D0B" w:rsidRDefault="00307747" w:rsidP="00307747">
      <w:pPr>
        <w:widowControl/>
        <w:spacing w:line="360" w:lineRule="auto"/>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1</w:t>
      </w:r>
      <w:r w:rsidRPr="00593604">
        <w:rPr>
          <w:rFonts w:ascii="Arial" w:eastAsia="楷体" w:hAnsi="Arial" w:cs="Arial"/>
          <w:b/>
          <w:bCs/>
          <w:kern w:val="0"/>
          <w:sz w:val="24"/>
          <w:szCs w:val="24"/>
        </w:rPr>
        <w:t xml:space="preserve"> Schematic of the unbiased counting frame.</w:t>
      </w:r>
      <w:r w:rsidRPr="00593604">
        <w:rPr>
          <w:rFonts w:ascii="Arial" w:eastAsia="楷体" w:hAnsi="Arial" w:cs="Arial"/>
          <w:kern w:val="0"/>
          <w:sz w:val="24"/>
          <w:szCs w:val="24"/>
        </w:rPr>
        <w:t xml:space="preserve"> </w:t>
      </w:r>
      <w:r w:rsidRPr="00593604">
        <w:rPr>
          <w:rFonts w:ascii="Arial" w:eastAsia="楷体" w:hAnsi="Arial" w:cs="Arial"/>
          <w:b/>
          <w:bCs/>
          <w:kern w:val="0"/>
          <w:sz w:val="24"/>
          <w:szCs w:val="24"/>
        </w:rPr>
        <w:t>A</w:t>
      </w:r>
      <w:r w:rsidRPr="00593604">
        <w:rPr>
          <w:rFonts w:ascii="Arial" w:eastAsia="楷体" w:hAnsi="Arial" w:cs="Arial"/>
          <w:kern w:val="0"/>
          <w:sz w:val="24"/>
          <w:szCs w:val="24"/>
        </w:rPr>
        <w:t xml:space="preserve">: Schematic illustration of the optical dissector technique for counting </w:t>
      </w:r>
      <w:proofErr w:type="spellStart"/>
      <w:r w:rsidRPr="00593604">
        <w:rPr>
          <w:rFonts w:ascii="Arial" w:eastAsia="楷体" w:hAnsi="Arial" w:cs="Arial"/>
          <w:kern w:val="0"/>
          <w:sz w:val="24"/>
          <w:szCs w:val="24"/>
        </w:rPr>
        <w:t>spinophilin</w:t>
      </w:r>
      <w:proofErr w:type="spellEnd"/>
      <w:r w:rsidRPr="00593604">
        <w:rPr>
          <w:rFonts w:ascii="Arial" w:eastAsia="楷体" w:hAnsi="Arial" w:cs="Arial"/>
          <w:kern w:val="0"/>
          <w:sz w:val="24"/>
          <w:szCs w:val="24"/>
        </w:rPr>
        <w:t>-i</w:t>
      </w:r>
      <w:r w:rsidRPr="00FB3D0B">
        <w:rPr>
          <w:rFonts w:ascii="Arial" w:eastAsia="楷体" w:hAnsi="Arial" w:cs="Arial"/>
          <w:kern w:val="0"/>
          <w:sz w:val="24"/>
          <w:szCs w:val="24"/>
        </w:rPr>
        <w:t xml:space="preserve">mmunoreactive puncta. The </w:t>
      </w:r>
      <w:proofErr w:type="spellStart"/>
      <w:r w:rsidRPr="00FB3D0B">
        <w:rPr>
          <w:rFonts w:ascii="Arial" w:eastAsia="楷体" w:hAnsi="Arial" w:cs="Arial"/>
          <w:kern w:val="0"/>
          <w:sz w:val="24"/>
          <w:szCs w:val="24"/>
        </w:rPr>
        <w:t>spinophilin</w:t>
      </w:r>
      <w:proofErr w:type="spellEnd"/>
      <w:r w:rsidRPr="00FB3D0B">
        <w:rPr>
          <w:rFonts w:ascii="Arial" w:eastAsia="楷体" w:hAnsi="Arial" w:cs="Arial"/>
          <w:kern w:val="0"/>
          <w:sz w:val="24"/>
          <w:szCs w:val="24"/>
        </w:rPr>
        <w:t xml:space="preserve">-immunoreactive puncta that are clearly in focus in the guard zone, as indicated by the white arrow, were not counted. Scale bar = 40 </w:t>
      </w:r>
      <w:proofErr w:type="spellStart"/>
      <w:r w:rsidRPr="00FB3D0B">
        <w:rPr>
          <w:rFonts w:ascii="Arial" w:eastAsia="宋体" w:hAnsi="Arial" w:cs="Arial"/>
          <w:kern w:val="0"/>
          <w:sz w:val="24"/>
          <w:szCs w:val="24"/>
        </w:rPr>
        <w:t>μ</w:t>
      </w:r>
      <w:r w:rsidRPr="00FB3D0B">
        <w:rPr>
          <w:rFonts w:ascii="Arial" w:eastAsia="楷体" w:hAnsi="Arial" w:cs="Arial"/>
          <w:kern w:val="0"/>
          <w:sz w:val="24"/>
          <w:szCs w:val="24"/>
        </w:rPr>
        <w:t>m</w:t>
      </w:r>
      <w:proofErr w:type="spellEnd"/>
      <w:r w:rsidRPr="00FB3D0B">
        <w:rPr>
          <w:rFonts w:ascii="Arial" w:eastAsia="楷体" w:hAnsi="Arial" w:cs="Arial"/>
          <w:kern w:val="0"/>
          <w:sz w:val="24"/>
          <w:szCs w:val="24"/>
        </w:rPr>
        <w:t xml:space="preserve">. </w:t>
      </w:r>
      <w:r w:rsidRPr="00FB3D0B">
        <w:rPr>
          <w:rFonts w:ascii="Arial" w:eastAsia="楷体" w:hAnsi="Arial" w:cs="Arial"/>
          <w:b/>
          <w:bCs/>
          <w:kern w:val="0"/>
          <w:sz w:val="24"/>
          <w:szCs w:val="24"/>
        </w:rPr>
        <w:t>B</w:t>
      </w:r>
      <w:r w:rsidRPr="00FB3D0B">
        <w:rPr>
          <w:rFonts w:ascii="Arial" w:eastAsia="楷体" w:hAnsi="Arial" w:cs="Arial"/>
          <w:kern w:val="0"/>
          <w:sz w:val="24"/>
          <w:szCs w:val="24"/>
        </w:rPr>
        <w:t xml:space="preserve">: The </w:t>
      </w:r>
      <w:proofErr w:type="spellStart"/>
      <w:r w:rsidRPr="00FB3D0B">
        <w:rPr>
          <w:rFonts w:ascii="Arial" w:eastAsia="楷体" w:hAnsi="Arial" w:cs="Arial"/>
          <w:kern w:val="0"/>
          <w:sz w:val="24"/>
          <w:szCs w:val="24"/>
        </w:rPr>
        <w:t>spinophilin</w:t>
      </w:r>
      <w:proofErr w:type="spellEnd"/>
      <w:r w:rsidRPr="00FB3D0B">
        <w:rPr>
          <w:rFonts w:ascii="Arial" w:eastAsia="楷体" w:hAnsi="Arial" w:cs="Arial"/>
          <w:kern w:val="0"/>
          <w:sz w:val="24"/>
          <w:szCs w:val="24"/>
        </w:rPr>
        <w:t xml:space="preserve">-immunoreactive puncta that are clearly in focus in the counting zone, as indicated by the white arrow, were counted. Scale bar = 40 </w:t>
      </w:r>
      <w:proofErr w:type="spellStart"/>
      <w:r w:rsidRPr="00FB3D0B">
        <w:rPr>
          <w:rFonts w:ascii="Arial" w:eastAsia="宋体" w:hAnsi="Arial" w:cs="Arial"/>
          <w:kern w:val="0"/>
          <w:sz w:val="24"/>
          <w:szCs w:val="24"/>
        </w:rPr>
        <w:t>μ</w:t>
      </w:r>
      <w:r w:rsidRPr="00FB3D0B">
        <w:rPr>
          <w:rFonts w:ascii="Arial" w:eastAsia="楷体" w:hAnsi="Arial" w:cs="Arial"/>
          <w:kern w:val="0"/>
          <w:sz w:val="24"/>
          <w:szCs w:val="24"/>
        </w:rPr>
        <w:t>m</w:t>
      </w:r>
      <w:proofErr w:type="spellEnd"/>
      <w:r w:rsidRPr="00FB3D0B">
        <w:rPr>
          <w:rFonts w:ascii="Arial" w:eastAsia="楷体" w:hAnsi="Arial" w:cs="Arial"/>
          <w:kern w:val="0"/>
          <w:sz w:val="24"/>
          <w:szCs w:val="24"/>
        </w:rPr>
        <w:t>.</w:t>
      </w:r>
      <w:r w:rsidRPr="00FB3D0B">
        <w:rPr>
          <w:rFonts w:ascii="Arial" w:eastAsia="楷体" w:hAnsi="Arial" w:cs="Arial"/>
          <w:b/>
          <w:bCs/>
          <w:kern w:val="0"/>
          <w:sz w:val="24"/>
          <w:szCs w:val="24"/>
        </w:rPr>
        <w:t xml:space="preserve"> </w:t>
      </w:r>
    </w:p>
    <w:p w14:paraId="0FE51359" w14:textId="77777777" w:rsidR="00307747" w:rsidRPr="00FB3D0B" w:rsidRDefault="00307747" w:rsidP="00307747">
      <w:pPr>
        <w:widowControl/>
        <w:spacing w:line="360" w:lineRule="auto"/>
        <w:rPr>
          <w:rFonts w:ascii="Arial" w:eastAsia="楷体" w:hAnsi="Arial" w:cs="Arial"/>
          <w:b/>
          <w:bCs/>
          <w:kern w:val="0"/>
          <w:sz w:val="24"/>
          <w:szCs w:val="24"/>
        </w:rPr>
      </w:pPr>
    </w:p>
    <w:p w14:paraId="6223E99D" w14:textId="77777777" w:rsidR="00307747" w:rsidRPr="00FB3D0B" w:rsidRDefault="00307747" w:rsidP="00307747">
      <w:pPr>
        <w:widowControl/>
        <w:spacing w:line="360" w:lineRule="auto"/>
        <w:rPr>
          <w:rFonts w:ascii="Arial" w:eastAsia="楷体" w:hAnsi="Arial" w:cs="Arial"/>
          <w:kern w:val="0"/>
          <w:sz w:val="24"/>
          <w:szCs w:val="24"/>
        </w:rPr>
      </w:pPr>
      <w:r w:rsidRPr="00FB3D0B">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2</w:t>
      </w:r>
      <w:r w:rsidRPr="00FB3D0B">
        <w:rPr>
          <w:rFonts w:ascii="Arial" w:eastAsia="楷体" w:hAnsi="Arial" w:cs="Arial"/>
          <w:b/>
          <w:bCs/>
          <w:kern w:val="0"/>
          <w:sz w:val="24"/>
          <w:szCs w:val="24"/>
        </w:rPr>
        <w:t xml:space="preserve"> CUS induced depressive-like behaviors in mice.</w:t>
      </w:r>
      <w:r w:rsidRPr="00FB3D0B">
        <w:rPr>
          <w:rFonts w:ascii="Arial" w:eastAsia="楷体" w:hAnsi="Arial" w:cs="Arial"/>
          <w:kern w:val="0"/>
          <w:sz w:val="24"/>
          <w:szCs w:val="24"/>
        </w:rPr>
        <w:t xml:space="preserve"> </w:t>
      </w:r>
      <w:r w:rsidRPr="00FB3D0B">
        <w:rPr>
          <w:rFonts w:ascii="Arial" w:eastAsia="楷体" w:hAnsi="Arial" w:cs="Arial"/>
          <w:b/>
          <w:bCs/>
          <w:kern w:val="0"/>
          <w:sz w:val="24"/>
          <w:szCs w:val="24"/>
        </w:rPr>
        <w:t>A</w:t>
      </w:r>
      <w:r w:rsidRPr="00FB3D0B">
        <w:rPr>
          <w:rFonts w:ascii="Arial" w:eastAsia="楷体" w:hAnsi="Arial" w:cs="Arial"/>
          <w:kern w:val="0"/>
          <w:sz w:val="24"/>
          <w:szCs w:val="24"/>
        </w:rPr>
        <w:t xml:space="preserve">: </w:t>
      </w:r>
      <w:bookmarkStart w:id="3" w:name="_Hlk171674430"/>
      <w:r w:rsidRPr="00FB3D0B">
        <w:rPr>
          <w:rFonts w:ascii="Arial" w:eastAsia="楷体" w:hAnsi="Arial" w:cs="Arial"/>
          <w:kern w:val="0"/>
          <w:sz w:val="24"/>
          <w:szCs w:val="24"/>
        </w:rPr>
        <w:t>Body weights of the mice.</w:t>
      </w:r>
      <w:bookmarkEnd w:id="3"/>
      <w:r w:rsidRPr="00FB3D0B">
        <w:rPr>
          <w:rFonts w:ascii="Arial" w:eastAsia="楷体" w:hAnsi="Arial" w:cs="Arial"/>
          <w:b/>
          <w:bCs/>
          <w:kern w:val="0"/>
          <w:sz w:val="24"/>
          <w:szCs w:val="24"/>
        </w:rPr>
        <w:t xml:space="preserve"> </w:t>
      </w:r>
      <w:r w:rsidRPr="00FB3D0B">
        <w:rPr>
          <w:rFonts w:ascii="Arial" w:eastAsia="楷体" w:hAnsi="Arial" w:cs="Arial" w:hint="eastAsia"/>
          <w:b/>
          <w:bCs/>
          <w:kern w:val="0"/>
          <w:sz w:val="24"/>
          <w:szCs w:val="24"/>
        </w:rPr>
        <w:t>B</w:t>
      </w:r>
      <w:r w:rsidRPr="00FB3D0B">
        <w:rPr>
          <w:rFonts w:ascii="Arial" w:eastAsia="楷体" w:hAnsi="Arial" w:cs="Arial"/>
          <w:b/>
          <w:bCs/>
          <w:kern w:val="0"/>
          <w:sz w:val="24"/>
          <w:szCs w:val="24"/>
        </w:rPr>
        <w:t>:</w:t>
      </w:r>
      <w:r w:rsidRPr="00FB3D0B">
        <w:rPr>
          <w:rFonts w:ascii="Arial" w:eastAsia="楷体" w:hAnsi="Arial" w:cs="Arial"/>
          <w:kern w:val="0"/>
          <w:sz w:val="24"/>
          <w:szCs w:val="24"/>
        </w:rPr>
        <w:t xml:space="preserve"> Immobility times in the FST</w:t>
      </w:r>
      <w:r w:rsidRPr="004E26D5">
        <w:rPr>
          <w:rFonts w:ascii="Arial" w:eastAsia="楷体" w:hAnsi="Arial" w:cs="Arial"/>
          <w:kern w:val="0"/>
          <w:sz w:val="24"/>
          <w:szCs w:val="24"/>
        </w:rPr>
        <w:t xml:space="preserve"> </w:t>
      </w:r>
      <w:r w:rsidRPr="00FB3D0B">
        <w:rPr>
          <w:rFonts w:ascii="Arial" w:eastAsia="楷体" w:hAnsi="Arial" w:cs="Arial"/>
          <w:kern w:val="0"/>
          <w:sz w:val="24"/>
          <w:szCs w:val="24"/>
        </w:rPr>
        <w:t>of the mice.</w:t>
      </w:r>
      <w:r w:rsidRPr="004E26D5">
        <w:rPr>
          <w:rFonts w:ascii="Arial" w:eastAsia="楷体" w:hAnsi="Arial" w:cs="Arial"/>
          <w:kern w:val="0"/>
          <w:sz w:val="24"/>
          <w:szCs w:val="24"/>
        </w:rPr>
        <w:t xml:space="preserve"> </w:t>
      </w:r>
      <w:r w:rsidRPr="00593604">
        <w:rPr>
          <w:rFonts w:ascii="Arial" w:eastAsia="楷体" w:hAnsi="Arial" w:cs="Arial"/>
          <w:kern w:val="0"/>
          <w:sz w:val="24"/>
          <w:szCs w:val="24"/>
        </w:rPr>
        <w:t xml:space="preserve">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0.01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CUS group and the Control group.</w:t>
      </w:r>
    </w:p>
    <w:p w14:paraId="16C6134A" w14:textId="77777777" w:rsidR="00307747" w:rsidRPr="00593604" w:rsidRDefault="00307747" w:rsidP="00307747">
      <w:pPr>
        <w:spacing w:line="360" w:lineRule="auto"/>
        <w:rPr>
          <w:rFonts w:ascii="Arial" w:eastAsia="楷体" w:hAnsi="Arial" w:cs="Arial"/>
          <w:b/>
          <w:bCs/>
          <w:kern w:val="0"/>
          <w:sz w:val="24"/>
          <w:szCs w:val="24"/>
        </w:rPr>
      </w:pPr>
    </w:p>
    <w:p w14:paraId="47DEBCE6" w14:textId="77777777" w:rsidR="00307747" w:rsidRPr="00593604" w:rsidRDefault="00307747" w:rsidP="00307747">
      <w:pPr>
        <w:spacing w:line="360" w:lineRule="auto"/>
        <w:rPr>
          <w:rFonts w:ascii="Arial" w:eastAsia="楷体" w:hAnsi="Arial" w:cs="Arial"/>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3</w:t>
      </w:r>
      <w:r w:rsidRPr="00593604">
        <w:rPr>
          <w:rFonts w:ascii="Arial" w:eastAsia="楷体" w:hAnsi="Arial" w:cs="Arial"/>
          <w:b/>
          <w:bCs/>
          <w:kern w:val="0"/>
          <w:sz w:val="24"/>
          <w:szCs w:val="24"/>
        </w:rPr>
        <w:t xml:space="preserve"> CUS induces a decrease in the number of dendritic spines in the three areas of the hippocampus. A:</w:t>
      </w:r>
      <w:r w:rsidRPr="00593604">
        <w:rPr>
          <w:rFonts w:ascii="Arial" w:eastAsia="楷体" w:hAnsi="Arial" w:cs="Arial"/>
          <w:kern w:val="0"/>
          <w:sz w:val="24"/>
          <w:szCs w:val="24"/>
        </w:rPr>
        <w:t xml:space="preserve"> 3D schematic diagrams of immunofluorescence staining of MAP2 (red) and DAPI (blue) in the CA1, CA3 and DG regions of the Control group and CUS group. </w:t>
      </w:r>
      <w:r w:rsidRPr="00593604">
        <w:rPr>
          <w:rFonts w:ascii="Arial" w:hAnsi="Arial" w:cs="Arial"/>
          <w:sz w:val="24"/>
          <w:szCs w:val="24"/>
        </w:rPr>
        <w:t xml:space="preserve">The area covered by the blue square represents the CA1 region, the area covered by the yellow square represents the CA3 region, and the area covered by the white square represents the DG region. </w:t>
      </w:r>
      <w:r w:rsidRPr="00593604">
        <w:rPr>
          <w:rFonts w:ascii="Arial" w:eastAsia="楷体" w:hAnsi="Arial" w:cs="Arial"/>
          <w:kern w:val="0"/>
          <w:sz w:val="24"/>
          <w:szCs w:val="24"/>
        </w:rPr>
        <w:t xml:space="preserve">Scale bar (two pictures on the top left and bottom left) = 500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w:t>
      </w:r>
      <w:r w:rsidRPr="00593604">
        <w:rPr>
          <w:rFonts w:ascii="Arial" w:hAnsi="Arial" w:cs="Arial"/>
          <w:sz w:val="24"/>
          <w:szCs w:val="24"/>
        </w:rPr>
        <w:t xml:space="preserve"> </w:t>
      </w:r>
      <w:r w:rsidRPr="00593604">
        <w:rPr>
          <w:rFonts w:ascii="Arial" w:eastAsia="楷体" w:hAnsi="Arial" w:cs="Arial"/>
          <w:kern w:val="0"/>
          <w:sz w:val="24"/>
          <w:szCs w:val="24"/>
        </w:rPr>
        <w:t xml:space="preserve">Scale bar (six pictures on the upper right and lower right)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xml:space="preserve">. </w:t>
      </w:r>
      <w:r w:rsidRPr="00593604">
        <w:rPr>
          <w:rFonts w:ascii="Arial" w:eastAsia="楷体" w:hAnsi="Arial" w:cs="Arial"/>
          <w:b/>
          <w:bCs/>
          <w:kern w:val="0"/>
          <w:sz w:val="24"/>
          <w:szCs w:val="24"/>
        </w:rPr>
        <w:t>B:</w:t>
      </w:r>
      <w:r w:rsidRPr="00593604">
        <w:rPr>
          <w:rFonts w:ascii="Arial" w:eastAsia="楷体" w:hAnsi="Arial" w:cs="Arial"/>
          <w:kern w:val="0"/>
          <w:sz w:val="24"/>
          <w:szCs w:val="24"/>
        </w:rPr>
        <w:t xml:space="preserve"> Semiquantitative analyses of the intensity of MAP2 in the CA1, CA3 and DG regions of the Control group and CUS group. The data are shown as the means ± SDs.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CUS group and the Control group.</w:t>
      </w:r>
    </w:p>
    <w:p w14:paraId="4701942D" w14:textId="77777777" w:rsidR="00307747" w:rsidRPr="00593604" w:rsidRDefault="00307747" w:rsidP="00307747">
      <w:pPr>
        <w:widowControl/>
        <w:spacing w:line="360" w:lineRule="auto"/>
        <w:rPr>
          <w:rFonts w:ascii="Arial" w:eastAsia="楷体" w:hAnsi="Arial" w:cs="Arial"/>
          <w:kern w:val="0"/>
          <w:sz w:val="24"/>
          <w:szCs w:val="24"/>
        </w:rPr>
      </w:pPr>
    </w:p>
    <w:p w14:paraId="229E6D46" w14:textId="77777777" w:rsidR="00307747" w:rsidRPr="00593604" w:rsidRDefault="00307747" w:rsidP="00307747">
      <w:pPr>
        <w:widowControl/>
        <w:spacing w:line="360" w:lineRule="auto"/>
        <w:rPr>
          <w:rFonts w:ascii="Arial" w:eastAsia="楷体" w:hAnsi="Arial" w:cs="Arial"/>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4</w:t>
      </w:r>
      <w:r w:rsidRPr="00593604">
        <w:rPr>
          <w:rFonts w:ascii="Arial" w:eastAsia="楷体" w:hAnsi="Arial" w:cs="Arial"/>
          <w:b/>
          <w:bCs/>
          <w:kern w:val="0"/>
          <w:sz w:val="24"/>
          <w:szCs w:val="24"/>
        </w:rPr>
        <w:t xml:space="preserve"> CUS decreases the density of excitatory synapses in the three areas of the hippocampus. A: </w:t>
      </w:r>
      <w:r w:rsidRPr="00593604">
        <w:rPr>
          <w:rFonts w:ascii="Arial" w:eastAsia="楷体" w:hAnsi="Arial" w:cs="Arial"/>
          <w:kern w:val="0"/>
          <w:sz w:val="24"/>
          <w:szCs w:val="24"/>
        </w:rPr>
        <w:t xml:space="preserve">3D schematic diagrams of immunofluorescence staining of PSD95 (green) and DAPI (blue) in the CA1, CA3 and DG regions of the Control group and CUS group. Scale bar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xml:space="preserve">. </w:t>
      </w:r>
      <w:r w:rsidRPr="00593604">
        <w:rPr>
          <w:rFonts w:ascii="Arial" w:eastAsia="楷体" w:hAnsi="Arial" w:cs="Arial"/>
          <w:b/>
          <w:bCs/>
          <w:kern w:val="0"/>
          <w:sz w:val="24"/>
          <w:szCs w:val="24"/>
        </w:rPr>
        <w:t>B:</w:t>
      </w:r>
      <w:r w:rsidRPr="00593604">
        <w:rPr>
          <w:rFonts w:ascii="Arial" w:eastAsia="楷体" w:hAnsi="Arial" w:cs="Arial"/>
          <w:kern w:val="0"/>
          <w:sz w:val="24"/>
          <w:szCs w:val="24"/>
        </w:rPr>
        <w:t xml:space="preserve"> Semiquantitative analyses of the density of PSD95</w:t>
      </w:r>
      <w:r w:rsidRPr="00593604">
        <w:rPr>
          <w:rFonts w:ascii="Arial" w:eastAsia="楷体" w:hAnsi="Arial" w:cs="Arial"/>
          <w:kern w:val="0"/>
          <w:sz w:val="24"/>
          <w:szCs w:val="24"/>
          <w:vertAlign w:val="superscript"/>
        </w:rPr>
        <w:t>+</w:t>
      </w:r>
      <w:r w:rsidRPr="00593604">
        <w:rPr>
          <w:rFonts w:ascii="Arial" w:eastAsia="楷体" w:hAnsi="Arial" w:cs="Arial"/>
          <w:kern w:val="0"/>
          <w:sz w:val="24"/>
          <w:szCs w:val="24"/>
        </w:rPr>
        <w:t xml:space="preserve"> synapses (PSD95-immunoreactive puncta) in the CA1, CA3 and DG regions of the Control group and CUS group. 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0.01 between the CUS group and the Control group.</w:t>
      </w:r>
      <w:r w:rsidRPr="00593604">
        <w:rPr>
          <w:rFonts w:ascii="Arial" w:eastAsia="楷体" w:hAnsi="Arial" w:cs="Arial"/>
          <w:b/>
          <w:noProof/>
          <w:kern w:val="0"/>
          <w:sz w:val="24"/>
          <w:szCs w:val="24"/>
        </w:rPr>
        <w:t xml:space="preserve"> </w:t>
      </w:r>
      <w:r w:rsidRPr="00593604">
        <w:rPr>
          <w:rFonts w:ascii="Arial" w:eastAsia="楷体" w:hAnsi="Arial" w:cs="Arial"/>
          <w:kern w:val="0"/>
          <w:sz w:val="24"/>
          <w:szCs w:val="24"/>
        </w:rPr>
        <w:t xml:space="preserve">***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CUS group and the Control group.</w:t>
      </w:r>
    </w:p>
    <w:p w14:paraId="32D2D1A0" w14:textId="77777777" w:rsidR="00307747" w:rsidRPr="00593604" w:rsidRDefault="00307747" w:rsidP="00307747">
      <w:pPr>
        <w:widowControl/>
        <w:spacing w:line="360" w:lineRule="auto"/>
        <w:rPr>
          <w:rFonts w:ascii="Arial" w:eastAsia="楷体" w:hAnsi="Arial" w:cs="Arial"/>
          <w:kern w:val="0"/>
          <w:sz w:val="24"/>
          <w:szCs w:val="24"/>
        </w:rPr>
      </w:pPr>
    </w:p>
    <w:p w14:paraId="5CC0ADA2" w14:textId="77777777" w:rsidR="00307747" w:rsidRDefault="00307747" w:rsidP="00307747">
      <w:pPr>
        <w:widowControl/>
        <w:spacing w:line="360" w:lineRule="auto"/>
        <w:rPr>
          <w:rFonts w:ascii="Arial" w:eastAsia="楷体" w:hAnsi="Arial" w:cs="Arial"/>
          <w:kern w:val="0"/>
          <w:sz w:val="24"/>
          <w:szCs w:val="24"/>
        </w:rPr>
      </w:pPr>
      <w:bookmarkStart w:id="4" w:name="_Hlk165147421"/>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5</w:t>
      </w:r>
      <w:r w:rsidRPr="00593604">
        <w:rPr>
          <w:rFonts w:ascii="Arial" w:eastAsia="楷体" w:hAnsi="Arial" w:cs="Arial"/>
          <w:b/>
          <w:bCs/>
          <w:kern w:val="0"/>
          <w:sz w:val="24"/>
          <w:szCs w:val="24"/>
        </w:rPr>
        <w:t xml:space="preserve"> CUS decreases the density of inhibitory synapses in the three areas of the hippocampus. </w:t>
      </w:r>
      <w:r w:rsidRPr="00593604">
        <w:rPr>
          <w:rFonts w:ascii="Arial" w:eastAsia="楷体" w:hAnsi="Arial" w:cs="Arial"/>
          <w:kern w:val="0"/>
          <w:sz w:val="24"/>
          <w:szCs w:val="24"/>
        </w:rPr>
        <w:t>A:</w:t>
      </w:r>
      <w:r w:rsidRPr="00593604">
        <w:rPr>
          <w:rFonts w:ascii="Arial" w:eastAsia="楷体" w:hAnsi="Arial" w:cs="Arial"/>
          <w:b/>
          <w:bCs/>
          <w:kern w:val="0"/>
          <w:sz w:val="24"/>
          <w:szCs w:val="24"/>
        </w:rPr>
        <w:t xml:space="preserve"> </w:t>
      </w:r>
      <w:r w:rsidRPr="00593604">
        <w:rPr>
          <w:rFonts w:ascii="Arial" w:eastAsia="楷体" w:hAnsi="Arial" w:cs="Arial"/>
          <w:kern w:val="0"/>
          <w:sz w:val="24"/>
          <w:szCs w:val="24"/>
        </w:rPr>
        <w:t xml:space="preserve">Representative western blot images of Gephyrin expression in the hippocampus. B: Gephyrin expression level in the hippocampus of the mice in the Control group and CUS group. C: 3D schematic diagrams of immunofluorescence staining of Gephyrin (green) and DAPI (blue) in the CA1, CA3 and DG regions of the Control group and CUS group. Scale bar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D: Semiquantitative analyses of the density of Gephyrin</w:t>
      </w:r>
      <w:r w:rsidRPr="00593604">
        <w:rPr>
          <w:rFonts w:ascii="Arial" w:eastAsia="楷体" w:hAnsi="Arial" w:cs="Arial"/>
          <w:kern w:val="0"/>
          <w:sz w:val="24"/>
          <w:szCs w:val="24"/>
          <w:vertAlign w:val="superscript"/>
        </w:rPr>
        <w:t>+</w:t>
      </w:r>
      <w:r w:rsidRPr="00593604">
        <w:rPr>
          <w:rFonts w:ascii="Arial" w:eastAsia="楷体" w:hAnsi="Arial" w:cs="Arial"/>
          <w:kern w:val="0"/>
          <w:sz w:val="24"/>
          <w:szCs w:val="24"/>
        </w:rPr>
        <w:t xml:space="preserve"> synapses (Gephyrin-immunoreactive puncta) in the CA1, CA3 and DG of the Control group and the CUS group. 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0.01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CUS group and the Control group. </w:t>
      </w:r>
      <w:bookmarkEnd w:id="4"/>
    </w:p>
    <w:p w14:paraId="66D1F6C4" w14:textId="77777777" w:rsidR="00307747" w:rsidRPr="00593604" w:rsidRDefault="00307747" w:rsidP="00307747">
      <w:pPr>
        <w:widowControl/>
        <w:spacing w:line="360" w:lineRule="auto"/>
        <w:rPr>
          <w:rFonts w:ascii="Arial" w:eastAsia="楷体" w:hAnsi="Arial" w:cs="Arial"/>
          <w:kern w:val="0"/>
          <w:sz w:val="24"/>
          <w:szCs w:val="24"/>
        </w:rPr>
      </w:pPr>
    </w:p>
    <w:p w14:paraId="1FF4B205" w14:textId="77777777" w:rsidR="00307747" w:rsidRPr="00FB3D0B" w:rsidRDefault="00307747" w:rsidP="00307747">
      <w:pPr>
        <w:widowControl/>
        <w:spacing w:line="360" w:lineRule="auto"/>
        <w:rPr>
          <w:rFonts w:ascii="Arial" w:eastAsia="楷体" w:hAnsi="Arial" w:cs="Arial"/>
          <w:kern w:val="0"/>
          <w:sz w:val="24"/>
          <w:szCs w:val="24"/>
        </w:rPr>
      </w:pPr>
      <w:r w:rsidRPr="00FB3D0B">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6</w:t>
      </w:r>
      <w:r w:rsidRPr="00FB3D0B">
        <w:rPr>
          <w:rFonts w:ascii="Arial" w:eastAsia="楷体" w:hAnsi="Arial" w:cs="Arial"/>
          <w:b/>
          <w:bCs/>
          <w:kern w:val="0"/>
          <w:sz w:val="24"/>
          <w:szCs w:val="24"/>
        </w:rPr>
        <w:t xml:space="preserve"> </w:t>
      </w:r>
      <w:r w:rsidRPr="009F2B81">
        <w:rPr>
          <w:rFonts w:ascii="Arial" w:eastAsia="楷体" w:hAnsi="Arial" w:cs="Arial"/>
          <w:b/>
          <w:bCs/>
          <w:kern w:val="0"/>
          <w:sz w:val="24"/>
          <w:szCs w:val="24"/>
        </w:rPr>
        <w:t>Reductions in the expression of AdipoR1 in hippocampus induces depressive-behaviors.</w:t>
      </w:r>
      <w:r>
        <w:rPr>
          <w:rFonts w:ascii="Arial" w:eastAsia="楷体" w:hAnsi="Arial" w:cs="Arial" w:hint="eastAsia"/>
          <w:b/>
          <w:bCs/>
          <w:kern w:val="0"/>
          <w:sz w:val="24"/>
          <w:szCs w:val="24"/>
        </w:rPr>
        <w:t xml:space="preserve"> </w:t>
      </w:r>
      <w:r w:rsidRPr="00FB3D0B">
        <w:rPr>
          <w:rFonts w:ascii="Arial" w:eastAsia="楷体" w:hAnsi="Arial" w:cs="Arial"/>
          <w:b/>
          <w:bCs/>
          <w:kern w:val="0"/>
          <w:sz w:val="24"/>
          <w:szCs w:val="24"/>
        </w:rPr>
        <w:t>A</w:t>
      </w:r>
      <w:r w:rsidRPr="00FB3D0B">
        <w:rPr>
          <w:rFonts w:ascii="Arial" w:eastAsia="楷体" w:hAnsi="Arial" w:cs="Arial"/>
          <w:kern w:val="0"/>
          <w:sz w:val="24"/>
          <w:szCs w:val="24"/>
        </w:rPr>
        <w:t>: Body weights of the mice.</w:t>
      </w:r>
      <w:r w:rsidRPr="00FB3D0B">
        <w:rPr>
          <w:rFonts w:ascii="Arial" w:eastAsia="楷体" w:hAnsi="Arial" w:cs="Arial"/>
          <w:b/>
          <w:bCs/>
          <w:kern w:val="0"/>
          <w:sz w:val="24"/>
          <w:szCs w:val="24"/>
        </w:rPr>
        <w:t xml:space="preserve"> </w:t>
      </w:r>
      <w:r w:rsidRPr="00FB3D0B">
        <w:rPr>
          <w:rFonts w:ascii="Arial" w:eastAsia="楷体" w:hAnsi="Arial" w:cs="Arial" w:hint="eastAsia"/>
          <w:b/>
          <w:bCs/>
          <w:kern w:val="0"/>
          <w:sz w:val="24"/>
          <w:szCs w:val="24"/>
        </w:rPr>
        <w:t>B</w:t>
      </w:r>
      <w:r w:rsidRPr="00FB3D0B">
        <w:rPr>
          <w:rFonts w:ascii="Arial" w:eastAsia="楷体" w:hAnsi="Arial" w:cs="Arial"/>
          <w:b/>
          <w:bCs/>
          <w:kern w:val="0"/>
          <w:sz w:val="24"/>
          <w:szCs w:val="24"/>
        </w:rPr>
        <w:t>:</w:t>
      </w:r>
      <w:r w:rsidRPr="00FB3D0B">
        <w:rPr>
          <w:rFonts w:ascii="Arial" w:eastAsia="楷体" w:hAnsi="Arial" w:cs="Arial"/>
          <w:kern w:val="0"/>
          <w:sz w:val="24"/>
          <w:szCs w:val="24"/>
        </w:rPr>
        <w:t xml:space="preserve"> Immobility times in the </w:t>
      </w:r>
      <w:r>
        <w:rPr>
          <w:rFonts w:ascii="Arial" w:eastAsia="楷体" w:hAnsi="Arial" w:cs="Arial" w:hint="eastAsia"/>
          <w:kern w:val="0"/>
          <w:sz w:val="24"/>
          <w:szCs w:val="24"/>
        </w:rPr>
        <w:t>T</w:t>
      </w:r>
      <w:r w:rsidRPr="00FB3D0B">
        <w:rPr>
          <w:rFonts w:ascii="Arial" w:eastAsia="楷体" w:hAnsi="Arial" w:cs="Arial"/>
          <w:kern w:val="0"/>
          <w:sz w:val="24"/>
          <w:szCs w:val="24"/>
        </w:rPr>
        <w:t>ST</w:t>
      </w:r>
      <w:r w:rsidRPr="004E26D5">
        <w:rPr>
          <w:rFonts w:ascii="Arial" w:eastAsia="楷体" w:hAnsi="Arial" w:cs="Arial"/>
          <w:kern w:val="0"/>
          <w:sz w:val="24"/>
          <w:szCs w:val="24"/>
        </w:rPr>
        <w:t xml:space="preserve"> </w:t>
      </w:r>
      <w:r w:rsidRPr="00FB3D0B">
        <w:rPr>
          <w:rFonts w:ascii="Arial" w:eastAsia="楷体" w:hAnsi="Arial" w:cs="Arial"/>
          <w:kern w:val="0"/>
          <w:sz w:val="24"/>
          <w:szCs w:val="24"/>
        </w:rPr>
        <w:t>of the mice.</w:t>
      </w:r>
      <w:r w:rsidRPr="004E26D5">
        <w:rPr>
          <w:rFonts w:ascii="Arial" w:eastAsia="楷体" w:hAnsi="Arial" w:cs="Arial"/>
          <w:kern w:val="0"/>
          <w:sz w:val="24"/>
          <w:szCs w:val="24"/>
        </w:rPr>
        <w:t xml:space="preserve"> </w:t>
      </w:r>
      <w:r w:rsidRPr="00593604">
        <w:rPr>
          <w:rFonts w:ascii="Arial" w:eastAsia="楷体" w:hAnsi="Arial" w:cs="Arial"/>
          <w:kern w:val="0"/>
          <w:sz w:val="24"/>
          <w:szCs w:val="24"/>
        </w:rPr>
        <w:t xml:space="preserve">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0.01 between the CUS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CUS group and the Control group.</w:t>
      </w:r>
    </w:p>
    <w:p w14:paraId="095E241D" w14:textId="77777777" w:rsidR="00307747" w:rsidRPr="005E3A89" w:rsidRDefault="00307747" w:rsidP="00307747">
      <w:pPr>
        <w:widowControl/>
        <w:spacing w:line="360" w:lineRule="auto"/>
        <w:rPr>
          <w:rFonts w:ascii="Arial" w:eastAsia="楷体" w:hAnsi="Arial" w:cs="Arial"/>
          <w:kern w:val="0"/>
          <w:sz w:val="24"/>
          <w:szCs w:val="24"/>
        </w:rPr>
      </w:pPr>
    </w:p>
    <w:p w14:paraId="7B9C2C25" w14:textId="77777777" w:rsidR="00307747" w:rsidRPr="00593604" w:rsidRDefault="00307747" w:rsidP="00307747">
      <w:pPr>
        <w:widowControl/>
        <w:spacing w:line="360" w:lineRule="auto"/>
        <w:rPr>
          <w:rFonts w:ascii="Arial" w:eastAsia="楷体" w:hAnsi="Arial" w:cs="Arial"/>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7</w:t>
      </w:r>
      <w:r w:rsidRPr="00593604">
        <w:rPr>
          <w:rFonts w:ascii="Arial" w:eastAsia="楷体" w:hAnsi="Arial" w:cs="Arial"/>
          <w:b/>
          <w:bCs/>
          <w:kern w:val="0"/>
          <w:sz w:val="24"/>
          <w:szCs w:val="24"/>
        </w:rPr>
        <w:t xml:space="preserve"> Reductions in the expression of AdipoR1 in hippocampus induces a decrease in the number of dendritic spines in the three areas of the hippocampus. A:</w:t>
      </w:r>
      <w:r w:rsidRPr="00593604">
        <w:rPr>
          <w:rFonts w:ascii="Arial" w:eastAsia="楷体" w:hAnsi="Arial" w:cs="Arial"/>
          <w:kern w:val="0"/>
          <w:sz w:val="24"/>
          <w:szCs w:val="24"/>
        </w:rPr>
        <w:t xml:space="preserve"> 3D schematic diagrams of immunofluorescence staining of MAP2 (red) and DAPI (blue) in the CA1, CA3 and DG regions of the Control group and AdipoR1KD group. </w:t>
      </w:r>
      <w:r w:rsidRPr="00593604">
        <w:rPr>
          <w:rFonts w:ascii="Arial" w:hAnsi="Arial" w:cs="Arial"/>
          <w:sz w:val="24"/>
          <w:szCs w:val="24"/>
        </w:rPr>
        <w:t xml:space="preserve">The area covered by the blue square represents the CA1 region, the area covered by the yellow square represents the CA3 region, and the area covered by the white square represents the DG region. </w:t>
      </w:r>
      <w:r w:rsidRPr="00593604">
        <w:rPr>
          <w:rFonts w:ascii="Arial" w:eastAsia="楷体" w:hAnsi="Arial" w:cs="Arial"/>
          <w:kern w:val="0"/>
          <w:sz w:val="24"/>
          <w:szCs w:val="24"/>
        </w:rPr>
        <w:t xml:space="preserve">Scale bar (two pictures on the top left and bottom left) = 500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w:t>
      </w:r>
      <w:r w:rsidRPr="00593604">
        <w:rPr>
          <w:rFonts w:ascii="Arial" w:hAnsi="Arial" w:cs="Arial"/>
          <w:sz w:val="24"/>
          <w:szCs w:val="24"/>
        </w:rPr>
        <w:t xml:space="preserve"> </w:t>
      </w:r>
      <w:r w:rsidRPr="00593604">
        <w:rPr>
          <w:rFonts w:ascii="Arial" w:eastAsia="楷体" w:hAnsi="Arial" w:cs="Arial"/>
          <w:kern w:val="0"/>
          <w:sz w:val="24"/>
          <w:szCs w:val="24"/>
        </w:rPr>
        <w:t xml:space="preserve">Scale bar (six pictures on the upper right and lower right)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xml:space="preserve">. </w:t>
      </w:r>
      <w:r w:rsidRPr="00593604">
        <w:rPr>
          <w:rFonts w:ascii="Arial" w:eastAsia="楷体" w:hAnsi="Arial" w:cs="Arial"/>
          <w:b/>
          <w:bCs/>
          <w:kern w:val="0"/>
          <w:sz w:val="24"/>
          <w:szCs w:val="24"/>
        </w:rPr>
        <w:t>B:</w:t>
      </w:r>
      <w:r w:rsidRPr="00593604">
        <w:rPr>
          <w:rFonts w:ascii="Arial" w:eastAsia="楷体" w:hAnsi="Arial" w:cs="Arial"/>
          <w:kern w:val="0"/>
          <w:sz w:val="24"/>
          <w:szCs w:val="24"/>
        </w:rPr>
        <w:t xml:space="preserve"> Semiquantitative analyses of the intensity of MAP2 in the CA1, CA3 and DG regions of the Control group and AdipoR1KD group. The data are shown as the means ± SDs.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AdipoR1KD group and the Control group.</w:t>
      </w:r>
    </w:p>
    <w:p w14:paraId="31568FD0" w14:textId="77777777" w:rsidR="00307747" w:rsidRPr="00593604" w:rsidRDefault="00307747" w:rsidP="00307747">
      <w:pPr>
        <w:widowControl/>
        <w:spacing w:line="360" w:lineRule="auto"/>
        <w:rPr>
          <w:rFonts w:ascii="Arial" w:eastAsia="楷体" w:hAnsi="Arial" w:cs="Arial"/>
          <w:kern w:val="0"/>
          <w:sz w:val="24"/>
          <w:szCs w:val="24"/>
        </w:rPr>
      </w:pPr>
    </w:p>
    <w:p w14:paraId="60D7E884" w14:textId="77777777" w:rsidR="00307747" w:rsidRPr="00593604" w:rsidRDefault="00307747" w:rsidP="00307747">
      <w:pPr>
        <w:spacing w:line="360" w:lineRule="auto"/>
        <w:rPr>
          <w:rFonts w:ascii="Arial" w:eastAsia="楷体" w:hAnsi="Arial" w:cs="Arial"/>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8</w:t>
      </w:r>
      <w:r w:rsidRPr="00593604">
        <w:rPr>
          <w:rFonts w:ascii="Arial" w:eastAsia="楷体" w:hAnsi="Arial" w:cs="Arial"/>
          <w:b/>
          <w:bCs/>
          <w:kern w:val="0"/>
          <w:sz w:val="24"/>
          <w:szCs w:val="24"/>
        </w:rPr>
        <w:t xml:space="preserve"> Reductions in the expression of AdipoR1 in hippocampus decreases the density of excitatory synapses in the three areas of the hippocampus. A:</w:t>
      </w:r>
      <w:r w:rsidRPr="00593604">
        <w:rPr>
          <w:rFonts w:ascii="Arial" w:eastAsia="楷体" w:hAnsi="Arial" w:cs="Arial"/>
          <w:kern w:val="0"/>
          <w:sz w:val="24"/>
          <w:szCs w:val="24"/>
        </w:rPr>
        <w:t xml:space="preserve"> 3D schematic diagrams of immunofluorescence staining of PSD95 (green) and DAPI (blue) in the CA1, CA3 and DG regions of the Control group and AdipoR1KD group. Scale bar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xml:space="preserve">. </w:t>
      </w:r>
      <w:r w:rsidRPr="00593604">
        <w:rPr>
          <w:rFonts w:ascii="Arial" w:eastAsia="楷体" w:hAnsi="Arial" w:cs="Arial"/>
          <w:b/>
          <w:bCs/>
          <w:kern w:val="0"/>
          <w:sz w:val="24"/>
          <w:szCs w:val="24"/>
        </w:rPr>
        <w:t>B:</w:t>
      </w:r>
      <w:r w:rsidRPr="00593604">
        <w:rPr>
          <w:rFonts w:ascii="Arial" w:eastAsia="楷体" w:hAnsi="Arial" w:cs="Arial"/>
          <w:kern w:val="0"/>
          <w:sz w:val="24"/>
          <w:szCs w:val="24"/>
        </w:rPr>
        <w:t xml:space="preserve"> Semiquantitative analyses of the density of PSD95</w:t>
      </w:r>
      <w:r w:rsidRPr="00593604">
        <w:rPr>
          <w:rFonts w:ascii="Arial" w:eastAsia="楷体" w:hAnsi="Arial" w:cs="Arial"/>
          <w:kern w:val="0"/>
          <w:sz w:val="24"/>
          <w:szCs w:val="24"/>
          <w:vertAlign w:val="superscript"/>
        </w:rPr>
        <w:t>+</w:t>
      </w:r>
      <w:r w:rsidRPr="00593604">
        <w:rPr>
          <w:rFonts w:ascii="Arial" w:eastAsia="楷体" w:hAnsi="Arial" w:cs="Arial"/>
          <w:kern w:val="0"/>
          <w:sz w:val="24"/>
          <w:szCs w:val="24"/>
        </w:rPr>
        <w:t xml:space="preserve"> synapses (PSD95-immunoreactive puncta) in the CA1, CA3 and DG regions of the Control group and AdipoR1KD group. 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AdipoR1KD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AdipoR1KD group and the Control group. </w:t>
      </w:r>
    </w:p>
    <w:p w14:paraId="55FFF482" w14:textId="77777777" w:rsidR="00307747" w:rsidRPr="00593604" w:rsidRDefault="00307747" w:rsidP="00307747">
      <w:pPr>
        <w:spacing w:line="360" w:lineRule="auto"/>
        <w:rPr>
          <w:rFonts w:ascii="Arial" w:eastAsia="楷体" w:hAnsi="Arial" w:cs="Arial"/>
          <w:kern w:val="0"/>
          <w:sz w:val="24"/>
          <w:szCs w:val="24"/>
        </w:rPr>
      </w:pPr>
    </w:p>
    <w:p w14:paraId="5753EFEC" w14:textId="77777777" w:rsidR="00307747" w:rsidRPr="00593604" w:rsidRDefault="00307747" w:rsidP="00307747">
      <w:pPr>
        <w:spacing w:line="360" w:lineRule="auto"/>
        <w:rPr>
          <w:rFonts w:ascii="Arial" w:eastAsia="楷体" w:hAnsi="Arial" w:cs="Arial"/>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9</w:t>
      </w:r>
      <w:r w:rsidRPr="00593604">
        <w:rPr>
          <w:rFonts w:ascii="Arial" w:eastAsia="楷体" w:hAnsi="Arial" w:cs="Arial"/>
          <w:b/>
          <w:bCs/>
          <w:kern w:val="0"/>
          <w:sz w:val="24"/>
          <w:szCs w:val="24"/>
        </w:rPr>
        <w:t xml:space="preserve"> Reductions in the expression of AdipoR1 in hippocampus decreases the density of inhibitory synapses in three areas of the hippocampus. A:</w:t>
      </w:r>
      <w:r w:rsidRPr="00593604">
        <w:rPr>
          <w:rFonts w:ascii="Arial" w:eastAsia="楷体" w:hAnsi="Arial" w:cs="Arial"/>
          <w:kern w:val="0"/>
          <w:sz w:val="24"/>
          <w:szCs w:val="24"/>
        </w:rPr>
        <w:t xml:space="preserve"> 3D schematic diagrams of immunofluorescence staining of Gephyrin (green) and DAPI (blue) in the CA1, CA3 and DG regions of the Control group and AdipoR1KD. </w:t>
      </w:r>
      <w:r w:rsidRPr="00593604">
        <w:rPr>
          <w:rFonts w:ascii="Arial" w:eastAsia="楷体" w:hAnsi="Arial" w:cs="Arial"/>
          <w:b/>
          <w:bCs/>
          <w:kern w:val="0"/>
          <w:sz w:val="24"/>
          <w:szCs w:val="24"/>
        </w:rPr>
        <w:t>B:</w:t>
      </w:r>
      <w:r w:rsidRPr="00593604">
        <w:rPr>
          <w:rFonts w:ascii="Arial" w:eastAsia="楷体" w:hAnsi="Arial" w:cs="Arial"/>
          <w:kern w:val="0"/>
          <w:sz w:val="24"/>
          <w:szCs w:val="24"/>
        </w:rPr>
        <w:t xml:space="preserve"> Semiquantitative analyses of the density of Gephyrin</w:t>
      </w:r>
      <w:r w:rsidRPr="00593604">
        <w:rPr>
          <w:rFonts w:ascii="Arial" w:eastAsia="楷体" w:hAnsi="Arial" w:cs="Arial"/>
          <w:kern w:val="0"/>
          <w:sz w:val="24"/>
          <w:szCs w:val="24"/>
          <w:vertAlign w:val="superscript"/>
        </w:rPr>
        <w:t>+</w:t>
      </w:r>
      <w:r w:rsidRPr="00593604">
        <w:rPr>
          <w:rFonts w:ascii="Arial" w:eastAsia="楷体" w:hAnsi="Arial" w:cs="Arial"/>
          <w:kern w:val="0"/>
          <w:sz w:val="24"/>
          <w:szCs w:val="24"/>
        </w:rPr>
        <w:t xml:space="preserve"> synapses (Gephyrin-immunoreactive puncta) in the CA1, CA3 and DG regions of the Control group and the AdipoR1KD. Scale bar = 50 </w:t>
      </w:r>
      <w:proofErr w:type="spellStart"/>
      <w:r w:rsidRPr="00593604">
        <w:rPr>
          <w:rFonts w:ascii="Arial" w:eastAsia="宋体" w:hAnsi="Arial" w:cs="Arial"/>
          <w:kern w:val="0"/>
          <w:sz w:val="24"/>
          <w:szCs w:val="24"/>
        </w:rPr>
        <w:t>μ</w:t>
      </w:r>
      <w:r w:rsidRPr="00593604">
        <w:rPr>
          <w:rFonts w:ascii="Arial" w:eastAsia="楷体" w:hAnsi="Arial" w:cs="Arial"/>
          <w:kern w:val="0"/>
          <w:sz w:val="24"/>
          <w:szCs w:val="24"/>
        </w:rPr>
        <w:t>m</w:t>
      </w:r>
      <w:proofErr w:type="spellEnd"/>
      <w:r w:rsidRPr="00593604">
        <w:rPr>
          <w:rFonts w:ascii="Arial" w:eastAsia="楷体" w:hAnsi="Arial" w:cs="Arial"/>
          <w:kern w:val="0"/>
          <w:sz w:val="24"/>
          <w:szCs w:val="24"/>
        </w:rPr>
        <w:t xml:space="preserve">. The data are shown as the means ± SDs. * </w:t>
      </w:r>
      <w:proofErr w:type="gramStart"/>
      <w:r w:rsidRPr="00593604">
        <w:rPr>
          <w:rFonts w:ascii="Arial" w:eastAsia="楷体" w:hAnsi="Arial" w:cs="Arial"/>
          <w:kern w:val="0"/>
          <w:sz w:val="24"/>
          <w:szCs w:val="24"/>
        </w:rPr>
        <w:t>indicates</w:t>
      </w:r>
      <w:proofErr w:type="gramEnd"/>
      <w:r w:rsidRPr="00593604">
        <w:rPr>
          <w:rFonts w:ascii="Arial" w:eastAsia="楷体" w:hAnsi="Arial" w:cs="Arial"/>
          <w:kern w:val="0"/>
          <w:sz w:val="24"/>
          <w:szCs w:val="24"/>
        </w:rPr>
        <w:t xml:space="preserve">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0.05 between the AdipoR1KD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0.01 between the AdipoR1KD group and the Control group. *** indicates </w:t>
      </w:r>
      <w:r w:rsidRPr="00593604">
        <w:rPr>
          <w:rFonts w:ascii="Arial" w:eastAsia="楷体" w:hAnsi="Arial" w:cs="Arial"/>
          <w:i/>
          <w:iCs/>
          <w:kern w:val="0"/>
          <w:sz w:val="24"/>
          <w:szCs w:val="24"/>
        </w:rPr>
        <w:t>P</w:t>
      </w:r>
      <w:r w:rsidRPr="00593604">
        <w:rPr>
          <w:rFonts w:ascii="Arial" w:eastAsia="楷体" w:hAnsi="Arial" w:cs="Arial"/>
          <w:kern w:val="0"/>
          <w:sz w:val="24"/>
          <w:szCs w:val="24"/>
        </w:rPr>
        <w:t xml:space="preserve"> &lt; 0.001 between the AdipoR1KD group and the Control group. </w:t>
      </w:r>
    </w:p>
    <w:p w14:paraId="4A2822A0" w14:textId="77777777" w:rsidR="00307747" w:rsidRPr="00593604" w:rsidRDefault="00307747" w:rsidP="00307747">
      <w:pPr>
        <w:widowControl/>
        <w:spacing w:line="360" w:lineRule="auto"/>
        <w:rPr>
          <w:rFonts w:ascii="Arial" w:eastAsia="楷体" w:hAnsi="Arial" w:cs="Arial"/>
          <w:kern w:val="0"/>
          <w:sz w:val="24"/>
          <w:szCs w:val="24"/>
        </w:rPr>
      </w:pPr>
      <w:r w:rsidRPr="00593604">
        <w:rPr>
          <w:rFonts w:ascii="Arial" w:eastAsia="楷体" w:hAnsi="Arial" w:cs="Arial"/>
          <w:kern w:val="0"/>
          <w:sz w:val="24"/>
          <w:szCs w:val="24"/>
        </w:rPr>
        <w:br w:type="page"/>
      </w:r>
    </w:p>
    <w:p w14:paraId="00C53191" w14:textId="77777777" w:rsidR="00307747" w:rsidRPr="00593604" w:rsidRDefault="00307747" w:rsidP="00307747">
      <w:pPr>
        <w:widowControl/>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Supplementary Fig. 1</w:t>
      </w:r>
    </w:p>
    <w:p w14:paraId="280B2832" w14:textId="77777777" w:rsidR="00307747" w:rsidRPr="00593604" w:rsidRDefault="00307747" w:rsidP="00307747">
      <w:pPr>
        <w:widowControl/>
        <w:spacing w:line="360" w:lineRule="auto"/>
        <w:jc w:val="center"/>
        <w:rPr>
          <w:rFonts w:ascii="Arial" w:eastAsia="楷体" w:hAnsi="Arial" w:cs="Arial"/>
          <w:kern w:val="0"/>
          <w:sz w:val="24"/>
          <w:szCs w:val="24"/>
        </w:rPr>
      </w:pPr>
      <w:r w:rsidRPr="00593604">
        <w:rPr>
          <w:rFonts w:ascii="Arial" w:hAnsi="Arial" w:cs="Arial"/>
          <w:noProof/>
        </w:rPr>
        <w:drawing>
          <wp:inline distT="0" distB="0" distL="0" distR="0" wp14:anchorId="7A671A05" wp14:editId="605E2A99">
            <wp:extent cx="3134360" cy="1417955"/>
            <wp:effectExtent l="0" t="0" r="8890" b="0"/>
            <wp:docPr id="1735781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4360" cy="1417955"/>
                    </a:xfrm>
                    <a:prstGeom prst="rect">
                      <a:avLst/>
                    </a:prstGeom>
                    <a:noFill/>
                    <a:ln>
                      <a:noFill/>
                    </a:ln>
                  </pic:spPr>
                </pic:pic>
              </a:graphicData>
            </a:graphic>
          </wp:inline>
        </w:drawing>
      </w:r>
    </w:p>
    <w:p w14:paraId="4F11D98F" w14:textId="77777777" w:rsidR="00307747" w:rsidRPr="00593604" w:rsidRDefault="00307747" w:rsidP="00307747">
      <w:pPr>
        <w:widowControl/>
        <w:spacing w:line="360" w:lineRule="auto"/>
        <w:rPr>
          <w:rFonts w:ascii="Arial" w:eastAsia="楷体" w:hAnsi="Arial" w:cs="Arial"/>
          <w:noProof/>
          <w:kern w:val="0"/>
          <w:sz w:val="24"/>
          <w:szCs w:val="24"/>
        </w:rPr>
      </w:pPr>
    </w:p>
    <w:p w14:paraId="7AD42EA8" w14:textId="77777777" w:rsidR="00307747" w:rsidRDefault="00307747" w:rsidP="00307747">
      <w:pPr>
        <w:widowControl/>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Supplementary Fig. 2</w:t>
      </w:r>
    </w:p>
    <w:p w14:paraId="390ED42C" w14:textId="77777777" w:rsidR="00307747" w:rsidRDefault="00307747" w:rsidP="00307747">
      <w:pPr>
        <w:widowControl/>
        <w:spacing w:line="360" w:lineRule="auto"/>
        <w:jc w:val="center"/>
        <w:rPr>
          <w:rFonts w:ascii="Arial" w:eastAsia="楷体" w:hAnsi="Arial" w:cs="Arial"/>
          <w:b/>
          <w:bCs/>
          <w:kern w:val="0"/>
          <w:sz w:val="24"/>
          <w:szCs w:val="24"/>
        </w:rPr>
      </w:pPr>
      <w:r>
        <w:rPr>
          <w:noProof/>
        </w:rPr>
        <w:drawing>
          <wp:inline distT="0" distB="0" distL="0" distR="0" wp14:anchorId="1795284B" wp14:editId="503790A0">
            <wp:extent cx="3098800" cy="984250"/>
            <wp:effectExtent l="0" t="0" r="6350" b="6350"/>
            <wp:docPr id="171028134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8800" cy="984250"/>
                    </a:xfrm>
                    <a:prstGeom prst="rect">
                      <a:avLst/>
                    </a:prstGeom>
                    <a:noFill/>
                    <a:ln>
                      <a:noFill/>
                    </a:ln>
                  </pic:spPr>
                </pic:pic>
              </a:graphicData>
            </a:graphic>
          </wp:inline>
        </w:drawing>
      </w:r>
    </w:p>
    <w:p w14:paraId="08EE809E" w14:textId="77777777" w:rsidR="00307747" w:rsidRDefault="00307747" w:rsidP="00307747">
      <w:pPr>
        <w:widowControl/>
        <w:spacing w:line="360" w:lineRule="auto"/>
        <w:jc w:val="center"/>
        <w:rPr>
          <w:rFonts w:ascii="Arial" w:eastAsia="楷体" w:hAnsi="Arial" w:cs="Arial"/>
          <w:b/>
          <w:bCs/>
          <w:kern w:val="0"/>
          <w:sz w:val="24"/>
          <w:szCs w:val="24"/>
        </w:rPr>
      </w:pPr>
    </w:p>
    <w:p w14:paraId="40C8DEB4" w14:textId="77777777" w:rsidR="00307747" w:rsidRPr="00593604" w:rsidRDefault="00307747" w:rsidP="00307747">
      <w:pPr>
        <w:widowControl/>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3</w:t>
      </w:r>
    </w:p>
    <w:p w14:paraId="751466CB" w14:textId="77777777" w:rsidR="00307747" w:rsidRDefault="00307747" w:rsidP="00307747">
      <w:pPr>
        <w:widowControl/>
        <w:spacing w:line="360" w:lineRule="auto"/>
        <w:jc w:val="center"/>
        <w:rPr>
          <w:rFonts w:ascii="Arial" w:eastAsia="楷体" w:hAnsi="Arial" w:cs="Arial"/>
          <w:noProof/>
          <w:kern w:val="0"/>
          <w:sz w:val="24"/>
          <w:szCs w:val="24"/>
        </w:rPr>
      </w:pPr>
      <w:r w:rsidRPr="00593604">
        <w:rPr>
          <w:rFonts w:ascii="Arial" w:hAnsi="Arial" w:cs="Arial"/>
          <w:noProof/>
        </w:rPr>
        <w:drawing>
          <wp:inline distT="0" distB="0" distL="0" distR="0" wp14:anchorId="7EB4199F" wp14:editId="5E47DE3F">
            <wp:extent cx="3131185" cy="2435962"/>
            <wp:effectExtent l="0" t="0" r="0" b="2540"/>
            <wp:docPr id="14967732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0953"/>
                    <a:stretch/>
                  </pic:blipFill>
                  <pic:spPr bwMode="auto">
                    <a:xfrm>
                      <a:off x="0" y="0"/>
                      <a:ext cx="3131185" cy="2435962"/>
                    </a:xfrm>
                    <a:prstGeom prst="rect">
                      <a:avLst/>
                    </a:prstGeom>
                    <a:noFill/>
                    <a:ln>
                      <a:noFill/>
                    </a:ln>
                    <a:extLst>
                      <a:ext uri="{53640926-AAD7-44D8-BBD7-CCE9431645EC}">
                        <a14:shadowObscured xmlns:a14="http://schemas.microsoft.com/office/drawing/2010/main"/>
                      </a:ext>
                    </a:extLst>
                  </pic:spPr>
                </pic:pic>
              </a:graphicData>
            </a:graphic>
          </wp:inline>
        </w:drawing>
      </w:r>
    </w:p>
    <w:p w14:paraId="2AB87DEC" w14:textId="77777777" w:rsidR="00307747" w:rsidRPr="00593604" w:rsidRDefault="00307747" w:rsidP="00307747">
      <w:pPr>
        <w:widowControl/>
        <w:spacing w:line="360" w:lineRule="auto"/>
        <w:jc w:val="center"/>
        <w:rPr>
          <w:rFonts w:ascii="Arial" w:eastAsia="楷体" w:hAnsi="Arial" w:cs="Arial"/>
          <w:noProof/>
          <w:kern w:val="0"/>
          <w:sz w:val="24"/>
          <w:szCs w:val="24"/>
        </w:rPr>
      </w:pPr>
    </w:p>
    <w:p w14:paraId="02C38A19" w14:textId="77777777" w:rsidR="00307747" w:rsidRPr="00593604" w:rsidRDefault="00307747" w:rsidP="00307747">
      <w:pPr>
        <w:widowControl/>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4</w:t>
      </w:r>
    </w:p>
    <w:p w14:paraId="22959FE0" w14:textId="77777777" w:rsidR="00307747" w:rsidRPr="00593604" w:rsidRDefault="00307747" w:rsidP="00307747">
      <w:pPr>
        <w:widowControl/>
        <w:spacing w:line="360" w:lineRule="auto"/>
        <w:jc w:val="center"/>
        <w:rPr>
          <w:rFonts w:ascii="Arial" w:eastAsia="楷体" w:hAnsi="Arial" w:cs="Arial"/>
          <w:b/>
          <w:bCs/>
          <w:kern w:val="0"/>
          <w:sz w:val="24"/>
          <w:szCs w:val="24"/>
        </w:rPr>
      </w:pPr>
      <w:r w:rsidRPr="00593604">
        <w:rPr>
          <w:rFonts w:ascii="Arial" w:hAnsi="Arial" w:cs="Arial"/>
          <w:noProof/>
        </w:rPr>
        <w:drawing>
          <wp:inline distT="0" distB="0" distL="0" distR="0" wp14:anchorId="06260FE6" wp14:editId="7D3CAB70">
            <wp:extent cx="3131185" cy="3437890"/>
            <wp:effectExtent l="0" t="0" r="0" b="0"/>
            <wp:docPr id="198205674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31185" cy="3437890"/>
                    </a:xfrm>
                    <a:prstGeom prst="rect">
                      <a:avLst/>
                    </a:prstGeom>
                    <a:noFill/>
                    <a:ln>
                      <a:noFill/>
                    </a:ln>
                  </pic:spPr>
                </pic:pic>
              </a:graphicData>
            </a:graphic>
          </wp:inline>
        </w:drawing>
      </w:r>
    </w:p>
    <w:p w14:paraId="61231018" w14:textId="77777777" w:rsidR="00307747" w:rsidRPr="00593604" w:rsidRDefault="00307747" w:rsidP="00307747">
      <w:pPr>
        <w:widowControl/>
        <w:spacing w:line="360" w:lineRule="auto"/>
        <w:rPr>
          <w:rFonts w:ascii="Arial" w:eastAsia="楷体" w:hAnsi="Arial" w:cs="Arial"/>
          <w:kern w:val="0"/>
          <w:sz w:val="24"/>
          <w:szCs w:val="24"/>
        </w:rPr>
      </w:pPr>
    </w:p>
    <w:p w14:paraId="192D50A6" w14:textId="77777777" w:rsidR="00307747" w:rsidRPr="00593604" w:rsidRDefault="00307747" w:rsidP="00307747">
      <w:pPr>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5</w:t>
      </w:r>
    </w:p>
    <w:p w14:paraId="7A7BA14E" w14:textId="77777777" w:rsidR="00307747" w:rsidRPr="00593604" w:rsidRDefault="00307747" w:rsidP="00307747">
      <w:pPr>
        <w:spacing w:line="360" w:lineRule="auto"/>
        <w:jc w:val="center"/>
        <w:rPr>
          <w:rFonts w:ascii="Arial" w:eastAsia="楷体" w:hAnsi="Arial" w:cs="Arial"/>
          <w:b/>
          <w:bCs/>
          <w:noProof/>
          <w:kern w:val="0"/>
          <w:sz w:val="24"/>
          <w:szCs w:val="24"/>
        </w:rPr>
      </w:pPr>
      <w:r w:rsidRPr="00593604">
        <w:rPr>
          <w:rFonts w:ascii="Arial" w:hAnsi="Arial" w:cs="Arial"/>
          <w:noProof/>
        </w:rPr>
        <w:drawing>
          <wp:inline distT="0" distB="0" distL="0" distR="0" wp14:anchorId="1B89F36E" wp14:editId="164C93A9">
            <wp:extent cx="3131185" cy="3437890"/>
            <wp:effectExtent l="0" t="0" r="0" b="0"/>
            <wp:docPr id="7454932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1185" cy="3437890"/>
                    </a:xfrm>
                    <a:prstGeom prst="rect">
                      <a:avLst/>
                    </a:prstGeom>
                    <a:noFill/>
                    <a:ln>
                      <a:noFill/>
                    </a:ln>
                  </pic:spPr>
                </pic:pic>
              </a:graphicData>
            </a:graphic>
          </wp:inline>
        </w:drawing>
      </w:r>
    </w:p>
    <w:p w14:paraId="73E82598" w14:textId="77777777" w:rsidR="00307747" w:rsidRPr="00593604" w:rsidRDefault="00307747" w:rsidP="00307747">
      <w:pPr>
        <w:spacing w:line="360" w:lineRule="auto"/>
        <w:rPr>
          <w:rFonts w:ascii="Arial" w:hAnsi="Arial" w:cs="Arial"/>
          <w:noProof/>
          <w:sz w:val="24"/>
          <w:szCs w:val="24"/>
        </w:rPr>
      </w:pPr>
    </w:p>
    <w:p w14:paraId="2BF72697" w14:textId="77777777" w:rsidR="00307747" w:rsidRDefault="00307747" w:rsidP="00307747">
      <w:pPr>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6</w:t>
      </w:r>
    </w:p>
    <w:p w14:paraId="439037C3" w14:textId="77777777" w:rsidR="00307747" w:rsidRDefault="00307747" w:rsidP="00307747">
      <w:pPr>
        <w:spacing w:line="360" w:lineRule="auto"/>
        <w:jc w:val="center"/>
        <w:rPr>
          <w:rFonts w:ascii="Arial" w:eastAsia="楷体" w:hAnsi="Arial" w:cs="Arial"/>
          <w:b/>
          <w:bCs/>
          <w:kern w:val="0"/>
          <w:sz w:val="24"/>
          <w:szCs w:val="24"/>
        </w:rPr>
      </w:pPr>
      <w:r>
        <w:rPr>
          <w:noProof/>
        </w:rPr>
        <w:drawing>
          <wp:inline distT="0" distB="0" distL="0" distR="0" wp14:anchorId="12C985ED" wp14:editId="58238C2B">
            <wp:extent cx="3098800" cy="946150"/>
            <wp:effectExtent l="0" t="0" r="6350" b="6350"/>
            <wp:docPr id="4815854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98800" cy="946150"/>
                    </a:xfrm>
                    <a:prstGeom prst="rect">
                      <a:avLst/>
                    </a:prstGeom>
                    <a:noFill/>
                    <a:ln>
                      <a:noFill/>
                    </a:ln>
                  </pic:spPr>
                </pic:pic>
              </a:graphicData>
            </a:graphic>
          </wp:inline>
        </w:drawing>
      </w:r>
    </w:p>
    <w:p w14:paraId="0EB80391" w14:textId="77777777" w:rsidR="00307747" w:rsidRDefault="00307747" w:rsidP="00307747">
      <w:pPr>
        <w:spacing w:line="360" w:lineRule="auto"/>
        <w:jc w:val="center"/>
        <w:rPr>
          <w:rFonts w:ascii="Arial" w:eastAsia="楷体" w:hAnsi="Arial" w:cs="Arial"/>
          <w:b/>
          <w:bCs/>
          <w:kern w:val="0"/>
          <w:sz w:val="24"/>
          <w:szCs w:val="24"/>
        </w:rPr>
      </w:pPr>
    </w:p>
    <w:p w14:paraId="446D8F58" w14:textId="77777777" w:rsidR="00307747" w:rsidRPr="00593604" w:rsidRDefault="00307747" w:rsidP="00307747">
      <w:pPr>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7</w:t>
      </w:r>
    </w:p>
    <w:p w14:paraId="3A20E941" w14:textId="77777777" w:rsidR="00307747" w:rsidRDefault="00307747" w:rsidP="00307747">
      <w:pPr>
        <w:spacing w:line="360" w:lineRule="auto"/>
        <w:jc w:val="center"/>
        <w:rPr>
          <w:rFonts w:ascii="Arial" w:hAnsi="Arial" w:cs="Arial"/>
          <w:b/>
          <w:sz w:val="24"/>
          <w:szCs w:val="24"/>
        </w:rPr>
      </w:pPr>
      <w:r w:rsidRPr="00593604">
        <w:rPr>
          <w:rFonts w:ascii="Arial" w:hAnsi="Arial" w:cs="Arial"/>
          <w:noProof/>
        </w:rPr>
        <w:drawing>
          <wp:inline distT="0" distB="0" distL="0" distR="0" wp14:anchorId="66C53ADD" wp14:editId="37702A0B">
            <wp:extent cx="3131185" cy="2406701"/>
            <wp:effectExtent l="0" t="0" r="0" b="0"/>
            <wp:docPr id="14084579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023"/>
                    <a:stretch/>
                  </pic:blipFill>
                  <pic:spPr bwMode="auto">
                    <a:xfrm>
                      <a:off x="0" y="0"/>
                      <a:ext cx="3131185" cy="2406701"/>
                    </a:xfrm>
                    <a:prstGeom prst="rect">
                      <a:avLst/>
                    </a:prstGeom>
                    <a:noFill/>
                    <a:ln>
                      <a:noFill/>
                    </a:ln>
                    <a:extLst>
                      <a:ext uri="{53640926-AAD7-44D8-BBD7-CCE9431645EC}">
                        <a14:shadowObscured xmlns:a14="http://schemas.microsoft.com/office/drawing/2010/main"/>
                      </a:ext>
                    </a:extLst>
                  </pic:spPr>
                </pic:pic>
              </a:graphicData>
            </a:graphic>
          </wp:inline>
        </w:drawing>
      </w:r>
    </w:p>
    <w:p w14:paraId="1BA124A1" w14:textId="77777777" w:rsidR="00307747" w:rsidRPr="00593604" w:rsidRDefault="00307747" w:rsidP="00307747">
      <w:pPr>
        <w:spacing w:line="360" w:lineRule="auto"/>
        <w:jc w:val="center"/>
        <w:rPr>
          <w:rFonts w:ascii="Arial" w:hAnsi="Arial" w:cs="Arial"/>
          <w:b/>
          <w:sz w:val="24"/>
          <w:szCs w:val="24"/>
        </w:rPr>
      </w:pPr>
    </w:p>
    <w:p w14:paraId="1006E8F1" w14:textId="77777777" w:rsidR="00307747" w:rsidRPr="00593604" w:rsidRDefault="00307747" w:rsidP="00307747">
      <w:pPr>
        <w:widowControl/>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8</w:t>
      </w:r>
    </w:p>
    <w:p w14:paraId="74231EB8" w14:textId="77777777" w:rsidR="00307747" w:rsidRPr="00593604" w:rsidRDefault="00307747" w:rsidP="00307747">
      <w:pPr>
        <w:widowControl/>
        <w:spacing w:line="360" w:lineRule="auto"/>
        <w:jc w:val="center"/>
        <w:rPr>
          <w:rFonts w:ascii="Arial" w:eastAsia="楷体" w:hAnsi="Arial" w:cs="Arial"/>
          <w:noProof/>
          <w:kern w:val="0"/>
          <w:sz w:val="24"/>
          <w:szCs w:val="24"/>
        </w:rPr>
      </w:pPr>
      <w:r w:rsidRPr="00593604">
        <w:rPr>
          <w:rFonts w:ascii="Arial" w:hAnsi="Arial" w:cs="Arial"/>
          <w:noProof/>
        </w:rPr>
        <w:drawing>
          <wp:inline distT="0" distB="0" distL="0" distR="0" wp14:anchorId="6509C834" wp14:editId="4352556C">
            <wp:extent cx="3131185" cy="3437890"/>
            <wp:effectExtent l="0" t="0" r="0" b="0"/>
            <wp:docPr id="2397607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1185" cy="3437890"/>
                    </a:xfrm>
                    <a:prstGeom prst="rect">
                      <a:avLst/>
                    </a:prstGeom>
                    <a:noFill/>
                    <a:ln>
                      <a:noFill/>
                    </a:ln>
                  </pic:spPr>
                </pic:pic>
              </a:graphicData>
            </a:graphic>
          </wp:inline>
        </w:drawing>
      </w:r>
    </w:p>
    <w:p w14:paraId="025E6964" w14:textId="77777777" w:rsidR="00307747" w:rsidRPr="00593604" w:rsidRDefault="00307747" w:rsidP="00307747">
      <w:pPr>
        <w:spacing w:line="360" w:lineRule="auto"/>
        <w:rPr>
          <w:rFonts w:ascii="Arial" w:hAnsi="Arial" w:cs="Arial"/>
          <w:noProof/>
        </w:rPr>
      </w:pPr>
    </w:p>
    <w:p w14:paraId="7AFDCE35" w14:textId="77777777" w:rsidR="00307747" w:rsidRPr="00593604" w:rsidRDefault="00307747" w:rsidP="00307747">
      <w:pPr>
        <w:spacing w:line="360" w:lineRule="auto"/>
        <w:jc w:val="center"/>
        <w:rPr>
          <w:rFonts w:ascii="Arial" w:eastAsia="楷体" w:hAnsi="Arial" w:cs="Arial"/>
          <w:b/>
          <w:bCs/>
          <w:kern w:val="0"/>
          <w:sz w:val="24"/>
          <w:szCs w:val="24"/>
        </w:rPr>
      </w:pPr>
      <w:r w:rsidRPr="00593604">
        <w:rPr>
          <w:rFonts w:ascii="Arial" w:eastAsia="楷体" w:hAnsi="Arial" w:cs="Arial"/>
          <w:b/>
          <w:bCs/>
          <w:kern w:val="0"/>
          <w:sz w:val="24"/>
          <w:szCs w:val="24"/>
        </w:rPr>
        <w:t xml:space="preserve">Supplementary Fig. </w:t>
      </w:r>
      <w:r>
        <w:rPr>
          <w:rFonts w:ascii="Arial" w:eastAsia="楷体" w:hAnsi="Arial" w:cs="Arial" w:hint="eastAsia"/>
          <w:b/>
          <w:bCs/>
          <w:kern w:val="0"/>
          <w:sz w:val="24"/>
          <w:szCs w:val="24"/>
        </w:rPr>
        <w:t>9</w:t>
      </w:r>
    </w:p>
    <w:p w14:paraId="75DCBFE3" w14:textId="77777777" w:rsidR="00307747" w:rsidRPr="00593604" w:rsidRDefault="00307747" w:rsidP="00307747">
      <w:pPr>
        <w:spacing w:line="360" w:lineRule="auto"/>
        <w:jc w:val="center"/>
        <w:rPr>
          <w:rFonts w:ascii="Arial" w:eastAsia="楷体" w:hAnsi="Arial" w:cs="Arial"/>
          <w:b/>
          <w:bCs/>
          <w:kern w:val="0"/>
          <w:sz w:val="24"/>
          <w:szCs w:val="24"/>
        </w:rPr>
      </w:pPr>
      <w:r w:rsidRPr="00593604">
        <w:rPr>
          <w:rFonts w:ascii="Arial" w:hAnsi="Arial" w:cs="Arial"/>
          <w:noProof/>
        </w:rPr>
        <w:drawing>
          <wp:inline distT="0" distB="0" distL="0" distR="0" wp14:anchorId="48A3E49A" wp14:editId="5285D604">
            <wp:extent cx="3131185" cy="3437890"/>
            <wp:effectExtent l="0" t="0" r="0" b="0"/>
            <wp:docPr id="98802736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31185" cy="3437890"/>
                    </a:xfrm>
                    <a:prstGeom prst="rect">
                      <a:avLst/>
                    </a:prstGeom>
                    <a:noFill/>
                    <a:ln>
                      <a:noFill/>
                    </a:ln>
                  </pic:spPr>
                </pic:pic>
              </a:graphicData>
            </a:graphic>
          </wp:inline>
        </w:drawing>
      </w:r>
    </w:p>
    <w:p w14:paraId="30BA6951" w14:textId="77777777" w:rsidR="00307747" w:rsidRPr="00593604" w:rsidRDefault="00307747" w:rsidP="00307747">
      <w:pPr>
        <w:spacing w:line="360" w:lineRule="auto"/>
        <w:rPr>
          <w:rFonts w:ascii="Arial" w:eastAsia="楷体" w:hAnsi="Arial" w:cs="Arial"/>
          <w:kern w:val="0"/>
          <w:sz w:val="24"/>
          <w:szCs w:val="24"/>
        </w:rPr>
      </w:pPr>
    </w:p>
    <w:p w14:paraId="4A370C83" w14:textId="77777777" w:rsidR="00307747" w:rsidRPr="00F71117" w:rsidRDefault="00307747" w:rsidP="00F71117">
      <w:pPr>
        <w:spacing w:line="360" w:lineRule="auto"/>
        <w:ind w:firstLineChars="200" w:firstLine="480"/>
        <w:rPr>
          <w:rFonts w:ascii="Arial" w:eastAsia="宋体" w:hAnsi="Arial" w:cs="Arial"/>
          <w:kern w:val="0"/>
          <w:sz w:val="24"/>
          <w:szCs w:val="24"/>
        </w:rPr>
      </w:pPr>
    </w:p>
    <w:sectPr w:rsidR="00307747" w:rsidRPr="00F711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F1C62" w14:textId="77777777" w:rsidR="00AC124D" w:rsidRDefault="00AC124D" w:rsidP="00AB66DC">
      <w:pPr>
        <w:rPr>
          <w:rFonts w:hint="eastAsia"/>
        </w:rPr>
      </w:pPr>
      <w:r>
        <w:separator/>
      </w:r>
    </w:p>
  </w:endnote>
  <w:endnote w:type="continuationSeparator" w:id="0">
    <w:p w14:paraId="5962D3E3" w14:textId="77777777" w:rsidR="00AC124D" w:rsidRDefault="00AC124D" w:rsidP="00AB66D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NeueLTStd-Bd">
    <w:altName w:val="Times New Roman"/>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HelveticaNeueLTStd-L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1D874" w14:textId="77777777" w:rsidR="00AC124D" w:rsidRDefault="00AC124D" w:rsidP="00AB66DC">
      <w:pPr>
        <w:rPr>
          <w:rFonts w:hint="eastAsia"/>
        </w:rPr>
      </w:pPr>
      <w:r>
        <w:separator/>
      </w:r>
    </w:p>
  </w:footnote>
  <w:footnote w:type="continuationSeparator" w:id="0">
    <w:p w14:paraId="38928889" w14:textId="77777777" w:rsidR="00AC124D" w:rsidRDefault="00AC124D" w:rsidP="00AB66D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FA1"/>
    <w:rsid w:val="0004650D"/>
    <w:rsid w:val="000C0FA1"/>
    <w:rsid w:val="00307747"/>
    <w:rsid w:val="0034211C"/>
    <w:rsid w:val="00363E27"/>
    <w:rsid w:val="00394E35"/>
    <w:rsid w:val="004311E3"/>
    <w:rsid w:val="00440255"/>
    <w:rsid w:val="004F3245"/>
    <w:rsid w:val="005A4093"/>
    <w:rsid w:val="005E4B98"/>
    <w:rsid w:val="005E5FEC"/>
    <w:rsid w:val="006F793A"/>
    <w:rsid w:val="008B246C"/>
    <w:rsid w:val="00A72403"/>
    <w:rsid w:val="00AB3B4C"/>
    <w:rsid w:val="00AB66DC"/>
    <w:rsid w:val="00AC124D"/>
    <w:rsid w:val="00D6459D"/>
    <w:rsid w:val="00DB7BED"/>
    <w:rsid w:val="00E514BB"/>
    <w:rsid w:val="00E65D9A"/>
    <w:rsid w:val="00EC2C9E"/>
    <w:rsid w:val="00EC333A"/>
    <w:rsid w:val="00F413A8"/>
    <w:rsid w:val="00F711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09CEB"/>
  <w15:chartTrackingRefBased/>
  <w15:docId w15:val="{992F6D2D-3E9F-4DB9-8BB9-472EF037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0FA1"/>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66DC"/>
    <w:pPr>
      <w:tabs>
        <w:tab w:val="center" w:pos="4153"/>
        <w:tab w:val="right" w:pos="8306"/>
      </w:tabs>
      <w:snapToGrid w:val="0"/>
      <w:jc w:val="center"/>
    </w:pPr>
    <w:rPr>
      <w:sz w:val="18"/>
      <w:szCs w:val="18"/>
    </w:rPr>
  </w:style>
  <w:style w:type="character" w:customStyle="1" w:styleId="a4">
    <w:name w:val="页眉 字符"/>
    <w:basedOn w:val="a0"/>
    <w:link w:val="a3"/>
    <w:uiPriority w:val="99"/>
    <w:rsid w:val="00AB66DC"/>
    <w:rPr>
      <w:rFonts w:ascii="等线" w:eastAsia="等线" w:hAnsi="等线" w:cs="Times New Roman"/>
      <w:sz w:val="18"/>
      <w:szCs w:val="18"/>
    </w:rPr>
  </w:style>
  <w:style w:type="paragraph" w:styleId="a5">
    <w:name w:val="footer"/>
    <w:basedOn w:val="a"/>
    <w:link w:val="a6"/>
    <w:uiPriority w:val="99"/>
    <w:unhideWhenUsed/>
    <w:rsid w:val="00AB66DC"/>
    <w:pPr>
      <w:tabs>
        <w:tab w:val="center" w:pos="4153"/>
        <w:tab w:val="right" w:pos="8306"/>
      </w:tabs>
      <w:snapToGrid w:val="0"/>
      <w:jc w:val="left"/>
    </w:pPr>
    <w:rPr>
      <w:sz w:val="18"/>
      <w:szCs w:val="18"/>
    </w:rPr>
  </w:style>
  <w:style w:type="character" w:customStyle="1" w:styleId="a6">
    <w:name w:val="页脚 字符"/>
    <w:basedOn w:val="a0"/>
    <w:link w:val="a5"/>
    <w:uiPriority w:val="99"/>
    <w:rsid w:val="00AB66DC"/>
    <w:rPr>
      <w:rFonts w:ascii="等线" w:eastAsia="等线" w:hAnsi="等线" w:cs="Times New Roman"/>
      <w:sz w:val="18"/>
      <w:szCs w:val="18"/>
    </w:rPr>
  </w:style>
  <w:style w:type="character" w:styleId="a7">
    <w:name w:val="Placeholder Text"/>
    <w:basedOn w:val="a0"/>
    <w:uiPriority w:val="99"/>
    <w:semiHidden/>
    <w:rsid w:val="00F71117"/>
    <w:rPr>
      <w:color w:val="666666"/>
    </w:rPr>
  </w:style>
  <w:style w:type="table" w:customStyle="1" w:styleId="61">
    <w:name w:val="清单表 6 彩色1"/>
    <w:basedOn w:val="a1"/>
    <w:uiPriority w:val="51"/>
    <w:qFormat/>
    <w:rsid w:val="00307747"/>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ntstyle01">
    <w:name w:val="fontstyle01"/>
    <w:basedOn w:val="a0"/>
    <w:rsid w:val="00307747"/>
    <w:rPr>
      <w:rFonts w:ascii="HelveticaNeueLTStd-Bd" w:hAnsi="HelveticaNeueLTStd-Bd" w:hint="default"/>
      <w:b/>
      <w:bCs/>
      <w:color w:val="242021"/>
      <w:sz w:val="14"/>
      <w:szCs w:val="14"/>
    </w:rPr>
  </w:style>
  <w:style w:type="paragraph" w:styleId="HTML">
    <w:name w:val="HTML Preformatted"/>
    <w:link w:val="HTML0"/>
    <w:semiHidden/>
    <w:unhideWhenUsed/>
    <w:qFormat/>
    <w:rsid w:val="00307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kern w:val="0"/>
      <w:sz w:val="24"/>
    </w:rPr>
  </w:style>
  <w:style w:type="character" w:customStyle="1" w:styleId="HTML0">
    <w:name w:val="HTML 预设格式 字符"/>
    <w:basedOn w:val="a0"/>
    <w:link w:val="HTML"/>
    <w:semiHidden/>
    <w:rsid w:val="00307747"/>
    <w:rPr>
      <w:rFonts w:ascii="宋体" w:eastAsia="宋体" w:hAnsi="宋体" w:cs="宋体"/>
      <w:kern w:val="0"/>
      <w:sz w:val="24"/>
    </w:rPr>
  </w:style>
  <w:style w:type="character" w:customStyle="1" w:styleId="fontstyle21">
    <w:name w:val="fontstyle21"/>
    <w:basedOn w:val="a0"/>
    <w:rsid w:val="00307747"/>
    <w:rPr>
      <w:rFonts w:ascii="HelveticaNeueLTStd-Lt" w:hAnsi="HelveticaNeueLTStd-Lt" w:hint="default"/>
      <w:b w:val="0"/>
      <w:bCs w:val="0"/>
      <w:i w:val="0"/>
      <w:iCs w:val="0"/>
      <w:color w:val="242021"/>
      <w:sz w:val="14"/>
      <w:szCs w:val="14"/>
    </w:rPr>
  </w:style>
  <w:style w:type="table" w:styleId="a8">
    <w:name w:val="Table Grid"/>
    <w:basedOn w:val="a1"/>
    <w:uiPriority w:val="39"/>
    <w:qFormat/>
    <w:rsid w:val="0030774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6243">
      <w:bodyDiv w:val="1"/>
      <w:marLeft w:val="0"/>
      <w:marRight w:val="0"/>
      <w:marTop w:val="0"/>
      <w:marBottom w:val="0"/>
      <w:divBdr>
        <w:top w:val="none" w:sz="0" w:space="0" w:color="auto"/>
        <w:left w:val="none" w:sz="0" w:space="0" w:color="auto"/>
        <w:bottom w:val="none" w:sz="0" w:space="0" w:color="auto"/>
        <w:right w:val="none" w:sz="0" w:space="0" w:color="auto"/>
      </w:divBdr>
    </w:div>
    <w:div w:id="45760385">
      <w:bodyDiv w:val="1"/>
      <w:marLeft w:val="0"/>
      <w:marRight w:val="0"/>
      <w:marTop w:val="0"/>
      <w:marBottom w:val="0"/>
      <w:divBdr>
        <w:top w:val="none" w:sz="0" w:space="0" w:color="auto"/>
        <w:left w:val="none" w:sz="0" w:space="0" w:color="auto"/>
        <w:bottom w:val="none" w:sz="0" w:space="0" w:color="auto"/>
        <w:right w:val="none" w:sz="0" w:space="0" w:color="auto"/>
      </w:divBdr>
    </w:div>
    <w:div w:id="133109834">
      <w:bodyDiv w:val="1"/>
      <w:marLeft w:val="0"/>
      <w:marRight w:val="0"/>
      <w:marTop w:val="0"/>
      <w:marBottom w:val="0"/>
      <w:divBdr>
        <w:top w:val="none" w:sz="0" w:space="0" w:color="auto"/>
        <w:left w:val="none" w:sz="0" w:space="0" w:color="auto"/>
        <w:bottom w:val="none" w:sz="0" w:space="0" w:color="auto"/>
        <w:right w:val="none" w:sz="0" w:space="0" w:color="auto"/>
      </w:divBdr>
    </w:div>
    <w:div w:id="136381457">
      <w:bodyDiv w:val="1"/>
      <w:marLeft w:val="0"/>
      <w:marRight w:val="0"/>
      <w:marTop w:val="0"/>
      <w:marBottom w:val="0"/>
      <w:divBdr>
        <w:top w:val="none" w:sz="0" w:space="0" w:color="auto"/>
        <w:left w:val="none" w:sz="0" w:space="0" w:color="auto"/>
        <w:bottom w:val="none" w:sz="0" w:space="0" w:color="auto"/>
        <w:right w:val="none" w:sz="0" w:space="0" w:color="auto"/>
      </w:divBdr>
    </w:div>
    <w:div w:id="214632968">
      <w:bodyDiv w:val="1"/>
      <w:marLeft w:val="0"/>
      <w:marRight w:val="0"/>
      <w:marTop w:val="0"/>
      <w:marBottom w:val="0"/>
      <w:divBdr>
        <w:top w:val="none" w:sz="0" w:space="0" w:color="auto"/>
        <w:left w:val="none" w:sz="0" w:space="0" w:color="auto"/>
        <w:bottom w:val="none" w:sz="0" w:space="0" w:color="auto"/>
        <w:right w:val="none" w:sz="0" w:space="0" w:color="auto"/>
      </w:divBdr>
    </w:div>
    <w:div w:id="312756768">
      <w:bodyDiv w:val="1"/>
      <w:marLeft w:val="0"/>
      <w:marRight w:val="0"/>
      <w:marTop w:val="0"/>
      <w:marBottom w:val="0"/>
      <w:divBdr>
        <w:top w:val="none" w:sz="0" w:space="0" w:color="auto"/>
        <w:left w:val="none" w:sz="0" w:space="0" w:color="auto"/>
        <w:bottom w:val="none" w:sz="0" w:space="0" w:color="auto"/>
        <w:right w:val="none" w:sz="0" w:space="0" w:color="auto"/>
      </w:divBdr>
    </w:div>
    <w:div w:id="338966850">
      <w:bodyDiv w:val="1"/>
      <w:marLeft w:val="0"/>
      <w:marRight w:val="0"/>
      <w:marTop w:val="0"/>
      <w:marBottom w:val="0"/>
      <w:divBdr>
        <w:top w:val="none" w:sz="0" w:space="0" w:color="auto"/>
        <w:left w:val="none" w:sz="0" w:space="0" w:color="auto"/>
        <w:bottom w:val="none" w:sz="0" w:space="0" w:color="auto"/>
        <w:right w:val="none" w:sz="0" w:space="0" w:color="auto"/>
      </w:divBdr>
    </w:div>
    <w:div w:id="383601180">
      <w:bodyDiv w:val="1"/>
      <w:marLeft w:val="0"/>
      <w:marRight w:val="0"/>
      <w:marTop w:val="0"/>
      <w:marBottom w:val="0"/>
      <w:divBdr>
        <w:top w:val="none" w:sz="0" w:space="0" w:color="auto"/>
        <w:left w:val="none" w:sz="0" w:space="0" w:color="auto"/>
        <w:bottom w:val="none" w:sz="0" w:space="0" w:color="auto"/>
        <w:right w:val="none" w:sz="0" w:space="0" w:color="auto"/>
      </w:divBdr>
    </w:div>
    <w:div w:id="507141337">
      <w:bodyDiv w:val="1"/>
      <w:marLeft w:val="0"/>
      <w:marRight w:val="0"/>
      <w:marTop w:val="0"/>
      <w:marBottom w:val="0"/>
      <w:divBdr>
        <w:top w:val="none" w:sz="0" w:space="0" w:color="auto"/>
        <w:left w:val="none" w:sz="0" w:space="0" w:color="auto"/>
        <w:bottom w:val="none" w:sz="0" w:space="0" w:color="auto"/>
        <w:right w:val="none" w:sz="0" w:space="0" w:color="auto"/>
      </w:divBdr>
    </w:div>
    <w:div w:id="621615744">
      <w:bodyDiv w:val="1"/>
      <w:marLeft w:val="0"/>
      <w:marRight w:val="0"/>
      <w:marTop w:val="0"/>
      <w:marBottom w:val="0"/>
      <w:divBdr>
        <w:top w:val="none" w:sz="0" w:space="0" w:color="auto"/>
        <w:left w:val="none" w:sz="0" w:space="0" w:color="auto"/>
        <w:bottom w:val="none" w:sz="0" w:space="0" w:color="auto"/>
        <w:right w:val="none" w:sz="0" w:space="0" w:color="auto"/>
      </w:divBdr>
    </w:div>
    <w:div w:id="690422242">
      <w:bodyDiv w:val="1"/>
      <w:marLeft w:val="0"/>
      <w:marRight w:val="0"/>
      <w:marTop w:val="0"/>
      <w:marBottom w:val="0"/>
      <w:divBdr>
        <w:top w:val="none" w:sz="0" w:space="0" w:color="auto"/>
        <w:left w:val="none" w:sz="0" w:space="0" w:color="auto"/>
        <w:bottom w:val="none" w:sz="0" w:space="0" w:color="auto"/>
        <w:right w:val="none" w:sz="0" w:space="0" w:color="auto"/>
      </w:divBdr>
    </w:div>
    <w:div w:id="704986829">
      <w:bodyDiv w:val="1"/>
      <w:marLeft w:val="0"/>
      <w:marRight w:val="0"/>
      <w:marTop w:val="0"/>
      <w:marBottom w:val="0"/>
      <w:divBdr>
        <w:top w:val="none" w:sz="0" w:space="0" w:color="auto"/>
        <w:left w:val="none" w:sz="0" w:space="0" w:color="auto"/>
        <w:bottom w:val="none" w:sz="0" w:space="0" w:color="auto"/>
        <w:right w:val="none" w:sz="0" w:space="0" w:color="auto"/>
      </w:divBdr>
    </w:div>
    <w:div w:id="769469163">
      <w:bodyDiv w:val="1"/>
      <w:marLeft w:val="0"/>
      <w:marRight w:val="0"/>
      <w:marTop w:val="0"/>
      <w:marBottom w:val="0"/>
      <w:divBdr>
        <w:top w:val="none" w:sz="0" w:space="0" w:color="auto"/>
        <w:left w:val="none" w:sz="0" w:space="0" w:color="auto"/>
        <w:bottom w:val="none" w:sz="0" w:space="0" w:color="auto"/>
        <w:right w:val="none" w:sz="0" w:space="0" w:color="auto"/>
      </w:divBdr>
    </w:div>
    <w:div w:id="812330599">
      <w:bodyDiv w:val="1"/>
      <w:marLeft w:val="0"/>
      <w:marRight w:val="0"/>
      <w:marTop w:val="0"/>
      <w:marBottom w:val="0"/>
      <w:divBdr>
        <w:top w:val="none" w:sz="0" w:space="0" w:color="auto"/>
        <w:left w:val="none" w:sz="0" w:space="0" w:color="auto"/>
        <w:bottom w:val="none" w:sz="0" w:space="0" w:color="auto"/>
        <w:right w:val="none" w:sz="0" w:space="0" w:color="auto"/>
      </w:divBdr>
    </w:div>
    <w:div w:id="919556213">
      <w:bodyDiv w:val="1"/>
      <w:marLeft w:val="0"/>
      <w:marRight w:val="0"/>
      <w:marTop w:val="0"/>
      <w:marBottom w:val="0"/>
      <w:divBdr>
        <w:top w:val="none" w:sz="0" w:space="0" w:color="auto"/>
        <w:left w:val="none" w:sz="0" w:space="0" w:color="auto"/>
        <w:bottom w:val="none" w:sz="0" w:space="0" w:color="auto"/>
        <w:right w:val="none" w:sz="0" w:space="0" w:color="auto"/>
      </w:divBdr>
    </w:div>
    <w:div w:id="1039361547">
      <w:bodyDiv w:val="1"/>
      <w:marLeft w:val="0"/>
      <w:marRight w:val="0"/>
      <w:marTop w:val="0"/>
      <w:marBottom w:val="0"/>
      <w:divBdr>
        <w:top w:val="none" w:sz="0" w:space="0" w:color="auto"/>
        <w:left w:val="none" w:sz="0" w:space="0" w:color="auto"/>
        <w:bottom w:val="none" w:sz="0" w:space="0" w:color="auto"/>
        <w:right w:val="none" w:sz="0" w:space="0" w:color="auto"/>
      </w:divBdr>
    </w:div>
    <w:div w:id="1076055785">
      <w:bodyDiv w:val="1"/>
      <w:marLeft w:val="0"/>
      <w:marRight w:val="0"/>
      <w:marTop w:val="0"/>
      <w:marBottom w:val="0"/>
      <w:divBdr>
        <w:top w:val="none" w:sz="0" w:space="0" w:color="auto"/>
        <w:left w:val="none" w:sz="0" w:space="0" w:color="auto"/>
        <w:bottom w:val="none" w:sz="0" w:space="0" w:color="auto"/>
        <w:right w:val="none" w:sz="0" w:space="0" w:color="auto"/>
      </w:divBdr>
    </w:div>
    <w:div w:id="1099915143">
      <w:bodyDiv w:val="1"/>
      <w:marLeft w:val="0"/>
      <w:marRight w:val="0"/>
      <w:marTop w:val="0"/>
      <w:marBottom w:val="0"/>
      <w:divBdr>
        <w:top w:val="none" w:sz="0" w:space="0" w:color="auto"/>
        <w:left w:val="none" w:sz="0" w:space="0" w:color="auto"/>
        <w:bottom w:val="none" w:sz="0" w:space="0" w:color="auto"/>
        <w:right w:val="none" w:sz="0" w:space="0" w:color="auto"/>
      </w:divBdr>
    </w:div>
    <w:div w:id="1402606849">
      <w:bodyDiv w:val="1"/>
      <w:marLeft w:val="0"/>
      <w:marRight w:val="0"/>
      <w:marTop w:val="0"/>
      <w:marBottom w:val="0"/>
      <w:divBdr>
        <w:top w:val="none" w:sz="0" w:space="0" w:color="auto"/>
        <w:left w:val="none" w:sz="0" w:space="0" w:color="auto"/>
        <w:bottom w:val="none" w:sz="0" w:space="0" w:color="auto"/>
        <w:right w:val="none" w:sz="0" w:space="0" w:color="auto"/>
      </w:divBdr>
    </w:div>
    <w:div w:id="1528325087">
      <w:bodyDiv w:val="1"/>
      <w:marLeft w:val="0"/>
      <w:marRight w:val="0"/>
      <w:marTop w:val="0"/>
      <w:marBottom w:val="0"/>
      <w:divBdr>
        <w:top w:val="none" w:sz="0" w:space="0" w:color="auto"/>
        <w:left w:val="none" w:sz="0" w:space="0" w:color="auto"/>
        <w:bottom w:val="none" w:sz="0" w:space="0" w:color="auto"/>
        <w:right w:val="none" w:sz="0" w:space="0" w:color="auto"/>
      </w:divBdr>
    </w:div>
    <w:div w:id="1577401352">
      <w:bodyDiv w:val="1"/>
      <w:marLeft w:val="0"/>
      <w:marRight w:val="0"/>
      <w:marTop w:val="0"/>
      <w:marBottom w:val="0"/>
      <w:divBdr>
        <w:top w:val="none" w:sz="0" w:space="0" w:color="auto"/>
        <w:left w:val="none" w:sz="0" w:space="0" w:color="auto"/>
        <w:bottom w:val="none" w:sz="0" w:space="0" w:color="auto"/>
        <w:right w:val="none" w:sz="0" w:space="0" w:color="auto"/>
      </w:divBdr>
    </w:div>
    <w:div w:id="1794245413">
      <w:bodyDiv w:val="1"/>
      <w:marLeft w:val="0"/>
      <w:marRight w:val="0"/>
      <w:marTop w:val="0"/>
      <w:marBottom w:val="0"/>
      <w:divBdr>
        <w:top w:val="none" w:sz="0" w:space="0" w:color="auto"/>
        <w:left w:val="none" w:sz="0" w:space="0" w:color="auto"/>
        <w:bottom w:val="none" w:sz="0" w:space="0" w:color="auto"/>
        <w:right w:val="none" w:sz="0" w:space="0" w:color="auto"/>
      </w:divBdr>
    </w:div>
    <w:div w:id="1805272012">
      <w:bodyDiv w:val="1"/>
      <w:marLeft w:val="0"/>
      <w:marRight w:val="0"/>
      <w:marTop w:val="0"/>
      <w:marBottom w:val="0"/>
      <w:divBdr>
        <w:top w:val="none" w:sz="0" w:space="0" w:color="auto"/>
        <w:left w:val="none" w:sz="0" w:space="0" w:color="auto"/>
        <w:bottom w:val="none" w:sz="0" w:space="0" w:color="auto"/>
        <w:right w:val="none" w:sz="0" w:space="0" w:color="auto"/>
      </w:divBdr>
    </w:div>
    <w:div w:id="1821382358">
      <w:bodyDiv w:val="1"/>
      <w:marLeft w:val="0"/>
      <w:marRight w:val="0"/>
      <w:marTop w:val="0"/>
      <w:marBottom w:val="0"/>
      <w:divBdr>
        <w:top w:val="none" w:sz="0" w:space="0" w:color="auto"/>
        <w:left w:val="none" w:sz="0" w:space="0" w:color="auto"/>
        <w:bottom w:val="none" w:sz="0" w:space="0" w:color="auto"/>
        <w:right w:val="none" w:sz="0" w:space="0" w:color="auto"/>
      </w:divBdr>
    </w:div>
    <w:div w:id="1849058180">
      <w:bodyDiv w:val="1"/>
      <w:marLeft w:val="0"/>
      <w:marRight w:val="0"/>
      <w:marTop w:val="0"/>
      <w:marBottom w:val="0"/>
      <w:divBdr>
        <w:top w:val="none" w:sz="0" w:space="0" w:color="auto"/>
        <w:left w:val="none" w:sz="0" w:space="0" w:color="auto"/>
        <w:bottom w:val="none" w:sz="0" w:space="0" w:color="auto"/>
        <w:right w:val="none" w:sz="0" w:space="0" w:color="auto"/>
      </w:divBdr>
      <w:divsChild>
        <w:div w:id="281696727">
          <w:marLeft w:val="640"/>
          <w:marRight w:val="0"/>
          <w:marTop w:val="0"/>
          <w:marBottom w:val="0"/>
          <w:divBdr>
            <w:top w:val="none" w:sz="0" w:space="0" w:color="auto"/>
            <w:left w:val="none" w:sz="0" w:space="0" w:color="auto"/>
            <w:bottom w:val="none" w:sz="0" w:space="0" w:color="auto"/>
            <w:right w:val="none" w:sz="0" w:space="0" w:color="auto"/>
          </w:divBdr>
        </w:div>
        <w:div w:id="1025516881">
          <w:marLeft w:val="640"/>
          <w:marRight w:val="0"/>
          <w:marTop w:val="0"/>
          <w:marBottom w:val="0"/>
          <w:divBdr>
            <w:top w:val="none" w:sz="0" w:space="0" w:color="auto"/>
            <w:left w:val="none" w:sz="0" w:space="0" w:color="auto"/>
            <w:bottom w:val="none" w:sz="0" w:space="0" w:color="auto"/>
            <w:right w:val="none" w:sz="0" w:space="0" w:color="auto"/>
          </w:divBdr>
        </w:div>
        <w:div w:id="1048652744">
          <w:marLeft w:val="640"/>
          <w:marRight w:val="0"/>
          <w:marTop w:val="0"/>
          <w:marBottom w:val="0"/>
          <w:divBdr>
            <w:top w:val="none" w:sz="0" w:space="0" w:color="auto"/>
            <w:left w:val="none" w:sz="0" w:space="0" w:color="auto"/>
            <w:bottom w:val="none" w:sz="0" w:space="0" w:color="auto"/>
            <w:right w:val="none" w:sz="0" w:space="0" w:color="auto"/>
          </w:divBdr>
        </w:div>
        <w:div w:id="1234703555">
          <w:marLeft w:val="640"/>
          <w:marRight w:val="0"/>
          <w:marTop w:val="0"/>
          <w:marBottom w:val="0"/>
          <w:divBdr>
            <w:top w:val="none" w:sz="0" w:space="0" w:color="auto"/>
            <w:left w:val="none" w:sz="0" w:space="0" w:color="auto"/>
            <w:bottom w:val="none" w:sz="0" w:space="0" w:color="auto"/>
            <w:right w:val="none" w:sz="0" w:space="0" w:color="auto"/>
          </w:divBdr>
        </w:div>
        <w:div w:id="1114442281">
          <w:marLeft w:val="640"/>
          <w:marRight w:val="0"/>
          <w:marTop w:val="0"/>
          <w:marBottom w:val="0"/>
          <w:divBdr>
            <w:top w:val="none" w:sz="0" w:space="0" w:color="auto"/>
            <w:left w:val="none" w:sz="0" w:space="0" w:color="auto"/>
            <w:bottom w:val="none" w:sz="0" w:space="0" w:color="auto"/>
            <w:right w:val="none" w:sz="0" w:space="0" w:color="auto"/>
          </w:divBdr>
        </w:div>
        <w:div w:id="1725911195">
          <w:marLeft w:val="640"/>
          <w:marRight w:val="0"/>
          <w:marTop w:val="0"/>
          <w:marBottom w:val="0"/>
          <w:divBdr>
            <w:top w:val="none" w:sz="0" w:space="0" w:color="auto"/>
            <w:left w:val="none" w:sz="0" w:space="0" w:color="auto"/>
            <w:bottom w:val="none" w:sz="0" w:space="0" w:color="auto"/>
            <w:right w:val="none" w:sz="0" w:space="0" w:color="auto"/>
          </w:divBdr>
        </w:div>
      </w:divsChild>
    </w:div>
    <w:div w:id="199826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f"/><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5B6C717890E4B82B4902A5993A19202"/>
        <w:category>
          <w:name w:val="常规"/>
          <w:gallery w:val="placeholder"/>
        </w:category>
        <w:types>
          <w:type w:val="bbPlcHdr"/>
        </w:types>
        <w:behaviors>
          <w:behavior w:val="content"/>
        </w:behaviors>
        <w:guid w:val="{BEE46D35-CCDA-4811-A386-7BAC0F66759C}"/>
      </w:docPartPr>
      <w:docPartBody>
        <w:p w:rsidR="00FC08D2" w:rsidRDefault="00AE5C33" w:rsidP="00AE5C33">
          <w:pPr>
            <w:pStyle w:val="A5B6C717890E4B82B4902A5993A19202"/>
            <w:rPr>
              <w:rFonts w:hint="eastAsia"/>
            </w:rPr>
          </w:pPr>
          <w:r w:rsidRPr="00EF252C">
            <w:rPr>
              <w:rStyle w:val="a3"/>
            </w:rPr>
            <w:t>单击或点击此处输入文字。</w:t>
          </w:r>
        </w:p>
      </w:docPartBody>
    </w:docPart>
    <w:docPart>
      <w:docPartPr>
        <w:name w:val="4551DDC4B054480BAC54E88C042CC7F2"/>
        <w:category>
          <w:name w:val="常规"/>
          <w:gallery w:val="placeholder"/>
        </w:category>
        <w:types>
          <w:type w:val="bbPlcHdr"/>
        </w:types>
        <w:behaviors>
          <w:behavior w:val="content"/>
        </w:behaviors>
        <w:guid w:val="{0DAB2078-F712-4BF3-8ED9-2641099094CB}"/>
      </w:docPartPr>
      <w:docPartBody>
        <w:p w:rsidR="00CC2911" w:rsidRDefault="000032AE" w:rsidP="000032AE">
          <w:pPr>
            <w:pStyle w:val="4551DDC4B054480BAC54E88C042CC7F2"/>
            <w:rPr>
              <w:rFonts w:hint="eastAsia"/>
            </w:rPr>
          </w:pPr>
          <w:r w:rsidRPr="00EF252C">
            <w:rPr>
              <w:rStyle w:val="a3"/>
            </w:rPr>
            <w:t>单击或点击此处输入文字。</w:t>
          </w:r>
        </w:p>
      </w:docPartBody>
    </w:docPart>
    <w:docPart>
      <w:docPartPr>
        <w:name w:val="DefaultPlaceholder_-1854013440"/>
        <w:category>
          <w:name w:val="常规"/>
          <w:gallery w:val="placeholder"/>
        </w:category>
        <w:types>
          <w:type w:val="bbPlcHdr"/>
        </w:types>
        <w:behaviors>
          <w:behavior w:val="content"/>
        </w:behaviors>
        <w:guid w:val="{7F544FB4-A46C-4747-AEDF-605CCA47EC71}"/>
      </w:docPartPr>
      <w:docPartBody>
        <w:p w:rsidR="00CC2911" w:rsidRDefault="000032AE">
          <w:pPr>
            <w:rPr>
              <w:rFonts w:hint="eastAsia"/>
            </w:rPr>
          </w:pPr>
          <w:r w:rsidRPr="00285CAB">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NeueLTStd-Bd">
    <w:altName w:val="Times New Roman"/>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 w:name="HelveticaNeueLTStd-Lt">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C33"/>
    <w:rsid w:val="000032AE"/>
    <w:rsid w:val="0004650D"/>
    <w:rsid w:val="001B245C"/>
    <w:rsid w:val="0034211C"/>
    <w:rsid w:val="005A4093"/>
    <w:rsid w:val="006E2B79"/>
    <w:rsid w:val="00890279"/>
    <w:rsid w:val="009F3017"/>
    <w:rsid w:val="00A72403"/>
    <w:rsid w:val="00AE5C33"/>
    <w:rsid w:val="00C119DC"/>
    <w:rsid w:val="00CC2911"/>
    <w:rsid w:val="00E17BB0"/>
    <w:rsid w:val="00E65D9A"/>
    <w:rsid w:val="00FC0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032AE"/>
    <w:rPr>
      <w:color w:val="666666"/>
    </w:rPr>
  </w:style>
  <w:style w:type="paragraph" w:customStyle="1" w:styleId="A5B6C717890E4B82B4902A5993A19202">
    <w:name w:val="A5B6C717890E4B82B4902A5993A19202"/>
    <w:rsid w:val="00AE5C33"/>
    <w:pPr>
      <w:widowControl w:val="0"/>
      <w:jc w:val="both"/>
    </w:pPr>
  </w:style>
  <w:style w:type="paragraph" w:customStyle="1" w:styleId="4551DDC4B054480BAC54E88C042CC7F2">
    <w:name w:val="4551DDC4B054480BAC54E88C042CC7F2"/>
    <w:rsid w:val="000032AE"/>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E1664A-CB2C-451C-AEFF-E5148C2B22EE}">
  <we:reference id="wa104382081" version="1.55.1.0" store="en-US" storeType="OMEX"/>
  <we:alternateReferences>
    <we:reference id="wa104382081" version="1.55.1.0" store="en-US" storeType="OMEX"/>
  </we:alternateReferences>
  <we:properties>
    <we:property name="MENDELEY_CITATIONS" value="[{&quot;citationID&quot;:&quot;MENDELEY_CITATION_4ebe16bf-9dd0-4fc2-978e-f6a878de6bfb&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&quot;,&quot;citationItems&quot;:[{&quot;id&quot;:&quot;d1b52f43-4e23-3c19-baa5-33687dea2868&quot;,&quot;itemData&quot;:{&quot;type&quot;:&quot;article-journal&quot;,&quot;id&quot;:&quot;d1b52f43-4e23-3c19-baa5-33687dea2868&quot;,&quot;title&quot;:&quot;Antidepressant-like effects of a novel 5-HT3 receptor antagonist 6z in acute and chronic murine models of depression&quot;,&quot;author&quot;:[{&quot;family&quot;:&quot;Gupta&quot;,&quot;given&quot;:&quot;Deepali&quot;,&quot;parse-names&quot;:false,&quot;dropping-particle&quot;:&quot;&quot;,&quot;non-dropping-particle&quot;:&quot;&quot;},{&quot;family&quot;:&quot;Radhakrishnan&quot;,&quot;given&quot;:&quot;Mahesh&quot;,&quot;parse-names&quot;:false,&quot;dropping-particle&quot;:&quot;&quot;,&quot;non-dropping-particle&quot;:&quot;&quot;},{&quot;family&quot;:&quot;Kurhe&quot;,&quot;given&quot;:&quot;Yeshwant&quot;,&quot;parse-names&quot;:false,&quot;dropping-particle&quot;:&quot;&quot;,&quot;non-dropping-particle&quot;:&quot;&quot;},{&quot;family&quot;:&quot;Thangaraj&quot;,&quot;given&quot;:&quot;Devadoss&quot;,&quot;parse-names&quot;:false,&quot;dropping-particle&quot;:&quot;&quot;,&quot;non-dropping-particle&quot;:&quot;&quot;},{&quot;family&quot;:&quot;Prabhakar&quot;,&quot;given&quot;:&quot;Visakh&quot;,&quot;parse-names&quot;:false,&quot;dropping-particle&quot;:&quot;&quot;,&quot;non-dropping-particle&quot;:&quot;&quot;},{&quot;family&quot;:&quot;Kanade&quot;,&quot;given&quot;:&quot;Prateek&quot;,&quot;parse-names&quot;:false,&quot;dropping-particle&quot;:&quot;&quot;,&quot;non-dropping-particle&quot;:&quot;&quot;}],&quot;container-title&quot;:&quot;Acta Pharmacologica Sinica&quot;,&quot;container-title-short&quot;:&quot;Acta Pharmacol Sin&quot;,&quot;DOI&quot;:&quot;10.1038/aps.2014.89&quot;,&quot;ISSN&quot;:&quot;1671-4083&quot;,&quot;URL&quot;:&quot;https://www.nature.com/articles/aps201489&quot;,&quot;issued&quot;:{&quot;date-parts&quot;:[[2014,12,24]]},&quot;page&quot;:&quot;1493-1503&quot;,&quot;issue&quot;:&quot;12&quot;,&quot;volume&quot;:&quot;35&quot;},&quot;isTemporary&quot;:false}]},{&quot;citationID&quot;:&quot;MENDELEY_CITATION_4c54ca48-7917-4d7b-bbfb-b690eb328dc7&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&quot;,&quot;citationItems&quot;:[{&quot;id&quot;:&quot;bfe0cdf7-33c5-3d66-8950-07dcee9b7f14&quot;,&quot;itemData&quot;:{&quot;type&quot;:&quot;article-journal&quot;,&quot;id&quot;:&quot;bfe0cdf7-33c5-3d66-8950-07dcee9b7f14&quot;,&quot;title&quot;:&quot;Chronic unpredictable mild stress for modeling depression in rodents: Meta-analysis of model reliability&quot;,&quot;author&quot;:[{&quot;family&quot;:&quot;Antoniuk&quot;,&quot;given&quot;:&quot;Svitlana&quot;,&quot;parse-names&quot;:false,&quot;dropping-particle&quot;:&quot;&quot;,&quot;non-dropping-particle&quot;:&quot;&quot;},{&quot;family&quot;:&quot;Bijata&quot;,&quot;given&quot;:&quot;Monika&quot;,&quot;parse-names&quot;:false,&quot;dropping-particle&quot;:&quot;&quot;,&quot;non-dropping-particle&quot;:&quot;&quot;},{&quot;family&quot;:&quot;Ponimaskin&quot;,&quot;given&quot;:&quot;Evgeni&quot;,&quot;parse-names&quot;:false,&quot;dropping-particle&quot;:&quot;&quot;,&quot;non-dropping-particle&quot;:&quot;&quot;},{&quot;family&quot;:&quot;Wlodarczyk&quot;,&quot;given&quot;:&quot;Jakub&quot;,&quot;parse-names&quot;:false,&quot;dropping-particle&quot;:&quot;&quot;,&quot;non-dropping-particle&quot;:&quot;&quot;}],&quot;container-title&quot;:&quot;Neuroscience &amp; Biobehavioral Reviews&quot;,&quot;container-title-short&quot;:&quot;Neurosci Biobehav Rev&quot;,&quot;DOI&quot;:&quot;10.1016/j.neubiorev.2018.12.002&quot;,&quot;ISSN&quot;:&quot;01497634&quot;,&quot;URL&quot;:&quot;https://linkinghub.elsevier.com/retrieve/pii/S0149763418304378&quot;,&quot;issued&quot;:{&quot;date-parts&quot;:[[2019,4]]},&quot;page&quot;:&quot;101-116&quot;,&quot;volume&quot;:&quot;99&quot;},&quot;isTemporary&quot;:false}]},{&quot;citationID&quot;:&quot;MENDELEY_CITATION_c21b9f81-29ed-4474-a080-c0c73d465fe5&quot;,&quot;properties&quot;:{&quot;noteIndex&quot;:0},&quot;isEdited&quot;:false,&quot;manualOverride&quot;:{&quot;isManuallyOverridden&quot;:false,&quot;citeprocText&quot;:&quot;&lt;span style=\&quot;baseline\&quot;&gt;[3]&lt;/span&gt;&quot;,&quot;manualOverrideText&quot;:&quot;&quot;},&quot;citationTag&quot;:&quot;MENDELEY_CITATION_v3_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&quot;,&quot;citationItems&quot;:[{&quot;id&quot;:&quot;9eca09ef-7e72-3632-9864-993ed70a784f&quot;,&quot;itemData&quot;:{&quot;type&quot;:&quot;article-journal&quot;,&quot;id&quot;:&quot;9eca09ef-7e72-3632-9864-993ed70a784f&quot;,&quot;title&quot;:&quot;Chronic Unpredictable Stress Decreases Cell Proliferation in the Cerebral Cortex of the Adult Rat&quot;,&quot;author&quot;:[{&quot;family&quot;:&quot;Banasr&quot;,&quot;given&quot;:&quot;Mounira&quot;,&quot;parse-names&quot;:false,&quot;dropping-particle&quot;:&quot;&quot;,&quot;non-dropping-particle&quot;:&quot;&quot;},{&quot;family&quot;:&quot;Valentine&quot;,&quot;given&quot;:&quot;Gerald W.&quot;,&quot;parse-names&quot;:false,&quot;dropping-particle&quot;:&quot;&quot;,&quot;non-dropping-particle&quot;:&quot;&quot;},{&quot;family&quot;:&quot;Li&quot;,&quot;given&quot;:&quot;Xiao Yuan&quot;,&quot;parse-names&quot;:false,&quot;dropping-particle&quot;:&quot;&quot;,&quot;non-dropping-particle&quot;:&quot;&quot;},{&quot;family&quot;:&quot;Gourley&quot;,&quot;given&quot;:&quot;Shannon L.&quot;,&quot;parse-names&quot;:false,&quot;dropping-particle&quot;:&quot;&quot;,&quot;non-dropping-particle&quot;:&quot;&quot;},{&quot;family&quot;:&quot;Taylor&quot;,&quot;given&quot;:&quot;Jane R.&quot;,&quot;parse-names&quot;:false,&quot;dropping-particle&quot;:&quot;&quot;,&quot;non-dropping-particle&quot;:&quot;&quot;},{&quot;family&quot;:&quot;Duman&quot;,&quot;given&quot;:&quot;Ronald S.&quot;,&quot;parse-names&quot;:false,&quot;dropping-particle&quot;:&quot;&quot;,&quot;non-dropping-particle&quot;:&quot;&quot;}],&quot;container-title&quot;:&quot;Biological Psychiatry&quot;,&quot;container-title-short&quot;:&quot;Biol Psychiatry&quot;,&quot;DOI&quot;:&quot;10.1016/j.biopsych.2007.02.006&quot;,&quot;ISSN&quot;:&quot;00063223&quot;,&quot;PMID&quot;:&quot;17585885&quot;,&quot;issued&quot;:{&quot;date-parts&quot;:[[2007]]},&quot;page&quot;:&quot;496-504&quot;,&quot;abstract&quot;:&quot;Background: One of the most consistent morphologic findings in postmortem studies of brain tissue from depressed patients is a decrease in the number of glia in the prefrontal cortex. However, little is known about the mechanisms that contribute to this decrease in cell number. Methods: To address this question, we subjected adult rats to chronic stress, a vulnerability factor for depression, and measured cell proliferation as a potential cellular mechanism that could underlie glial reduction in depression. Results: We found that exposure to chronic unpredictable stress (CUS) for 15 days significantly decreased cell proliferation in neocortex by approximately 35%. This effect was dependent on the duration, intensity and type of stress, and was region-specific. Analysis of cell phenotype demonstrated that there was a decrease in the number of oligodendrocytes and endothelial cells. Finally, using a CUS paradigm that allows for analysis of anhedonia, we found that chronic antidepressant administration reversed the decrease in cortical cell proliferation, as well as the deficit in sucrose preference. Conclusion: These findings are consistent with the possibility that decreased cell proliferation could contribute to reductions in glia in prefrontal cortex of depressed subjects and further elucidate the cellular actions of stress and antidepressants. © 2007 Society of Biological Psychiatry.&quot;,&quot;issue&quot;:&quot;5&quot;,&quot;volume&quot;:&quot;62&quot;},&quot;isTemporary&quot;:false}]},{&quot;citationID&quot;:&quot;MENDELEY_CITATION_31ef9a8a-2625-4f3b-8514-bfe4ee695739&quot;,&quot;properties&quot;:{&quot;noteIndex&quot;:0},&quot;isEdited&quot;:false,&quot;manualOverride&quot;:{&quot;isManuallyOverridden&quot;:false,&quot;citeprocText&quot;:&quot;&lt;span style=\&quot;baseline\&quot;&gt;[4]&lt;/span&gt;&quot;,&quot;manualOverrideText&quot;:&quot;&quot;},&quot;citationTag&quot;:&quot;MENDELEY_CITATION_v3_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&quot;,&quot;citationItems&quot;:[{&quot;id&quot;:&quot;2c3a3983-b4b2-310a-bbf4-f61a91ef3421&quot;,&quot;itemData&quot;:{&quot;type&quot;:&quot;article-journal&quot;,&quot;id&quot;:&quot;2c3a3983-b4b2-310a-bbf4-f61a91ef3421&quot;,&quot;title&quot;:&quot;The tail suspension test: A new method for screening antidepressants in mice&quot;,&quot;author&quot;:[{&quot;family&quot;:&quot;Steru&quot;,&quot;given&quot;:&quot;Lucien&quot;,&quot;parse-names&quot;:false,&quot;dropping-particle&quot;:&quot;&quot;,&quot;non-dropping-particle&quot;:&quot;&quot;},{&quot;family&quot;:&quot;Chermat&quot;,&quot;given&quot;:&quot;Raymond&quot;,&quot;parse-names&quot;:false,&quot;dropping-particle&quot;:&quot;&quot;,&quot;non-dropping-particle&quot;:&quot;&quot;},{&quot;family&quot;:&quot;Thierry&quot;,&quot;given&quot;:&quot;Bernard&quot;,&quot;parse-names&quot;:false,&quot;dropping-particle&quot;:&quot;&quot;,&quot;non-dropping-particle&quot;:&quot;&quot;},{&quot;family&quot;:&quot;Simon&quot;,&quot;given&quot;:&quot;Pierre&quot;,&quot;parse-names&quot;:false,&quot;dropping-particle&quot;:&quot;&quot;,&quot;non-dropping-particle&quot;:&quot;&quot;}],&quot;container-title&quot;:&quot;Psychopharmacology&quot;,&quot;container-title-short&quot;:&quot;Psychopharmacology (Berl)&quot;,&quot;DOI&quot;:&quot;10.1007/BF00428203&quot;,&quot;ISSN&quot;:&quot;0033-3158&quot;,&quot;issued&quot;:{&quot;date-parts&quot;:[[1985,3]]},&quot;page&quot;:&quot;367-370&quot;,&quot;issue&quot;:&quot;3&quot;,&quot;volume&quot;:&quot;85&quot;},&quot;isTemporary&quot;:false}]},{&quot;citationID&quot;:&quot;MENDELEY_CITATION_b712ee3d-5c67-43a2-8839-bee0c5b140d7&quot;,&quot;properties&quot;:{&quot;noteIndex&quot;:0},&quot;isEdited&quot;:false,&quot;manualOverride&quot;:{&quot;isManuallyOverridden&quot;:false,&quot;citeprocText&quot;:&quot;&lt;span style=\&quot;baseline\&quot;&gt;[5]&lt;/span&gt;&quot;,&quot;manualOverrideText&quot;:&quot;&quot;},&quot;citationTag&quot;:&quot;MENDELEY_CITATION_v3_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&quot;,&quot;citationItems&quot;:[{&quot;id&quot;:&quot;554e4e85-1a72-3e76-bfdc-18fd61f6340d&quot;,&quot;itemData&quot;:{&quot;type&quot;:&quot;article-journal&quot;,&quot;id&quot;:&quot;554e4e85-1a72-3e76-bfdc-18fd61f6340d&quot;,&quot;title&quot;:&quot;Forced swimming test in mice: a review of antidepressant activity&quot;,&quot;author&quot;:[{&quot;family&quot;:&quot;Petit-Demouliere&quot;,&quot;given&quot;:&quot;Benoit&quot;,&quot;parse-names&quot;:false,&quot;dropping-particle&quot;:&quot;&quot;,&quot;non-dropping-particle&quot;:&quot;&quot;},{&quot;family&quot;:&quot;Chenu&quot;,&quot;given&quot;:&quot;Franck&quot;,&quot;parse-names&quot;:false,&quot;dropping-particle&quot;:&quot;&quot;,&quot;non-dropping-particle&quot;:&quot;&quot;},{&quot;family&quot;:&quot;Bourin&quot;,&quot;given&quot;:&quot;Michel&quot;,&quot;parse-names&quot;:false,&quot;dropping-particle&quot;:&quot;&quot;,&quot;non-dropping-particle&quot;:&quot;&quot;}],&quot;container-title&quot;:&quot;Psychopharmacology&quot;,&quot;container-title-short&quot;:&quot;Psychopharmacology (Berl)&quot;,&quot;DOI&quot;:&quot;10.1007/s00213-004-2048-7&quot;,&quot;ISSN&quot;:&quot;0033-3158&quot;,&quot;URL&quot;:&quot;http://link.springer.com/10.1007/s00213-004-2048-7&quot;,&quot;issued&quot;:{&quot;date-parts&quot;:[[2005,1,18]]},&quot;page&quot;:&quot;245-255&quot;,&quot;issue&quot;:&quot;3&quot;,&quot;volume&quot;:&quot;177&quot;},&quot;isTemporary&quot;:false}]},{&quot;citationID&quot;:&quot;MENDELEY_CITATION_74fa589c-ab15-4594-a621-c13abfceb0d8&quot;,&quot;properties&quot;:{&quot;noteIndex&quot;:0},&quot;isEdited&quot;:false,&quot;manualOverride&quot;:{&quot;isManuallyOverridden&quot;:false,&quot;citeprocText&quot;:&quot;&lt;span style=\&quot;baseline\&quot;&gt;[6]&lt;/span&gt;&quot;,&quot;manualOverrideText&quot;:&quot;&quot;},&quot;citationTag&quot;:&quot;MENDELEY_CITATION_v3_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&quot;,&quot;citationItems&quot;:[{&quot;id&quot;:&quot;e52c01e7-d5ff-3529-b2b0-2868e9c0040f&quot;,&quot;itemData&quot;:{&quot;type&quot;:&quot;article-journal&quot;,&quot;id&quot;:&quot;e52c01e7-d5ff-3529-b2b0-2868e9c0040f&quot;,&quot;title&quot;:&quot;Unbiased stereological estimation of the total number of neurons in the subdivisions of the rat hippocampus using the optical fractionator&quot;,&quot;author&quot;:[{&quot;family&quot;:&quot;West&quot;,&quot;given&quot;:&quot;M. J.&quot;,&quot;parse-names&quot;:false,&quot;dropping-particle&quot;:&quot;&quot;,&quot;non-dropping-particle&quot;:&quot;&quot;},{&quot;family&quot;:&quot;Slomianka&quot;,&quot;given&quot;:&quot;L.&quot;,&quot;parse-names&quot;:false,&quot;dropping-particle&quot;:&quot;&quot;,&quot;non-dropping-particle&quot;:&quot;&quot;},{&quot;family&quot;:&quot;Gundersen&quot;,&quot;given&quot;:&quot;H. J.G.&quot;,&quot;parse-names&quot;:false,&quot;dropping-particle&quot;:&quot;&quot;,&quot;non-dropping-particle&quot;:&quot;&quot;}],&quot;container-title&quot;:&quot;The Anatomical Record&quot;,&quot;container-title-short&quot;:&quot;Anat Rec&quot;,&quot;DOI&quot;:&quot;10.1002/ar.1092310411&quot;,&quot;ISSN&quot;:&quot;10970185&quot;,&quot;PMID&quot;:&quot;1793176&quot;,&quot;issued&quot;:{&quot;date-parts&quot;:[[1991]]},&quot;page&quot;:&quot;482-497&quot;,&quot;abstract&quot;:&quot;A stereological method for obtaining estimates of the total number of neurons in five major subdivisions of the rat hippocampus is described. The new method, the optical fractionator, combines two recent developments in stereology: a three‐dimensional probe for counting neuronal nuclei, the optical disector, and a systematic uniform sampling scheme, the fractionator. The optical disector results in unbiased estimates of neuron number, i.e., estimates that are free of assumptions about neuron size and shape, are unaffected by lost caps and over‐projection, and approach the true number of neurons in an unlimited manner as the number of samples is increased. The fractionator involves sampling a known fraction of a structural component. In the case of neuron number, a zero dimensional quantity, it provides estimates that are unaffected by shrinkage before, during, and after processing of the tissue. Because the fractionator involves systematic sampling, it also results in highly efficient estimates. Typically only 100–200 neurons must be counted in an animal to obtain a precision that is compatible with experimental studies. The methodology is compared with those used in earlier works involving estimates of neuron number in the rat hippocampus and a number of new stereological methods that have particular relevance to the quantitative study of the structure of the nervous system are briefly described in an appendix. Copyright © 1991 John Wiley &amp; Sons, Inc.&quot;,&quot;issue&quot;:&quot;4&quot;,&quot;volume&quot;:&quot;231&quot;},&quot;isTemporary&quot;:false}]},{&quot;citationID&quot;:&quot;MENDELEY_CITATION_73d509ed-c8a0-4152-88c5-848b4a594f61&quot;,&quot;properties&quot;:{&quot;noteIndex&quot;:0},&quot;isEdited&quot;:false,&quot;manualOverride&quot;:{&quot;isManuallyOverridden&quot;:true,&quot;citeprocText&quot;:&quot;&lt;span style=\&quot;baseline\&quot;&gt;[6]&lt;/span&gt;&quot;,&quot;manualOverrideText&quot;:&quot;.&quot;},&quot;citationTag&quot;:&quot;MENDELEY_CITATION_v3_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&quot;,&quot;citationItems&quot;:[{&quot;id&quot;:&quot;e52c01e7-d5ff-3529-b2b0-2868e9c0040f&quot;,&quot;itemData&quot;:{&quot;type&quot;:&quot;article-journal&quot;,&quot;id&quot;:&quot;e52c01e7-d5ff-3529-b2b0-2868e9c0040f&quot;,&quot;title&quot;:&quot;Unbiased stereological estimation of the total number of neurons in the subdivisions of the rat hippocampus using the optical fractionator&quot;,&quot;author&quot;:[{&quot;family&quot;:&quot;West&quot;,&quot;given&quot;:&quot;M. J.&quot;,&quot;parse-names&quot;:false,&quot;dropping-particle&quot;:&quot;&quot;,&quot;non-dropping-particle&quot;:&quot;&quot;},{&quot;family&quot;:&quot;Slomianka&quot;,&quot;given&quot;:&quot;L.&quot;,&quot;parse-names&quot;:false,&quot;dropping-particle&quot;:&quot;&quot;,&quot;non-dropping-particle&quot;:&quot;&quot;},{&quot;family&quot;:&quot;Gundersen&quot;,&quot;given&quot;:&quot;H. J.G.&quot;,&quot;parse-names&quot;:false,&quot;dropping-particle&quot;:&quot;&quot;,&quot;non-dropping-particle&quot;:&quot;&quot;}],&quot;container-title&quot;:&quot;The Anatomical Record&quot;,&quot;container-title-short&quot;:&quot;Anat Rec&quot;,&quot;DOI&quot;:&quot;10.1002/ar.1092310411&quot;,&quot;ISSN&quot;:&quot;10970185&quot;,&quot;PMID&quot;:&quot;1793176&quot;,&quot;issued&quot;:{&quot;date-parts&quot;:[[1991]]},&quot;page&quot;:&quot;482-497&quot;,&quot;abstract&quot;:&quot;A stereological method for obtaining estimates of the total number of neurons in five major subdivisions of the rat hippocampus is described. The new method, the optical fractionator, combines two recent developments in stereology: a three‐dimensional probe for counting neuronal nuclei, the optical disector, and a systematic uniform sampling scheme, the fractionator. The optical disector results in unbiased estimates of neuron number, i.e., estimates that are free of assumptions about neuron size and shape, are unaffected by lost caps and over‐projection, and approach the true number of neurons in an unlimited manner as the number of samples is increased. The fractionator involves sampling a known fraction of a structural component. In the case of neuron number, a zero dimensional quantity, it provides estimates that are unaffected by shrinkage before, during, and after processing of the tissue. Because the fractionator involves systematic sampling, it also results in highly efficient estimates. Typically only 100–200 neurons must be counted in an animal to obtain a precision that is compatible with experimental studies. The methodology is compared with those used in earlier works involving estimates of neuron number in the rat hippocampus and a number of new stereological methods that have particular relevance to the quantitative study of the structure of the nervous system are briefly described in an appendix. Copyright © 1991 John Wiley &amp; Sons, Inc.&quot;,&quot;issue&quot;:&quot;4&quot;,&quot;volume&quot;:&quot;231&quot;},&quot;isTemporary&quot;:false}]}]"/>
    <we:property name="MENDELEY_CITATIONS_LOCALE_CODE" value="&quot;en-GB&quot;"/>
    <we:property name="MENDELEY_CITATIONS_STYLE" value="{&quot;id&quot;:&quot;https://www.zotero.org/styles/neuropsychopharmacology&quot;,&quot;title&quot;:&quot;Neuropsychopharmacology&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2C306-EEE9-44DE-803B-CD24C90E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3790</Words>
  <Characters>21607</Characters>
  <Application>Microsoft Office Word</Application>
  <DocSecurity>0</DocSecurity>
  <Lines>180</Lines>
  <Paragraphs>50</Paragraphs>
  <ScaleCrop>false</ScaleCrop>
  <Company/>
  <LinksUpToDate>false</LinksUpToDate>
  <CharactersWithSpaces>25347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佩林 祝</dc:creator>
  <cp:keywords/>
  <dc:description/>
  <cp:lastModifiedBy>佩林 祝</cp:lastModifiedBy>
  <cp:revision>2</cp:revision>
  <dcterms:created xsi:type="dcterms:W3CDTF">2024-07-17T03:34:00Z</dcterms:created>
  <dcterms:modified xsi:type="dcterms:W3CDTF">2024-07-17T03:34:00Z</dcterms:modified>
</cp:coreProperties>
</file>