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BE8305" w14:textId="67A77C13" w:rsidR="00117B55" w:rsidRPr="001B0880" w:rsidRDefault="00117B55" w:rsidP="00117B55">
      <w:pPr>
        <w:pStyle w:val="aa"/>
        <w:spacing w:line="336" w:lineRule="auto"/>
        <w:jc w:val="left"/>
        <w:rPr>
          <w:rFonts w:ascii="Palatino Linotype" w:eastAsiaTheme="minorHAnsi" w:hAnsi="Palatino Linotype" w:cs="Helvetica"/>
          <w:b w:val="0"/>
          <w:bCs w:val="0"/>
          <w:sz w:val="22"/>
          <w:shd w:val="clear" w:color="auto" w:fill="FDFDFD"/>
        </w:rPr>
      </w:pPr>
      <w:r>
        <w:rPr>
          <w:rFonts w:ascii="Palatino Linotype" w:eastAsiaTheme="minorHAnsi" w:hAnsi="Palatino Linotype" w:cs="Helvetica" w:hint="eastAsia"/>
          <w:sz w:val="22"/>
          <w:shd w:val="clear" w:color="auto" w:fill="FDFDFD"/>
        </w:rPr>
        <w:t>A.</w:t>
      </w:r>
      <w:r>
        <w:rPr>
          <w:rFonts w:ascii="Palatino Linotype" w:eastAsiaTheme="minorHAnsi" w:hAnsi="Palatino Linotype" w:cs="Helvetica" w:hint="eastAsia"/>
          <w:b w:val="0"/>
          <w:bCs w:val="0"/>
          <w:sz w:val="22"/>
          <w:shd w:val="clear" w:color="auto" w:fill="FDFDFD"/>
        </w:rPr>
        <w:t xml:space="preserve"> </w:t>
      </w:r>
      <w:r w:rsidR="00F35DA6" w:rsidRPr="00F35DA6">
        <w:rPr>
          <w:rFonts w:ascii="Palatino Linotype" w:eastAsiaTheme="minorHAnsi" w:hAnsi="Palatino Linotype" w:cs="Helvetica"/>
          <w:b w:val="0"/>
          <w:bCs w:val="0"/>
          <w:sz w:val="22"/>
          <w:shd w:val="clear" w:color="auto" w:fill="FDFDFD"/>
        </w:rPr>
        <w:t>Representative DEGs exhibiting the same expression pattern between C</w:t>
      </w:r>
      <w:r w:rsidR="00F35DA6">
        <w:rPr>
          <w:rFonts w:ascii="Palatino Linotype" w:eastAsiaTheme="minorHAnsi" w:hAnsi="Palatino Linotype" w:cs="Helvetica" w:hint="eastAsia"/>
          <w:b w:val="0"/>
          <w:bCs w:val="0"/>
          <w:sz w:val="22"/>
          <w:shd w:val="clear" w:color="auto" w:fill="FDFDFD"/>
        </w:rPr>
        <w:t>1</w:t>
      </w:r>
      <w:r w:rsidR="00F35DA6" w:rsidRPr="00F35DA6">
        <w:rPr>
          <w:rFonts w:ascii="Palatino Linotype" w:eastAsiaTheme="minorHAnsi" w:hAnsi="Palatino Linotype" w:cs="Helvetica"/>
          <w:b w:val="0"/>
          <w:bCs w:val="0"/>
          <w:sz w:val="22"/>
          <w:shd w:val="clear" w:color="auto" w:fill="FDFDFD"/>
        </w:rPr>
        <w:t xml:space="preserve"> </w:t>
      </w:r>
      <w:r w:rsidR="00F35DA6">
        <w:rPr>
          <w:rFonts w:ascii="Palatino Linotype" w:eastAsiaTheme="minorHAnsi" w:hAnsi="Palatino Linotype" w:cs="Helvetica" w:hint="eastAsia"/>
          <w:b w:val="0"/>
          <w:bCs w:val="0"/>
          <w:sz w:val="22"/>
          <w:shd w:val="clear" w:color="auto" w:fill="FDFDFD"/>
        </w:rPr>
        <w:t>to</w:t>
      </w:r>
      <w:r w:rsidR="00F35DA6" w:rsidRPr="00F35DA6">
        <w:rPr>
          <w:rFonts w:ascii="Palatino Linotype" w:eastAsiaTheme="minorHAnsi" w:hAnsi="Palatino Linotype" w:cs="Helvetica"/>
          <w:b w:val="0"/>
          <w:bCs w:val="0"/>
          <w:sz w:val="22"/>
          <w:shd w:val="clear" w:color="auto" w:fill="FDFDFD"/>
        </w:rPr>
        <w:t xml:space="preserve"> C</w:t>
      </w:r>
      <w:r w:rsidR="00F35DA6">
        <w:rPr>
          <w:rFonts w:ascii="Palatino Linotype" w:eastAsiaTheme="minorHAnsi" w:hAnsi="Palatino Linotype" w:cs="Helvetica" w:hint="eastAsia"/>
          <w:b w:val="0"/>
          <w:bCs w:val="0"/>
          <w:sz w:val="22"/>
          <w:shd w:val="clear" w:color="auto" w:fill="FDFDFD"/>
        </w:rPr>
        <w:t>2 and</w:t>
      </w:r>
      <w:r w:rsidR="00F35DA6" w:rsidRPr="00F35DA6">
        <w:rPr>
          <w:rFonts w:ascii="Palatino Linotype" w:eastAsiaTheme="minorHAnsi" w:hAnsi="Palatino Linotype" w:cs="Helvetica"/>
          <w:b w:val="0"/>
          <w:bCs w:val="0"/>
          <w:sz w:val="22"/>
          <w:shd w:val="clear" w:color="auto" w:fill="FDFDFD"/>
        </w:rPr>
        <w:t xml:space="preserve"> 25</w:t>
      </w:r>
      <w:r w:rsidR="00F35DA6" w:rsidRPr="00F35DA6">
        <w:rPr>
          <w:rFonts w:ascii="맑은 고딕" w:eastAsia="맑은 고딕" w:hAnsi="맑은 고딕" w:cs="맑은 고딕" w:hint="eastAsia"/>
          <w:b w:val="0"/>
          <w:bCs w:val="0"/>
          <w:sz w:val="22"/>
          <w:shd w:val="clear" w:color="auto" w:fill="FDFDFD"/>
        </w:rPr>
        <w:t>℃</w:t>
      </w:r>
      <w:r w:rsidR="00F35DA6" w:rsidRPr="00F35DA6">
        <w:rPr>
          <w:rFonts w:ascii="Palatino Linotype" w:eastAsiaTheme="minorHAnsi" w:hAnsi="Palatino Linotype" w:cs="Helvetica"/>
          <w:b w:val="0"/>
          <w:bCs w:val="0"/>
          <w:sz w:val="22"/>
          <w:shd w:val="clear" w:color="auto" w:fill="FDFDFD"/>
        </w:rPr>
        <w:t xml:space="preserve"> </w:t>
      </w:r>
      <w:r w:rsidR="00F35DA6">
        <w:rPr>
          <w:rFonts w:ascii="Palatino Linotype" w:eastAsiaTheme="minorHAnsi" w:hAnsi="Palatino Linotype" w:cs="Helvetica" w:hint="eastAsia"/>
          <w:b w:val="0"/>
          <w:bCs w:val="0"/>
          <w:sz w:val="22"/>
          <w:shd w:val="clear" w:color="auto" w:fill="FDFDFD"/>
        </w:rPr>
        <w:t>to</w:t>
      </w:r>
      <w:r w:rsidR="00F35DA6" w:rsidRPr="00F35DA6">
        <w:rPr>
          <w:rFonts w:ascii="Palatino Linotype" w:eastAsiaTheme="minorHAnsi" w:hAnsi="Palatino Linotype" w:cs="Helvetica"/>
          <w:b w:val="0"/>
          <w:bCs w:val="0"/>
          <w:sz w:val="22"/>
          <w:shd w:val="clear" w:color="auto" w:fill="FDFDFD"/>
        </w:rPr>
        <w:t xml:space="preserve"> 27</w:t>
      </w:r>
      <w:r w:rsidR="00F35DA6" w:rsidRPr="00F35DA6">
        <w:rPr>
          <w:rFonts w:ascii="맑은 고딕" w:eastAsia="맑은 고딕" w:hAnsi="맑은 고딕" w:cs="맑은 고딕" w:hint="eastAsia"/>
          <w:b w:val="0"/>
          <w:bCs w:val="0"/>
          <w:sz w:val="22"/>
          <w:shd w:val="clear" w:color="auto" w:fill="FDFDFD"/>
        </w:rPr>
        <w:t>℃</w:t>
      </w:r>
    </w:p>
    <w:tbl>
      <w:tblPr>
        <w:tblW w:w="9072" w:type="dxa"/>
        <w:tblInd w:w="-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4"/>
        <w:gridCol w:w="1418"/>
        <w:gridCol w:w="5245"/>
        <w:gridCol w:w="1275"/>
      </w:tblGrid>
      <w:tr w:rsidR="00117B55" w14:paraId="637B6C2B" w14:textId="77777777" w:rsidTr="00B4731A">
        <w:trPr>
          <w:trHeight w:val="34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55AEA" w14:textId="77777777" w:rsidR="00117B55" w:rsidRPr="00940D4E" w:rsidRDefault="00117B55" w:rsidP="00B4731A">
            <w:pPr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 ID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DA5D6" w14:textId="77777777" w:rsidR="00117B55" w:rsidRPr="00940D4E" w:rsidRDefault="00117B55" w:rsidP="00B4731A">
            <w:pPr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Group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FF2FD" w14:textId="77777777" w:rsidR="00117B55" w:rsidRPr="00940D4E" w:rsidRDefault="00117B55" w:rsidP="00B4731A">
            <w:pPr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Description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98B21" w14:textId="77777777" w:rsidR="00117B55" w:rsidRPr="00940D4E" w:rsidRDefault="00117B55" w:rsidP="00B4731A">
            <w:pPr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 number</w:t>
            </w:r>
          </w:p>
        </w:tc>
      </w:tr>
      <w:tr w:rsidR="00117B55" w14:paraId="0B4E38A4" w14:textId="77777777" w:rsidTr="00B076CD">
        <w:trPr>
          <w:trHeight w:val="34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19F24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Contig14679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2E2AD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increased ini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EBBF8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probable receptor-like serine/threonine-protein kinase At5g57670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E10FB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DCAR_020111</w:t>
            </w:r>
          </w:p>
        </w:tc>
      </w:tr>
      <w:tr w:rsidR="00117B55" w14:paraId="505DEF86" w14:textId="77777777" w:rsidTr="00B076CD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F9BAE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Contig5740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45393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727CA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626A6">
              <w:rPr>
                <w:rFonts w:ascii="맑은 고딕" w:eastAsia="맑은 고딕" w:hAnsi="맑은 고딕"/>
                <w:color w:val="000000"/>
                <w:sz w:val="16"/>
                <w:szCs w:val="16"/>
              </w:rPr>
              <w:t>Uncharacterized protein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E2DC0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DCAR_009994</w:t>
            </w:r>
          </w:p>
        </w:tc>
      </w:tr>
      <w:tr w:rsidR="00117B55" w14:paraId="5C365D1E" w14:textId="77777777" w:rsidTr="00B076CD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ABA2D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Contig7903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529AA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C2604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protein PLASTID MOVEMENT IMPAIRED 1-RELATED 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B3753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DCAR_024722</w:t>
            </w:r>
          </w:p>
        </w:tc>
      </w:tr>
      <w:tr w:rsidR="00117B55" w14:paraId="0BEA8396" w14:textId="77777777" w:rsidTr="00B076CD">
        <w:trPr>
          <w:trHeight w:val="34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F2C61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Contig9791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64EF7" w14:textId="44AD7AD6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increased </w:t>
            </w:r>
            <w:r w:rsidR="00304A3C"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a</w:t>
            </w:r>
            <w:r w:rsidR="00304A3C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ccli</w:t>
            </w:r>
          </w:p>
          <w:p w14:paraId="62C04FBE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0092A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PetA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C3B45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DCAR_032497</w:t>
            </w:r>
          </w:p>
        </w:tc>
      </w:tr>
      <w:tr w:rsidR="00117B55" w14:paraId="63B753E4" w14:textId="77777777" w:rsidTr="00B076CD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6C9D7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Contig18846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A075B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92E7D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P1a-P1b RNA-dependent RNA polymerase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931C6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DCAR_028951</w:t>
            </w:r>
          </w:p>
        </w:tc>
      </w:tr>
      <w:tr w:rsidR="00117B55" w14:paraId="53C02CFB" w14:textId="77777777" w:rsidTr="00B076CD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A3F4D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Contig5717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B2EEA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3747E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MAG: RNA-dependent RNA polymerase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8C310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DCAR_014137</w:t>
            </w:r>
          </w:p>
        </w:tc>
      </w:tr>
      <w:tr w:rsidR="00117B55" w14:paraId="0A653379" w14:textId="77777777" w:rsidTr="00B076CD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A6FCE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Contig5716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FE469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A8149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MAG: RNA-dependent RNA polymerase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EB226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DCAR_014137</w:t>
            </w:r>
          </w:p>
        </w:tc>
      </w:tr>
      <w:tr w:rsidR="00117B55" w14:paraId="78071657" w14:textId="77777777" w:rsidTr="00B076CD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4705D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Contig5904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77D98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A19F2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CASP-like protein 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217C8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DCAR_002445</w:t>
            </w:r>
          </w:p>
        </w:tc>
      </w:tr>
      <w:tr w:rsidR="00117B55" w14:paraId="0C99E5B2" w14:textId="77777777" w:rsidTr="00B076CD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0FAC5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Contig8478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13873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F684C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F-box domain-containing protein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10141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DCAR_027197</w:t>
            </w:r>
          </w:p>
        </w:tc>
      </w:tr>
      <w:tr w:rsidR="00117B55" w14:paraId="7B8EF7D3" w14:textId="77777777" w:rsidTr="00B076CD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D914B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Contig22256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BA37E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BE9EC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protein S40-1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D1B5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DCAR_007918</w:t>
            </w:r>
          </w:p>
        </w:tc>
      </w:tr>
      <w:tr w:rsidR="00117B55" w14:paraId="1134EBF3" w14:textId="77777777" w:rsidTr="00B076CD">
        <w:trPr>
          <w:trHeight w:val="34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64926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Contig18552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0F511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decreased ini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68B35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GRIP1-associated protein 1 isoform X2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737CF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DCAR_010595</w:t>
            </w:r>
          </w:p>
        </w:tc>
      </w:tr>
      <w:tr w:rsidR="00117B55" w14:paraId="6FAD9EE6" w14:textId="77777777" w:rsidTr="00B076CD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C8466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Contig24644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FFC98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A2E42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uncharacterized protein LOC108214181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D680D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DCAR_011960</w:t>
            </w:r>
          </w:p>
        </w:tc>
      </w:tr>
      <w:tr w:rsidR="00117B55" w14:paraId="396EB94C" w14:textId="77777777" w:rsidTr="00B076CD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D822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Contig23794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196D9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4DE79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5'-3' exoribonuclease 3-like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7810E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DCAR_017477</w:t>
            </w:r>
          </w:p>
        </w:tc>
      </w:tr>
      <w:tr w:rsidR="00117B55" w14:paraId="011791AD" w14:textId="77777777" w:rsidTr="00B076CD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76FD3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Contig20206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9DBF9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8D5FF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hypothetical protein POM88_045898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658BF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DCAR_014364</w:t>
            </w:r>
          </w:p>
        </w:tc>
      </w:tr>
      <w:tr w:rsidR="00117B55" w14:paraId="57CE3B21" w14:textId="77777777" w:rsidTr="00B076CD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C37C0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Contig8722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36013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97508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probable LRR receptor-like serine/threonine-protein kinase At1g53430 isoform X1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B83DA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DCAR_013265</w:t>
            </w:r>
          </w:p>
        </w:tc>
      </w:tr>
      <w:tr w:rsidR="00117B55" w14:paraId="38A6FBA9" w14:textId="77777777" w:rsidTr="00B076CD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F4146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Contig10594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7DD91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BD3EC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protein ARABIDILLO 1-like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DF32D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DCAR_029753</w:t>
            </w:r>
          </w:p>
        </w:tc>
      </w:tr>
      <w:tr w:rsidR="00117B55" w14:paraId="24718EC8" w14:textId="77777777" w:rsidTr="00B076CD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154F6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Contig4571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56804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424A9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protein HAPLESS 2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F64F9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DCAR_006756</w:t>
            </w:r>
          </w:p>
        </w:tc>
      </w:tr>
      <w:tr w:rsidR="00117B55" w14:paraId="4EB730C8" w14:textId="77777777" w:rsidTr="00B076CD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F5ED5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Contig14067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5D27E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8FFB2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aluminum-activated malate transporter 9-like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613EC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DCAR_015137</w:t>
            </w:r>
          </w:p>
        </w:tc>
      </w:tr>
      <w:tr w:rsidR="00117B55" w14:paraId="0B52B95D" w14:textId="77777777" w:rsidTr="00B076CD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73FA5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Contig18123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198B9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CCDBF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grpE protein homolog 2, mitochondrial isoform X1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DD860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DCAR_017107</w:t>
            </w:r>
          </w:p>
        </w:tc>
      </w:tr>
      <w:tr w:rsidR="00117B55" w14:paraId="581044A9" w14:textId="77777777" w:rsidTr="00B076CD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DDA21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Contig11987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30C7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A27D1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kinesin-like protein KIN-7G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681D9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DCAR_017343</w:t>
            </w:r>
          </w:p>
        </w:tc>
      </w:tr>
      <w:tr w:rsidR="00117B55" w14:paraId="7E7EFC52" w14:textId="77777777" w:rsidTr="00B076CD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6F7A4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Contig2003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705CE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65E4C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myosin-2 heavy chain-like isoform X2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C4565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DCAR_006389</w:t>
            </w:r>
          </w:p>
        </w:tc>
      </w:tr>
      <w:tr w:rsidR="00117B55" w14:paraId="54C203A4" w14:textId="77777777" w:rsidTr="00B076CD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2DDC8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Contig18551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33592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AFBCE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GRIP1-associated protein 1 isoform X2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AD88B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DCAR_010595</w:t>
            </w:r>
          </w:p>
        </w:tc>
      </w:tr>
      <w:tr w:rsidR="00117B55" w14:paraId="5CC198F0" w14:textId="77777777" w:rsidTr="00B076CD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29ECB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Contig6683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2A106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81D66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tRNA-splicing endonuclease subunit Sen2-1-like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CB110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DCAR_006383</w:t>
            </w:r>
          </w:p>
        </w:tc>
      </w:tr>
      <w:tr w:rsidR="00117B55" w14:paraId="487B83A3" w14:textId="77777777" w:rsidTr="00B076CD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51F35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Contig12216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AFCEF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63E02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plasma membrane ATPase 1-like isoform X1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59CC2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DCAR_021539</w:t>
            </w:r>
          </w:p>
        </w:tc>
      </w:tr>
      <w:tr w:rsidR="00117B55" w14:paraId="457151D1" w14:textId="77777777" w:rsidTr="00B076CD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5D0CB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Contig21735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7C7A6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30539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Verticillium wilt disease resistance protein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C0DFC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DCAR_018680</w:t>
            </w:r>
          </w:p>
        </w:tc>
      </w:tr>
      <w:tr w:rsidR="00117B55" w14:paraId="7CA5B15C" w14:textId="77777777" w:rsidTr="00B076CD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C8D87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Contig10750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E3C47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B272A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U11/U12 small nuclear ribonucleoprotein 48 kDa protein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A5904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DCAR_005530</w:t>
            </w:r>
          </w:p>
        </w:tc>
      </w:tr>
      <w:tr w:rsidR="00117B55" w14:paraId="13F1E71C" w14:textId="77777777" w:rsidTr="00B076CD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921E7D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Contig14103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89C38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DDF17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Homeobox-DDT domain protein RLT2</w:t>
            </w:r>
          </w:p>
        </w:tc>
        <w:tc>
          <w:tcPr>
            <w:tcW w:w="12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471E2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DCAR_021265</w:t>
            </w:r>
          </w:p>
        </w:tc>
      </w:tr>
      <w:tr w:rsidR="00117B55" w14:paraId="63C57174" w14:textId="77777777" w:rsidTr="00B076CD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BE840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Contig22413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49B93E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438C5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transcription factor PIF3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2AEB7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DCAR_029297</w:t>
            </w:r>
          </w:p>
        </w:tc>
      </w:tr>
      <w:tr w:rsidR="00117B55" w14:paraId="124C5F7D" w14:textId="77777777" w:rsidTr="00B076CD">
        <w:trPr>
          <w:trHeight w:val="34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E5A37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Contig862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7B91C" w14:textId="4A9C4891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decreased </w:t>
            </w:r>
            <w:r w:rsidR="00304A3C"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a</w:t>
            </w:r>
            <w:r w:rsidR="00304A3C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ccli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54BCE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chromatin structure-remodeling complex protein SYD isoform X1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9CF24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DCAR_002397</w:t>
            </w:r>
          </w:p>
        </w:tc>
      </w:tr>
      <w:tr w:rsidR="00117B55" w14:paraId="783FB493" w14:textId="77777777" w:rsidTr="00B076CD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7F5DC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Contig8244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FBC48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6FB50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COP1-interactive protein 1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3E7C8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DCAR_005027</w:t>
            </w:r>
          </w:p>
        </w:tc>
      </w:tr>
      <w:tr w:rsidR="00117B55" w14:paraId="669CDDEA" w14:textId="77777777" w:rsidTr="00B076CD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F7233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Contig23448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CDFAC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DBED3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hypothetical protein DCAR_0933736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E695D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DCAR_029298</w:t>
            </w:r>
          </w:p>
        </w:tc>
      </w:tr>
      <w:tr w:rsidR="00117B55" w14:paraId="5B8E16FE" w14:textId="77777777" w:rsidTr="00B076CD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A3EA3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Contig7782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1CAE1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0782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golgin subfamily B member 1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9E409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DCAR_009366</w:t>
            </w:r>
          </w:p>
        </w:tc>
      </w:tr>
      <w:tr w:rsidR="00117B55" w14:paraId="410EEBFC" w14:textId="77777777" w:rsidTr="00B076CD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F36C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Contig17413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B7EAE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7AA34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myosin-12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99AA8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DCAR_029573</w:t>
            </w:r>
          </w:p>
        </w:tc>
      </w:tr>
      <w:tr w:rsidR="00117B55" w14:paraId="271F9570" w14:textId="77777777" w:rsidTr="00B076CD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FEAED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Contig22193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471C4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D6D28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uncharacterized protein LOC108209400 isoform X2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16229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DCAR_006748</w:t>
            </w:r>
          </w:p>
        </w:tc>
      </w:tr>
      <w:tr w:rsidR="00117B55" w14:paraId="676D639D" w14:textId="77777777" w:rsidTr="00B076CD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4BBAA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Contig2862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0114C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44E5A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transcriptional activator DEMETER-like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EB6F3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DCAR_006374</w:t>
            </w:r>
          </w:p>
        </w:tc>
      </w:tr>
      <w:tr w:rsidR="00117B55" w14:paraId="680F0CE8" w14:textId="77777777" w:rsidTr="00B076CD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367FB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lastRenderedPageBreak/>
              <w:t>Contig8599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9023E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7DA3D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heavy metal-associated isoprenylated plant protein 3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C4E92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DCAR_022767</w:t>
            </w:r>
          </w:p>
        </w:tc>
      </w:tr>
      <w:tr w:rsidR="00117B55" w14:paraId="6075F743" w14:textId="77777777" w:rsidTr="00B076CD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0044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Contig22848</w:t>
            </w:r>
          </w:p>
        </w:tc>
        <w:tc>
          <w:tcPr>
            <w:tcW w:w="141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9FE54" w14:textId="1EE8E981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decreased </w:t>
            </w:r>
            <w:r w:rsidR="00304A3C"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a</w:t>
            </w:r>
            <w:r w:rsidR="00304A3C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ccli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EBD3F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hypothetical protein POM88_010142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F06D5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DCAR_017623</w:t>
            </w:r>
          </w:p>
        </w:tc>
      </w:tr>
      <w:tr w:rsidR="00117B55" w14:paraId="16D31C8A" w14:textId="77777777" w:rsidTr="00B076CD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BB609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Contig22849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331EF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FA6A5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putative microtubule-associated protein futsch0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8D57D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DCAR_017623</w:t>
            </w:r>
          </w:p>
        </w:tc>
      </w:tr>
      <w:tr w:rsidR="00117B55" w14:paraId="1C622A30" w14:textId="77777777" w:rsidTr="00B076CD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AA4FD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Contig12051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842FF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EF640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hypothetical protein DCAR_0205687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99EE9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DCAR_005092</w:t>
            </w:r>
          </w:p>
        </w:tc>
      </w:tr>
      <w:tr w:rsidR="00117B55" w14:paraId="48CFB949" w14:textId="77777777" w:rsidTr="00B076CD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F934B2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Contig5341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6798E1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0F8A2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COP1-interacting protein 7 isoform X2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F334B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DCAR_019539</w:t>
            </w:r>
          </w:p>
        </w:tc>
      </w:tr>
    </w:tbl>
    <w:p w14:paraId="6403F4B8" w14:textId="77777777" w:rsidR="00117B55" w:rsidRDefault="00117B55" w:rsidP="00117B55">
      <w:pPr>
        <w:rPr>
          <w:rFonts w:ascii="Palatino Linotype" w:eastAsiaTheme="minorHAnsi" w:hAnsi="Palatino Linotype" w:cs="Helvetica"/>
          <w:b/>
          <w:bCs/>
          <w:sz w:val="22"/>
          <w:shd w:val="clear" w:color="auto" w:fill="FDFDFD"/>
        </w:rPr>
      </w:pPr>
    </w:p>
    <w:p w14:paraId="06D01076" w14:textId="77777777" w:rsidR="00117B55" w:rsidRDefault="00117B55" w:rsidP="00117B55">
      <w:pPr>
        <w:spacing w:after="160" w:line="259" w:lineRule="auto"/>
        <w:jc w:val="both"/>
        <w:rPr>
          <w:rFonts w:ascii="Palatino Linotype" w:eastAsiaTheme="minorHAnsi" w:hAnsi="Palatino Linotype" w:cs="Helvetica"/>
          <w:b/>
          <w:bCs/>
          <w:sz w:val="22"/>
          <w:shd w:val="clear" w:color="auto" w:fill="FDFDFD"/>
        </w:rPr>
      </w:pPr>
      <w:r>
        <w:rPr>
          <w:rFonts w:ascii="Palatino Linotype" w:eastAsiaTheme="minorHAnsi" w:hAnsi="Palatino Linotype" w:cs="Helvetica"/>
          <w:b/>
          <w:bCs/>
          <w:sz w:val="22"/>
          <w:shd w:val="clear" w:color="auto" w:fill="FDFDFD"/>
        </w:rPr>
        <w:br w:type="page"/>
      </w:r>
    </w:p>
    <w:p w14:paraId="77143BA2" w14:textId="66DED33B" w:rsidR="00117B55" w:rsidRPr="001B0880" w:rsidRDefault="00117B55" w:rsidP="00117B55">
      <w:pPr>
        <w:pStyle w:val="aa"/>
        <w:spacing w:line="336" w:lineRule="auto"/>
        <w:jc w:val="left"/>
        <w:rPr>
          <w:rFonts w:ascii="Palatino Linotype" w:eastAsiaTheme="minorHAnsi" w:hAnsi="Palatino Linotype" w:cs="Helvetica"/>
          <w:b w:val="0"/>
          <w:bCs w:val="0"/>
          <w:sz w:val="22"/>
          <w:shd w:val="clear" w:color="auto" w:fill="FDFDFD"/>
        </w:rPr>
      </w:pPr>
      <w:r>
        <w:rPr>
          <w:rFonts w:ascii="Palatino Linotype" w:eastAsiaTheme="minorHAnsi" w:hAnsi="Palatino Linotype" w:cs="Helvetica" w:hint="eastAsia"/>
          <w:b w:val="0"/>
          <w:bCs w:val="0"/>
          <w:sz w:val="22"/>
          <w:shd w:val="clear" w:color="auto" w:fill="FDFDFD"/>
        </w:rPr>
        <w:lastRenderedPageBreak/>
        <w:t>B</w:t>
      </w:r>
      <w:r w:rsidRPr="00117B55">
        <w:rPr>
          <w:rFonts w:ascii="Palatino Linotype" w:eastAsiaTheme="minorHAnsi" w:hAnsi="Palatino Linotype" w:cs="Helvetica" w:hint="eastAsia"/>
          <w:b w:val="0"/>
          <w:bCs w:val="0"/>
          <w:sz w:val="22"/>
          <w:shd w:val="clear" w:color="auto" w:fill="FDFDFD"/>
        </w:rPr>
        <w:t>.</w:t>
      </w:r>
      <w:r>
        <w:rPr>
          <w:rFonts w:ascii="Palatino Linotype" w:eastAsiaTheme="minorHAnsi" w:hAnsi="Palatino Linotype" w:cs="Helvetica" w:hint="eastAsia"/>
          <w:b w:val="0"/>
          <w:bCs w:val="0"/>
          <w:sz w:val="22"/>
          <w:shd w:val="clear" w:color="auto" w:fill="FDFDFD"/>
        </w:rPr>
        <w:t xml:space="preserve"> </w:t>
      </w:r>
      <w:r w:rsidR="00F35DA6" w:rsidRPr="00F35DA6">
        <w:rPr>
          <w:rFonts w:ascii="Palatino Linotype" w:eastAsiaTheme="minorHAnsi" w:hAnsi="Palatino Linotype" w:cs="Helvetica"/>
          <w:b w:val="0"/>
          <w:bCs w:val="0"/>
          <w:sz w:val="22"/>
          <w:shd w:val="clear" w:color="auto" w:fill="FDFDFD"/>
        </w:rPr>
        <w:t>Representative DEGs exhibiting the same expression pattern between C</w:t>
      </w:r>
      <w:r w:rsidR="00F35DA6">
        <w:rPr>
          <w:rFonts w:ascii="Palatino Linotype" w:eastAsiaTheme="minorHAnsi" w:hAnsi="Palatino Linotype" w:cs="Helvetica" w:hint="eastAsia"/>
          <w:b w:val="0"/>
          <w:bCs w:val="0"/>
          <w:sz w:val="22"/>
          <w:shd w:val="clear" w:color="auto" w:fill="FDFDFD"/>
        </w:rPr>
        <w:t>2</w:t>
      </w:r>
      <w:r w:rsidR="00F35DA6" w:rsidRPr="00F35DA6">
        <w:rPr>
          <w:rFonts w:ascii="Palatino Linotype" w:eastAsiaTheme="minorHAnsi" w:hAnsi="Palatino Linotype" w:cs="Helvetica"/>
          <w:b w:val="0"/>
          <w:bCs w:val="0"/>
          <w:sz w:val="22"/>
          <w:shd w:val="clear" w:color="auto" w:fill="FDFDFD"/>
        </w:rPr>
        <w:t xml:space="preserve"> </w:t>
      </w:r>
      <w:r w:rsidR="00F35DA6">
        <w:rPr>
          <w:rFonts w:ascii="Palatino Linotype" w:eastAsiaTheme="minorHAnsi" w:hAnsi="Palatino Linotype" w:cs="Helvetica" w:hint="eastAsia"/>
          <w:b w:val="0"/>
          <w:bCs w:val="0"/>
          <w:sz w:val="22"/>
          <w:shd w:val="clear" w:color="auto" w:fill="FDFDFD"/>
        </w:rPr>
        <w:t>to</w:t>
      </w:r>
      <w:r w:rsidR="00F35DA6" w:rsidRPr="00F35DA6">
        <w:rPr>
          <w:rFonts w:ascii="Palatino Linotype" w:eastAsiaTheme="minorHAnsi" w:hAnsi="Palatino Linotype" w:cs="Helvetica"/>
          <w:b w:val="0"/>
          <w:bCs w:val="0"/>
          <w:sz w:val="22"/>
          <w:shd w:val="clear" w:color="auto" w:fill="FDFDFD"/>
        </w:rPr>
        <w:t xml:space="preserve"> C</w:t>
      </w:r>
      <w:r w:rsidR="00F35DA6">
        <w:rPr>
          <w:rFonts w:ascii="Palatino Linotype" w:eastAsiaTheme="minorHAnsi" w:hAnsi="Palatino Linotype" w:cs="Helvetica" w:hint="eastAsia"/>
          <w:b w:val="0"/>
          <w:bCs w:val="0"/>
          <w:sz w:val="22"/>
          <w:shd w:val="clear" w:color="auto" w:fill="FDFDFD"/>
        </w:rPr>
        <w:t>3 and</w:t>
      </w:r>
      <w:r w:rsidR="00F35DA6" w:rsidRPr="00F35DA6">
        <w:rPr>
          <w:rFonts w:ascii="Palatino Linotype" w:eastAsiaTheme="minorHAnsi" w:hAnsi="Palatino Linotype" w:cs="Helvetica"/>
          <w:b w:val="0"/>
          <w:bCs w:val="0"/>
          <w:sz w:val="22"/>
          <w:shd w:val="clear" w:color="auto" w:fill="FDFDFD"/>
        </w:rPr>
        <w:t xml:space="preserve"> 25</w:t>
      </w:r>
      <w:r w:rsidR="00F35DA6" w:rsidRPr="00F35DA6">
        <w:rPr>
          <w:rFonts w:ascii="맑은 고딕" w:eastAsia="맑은 고딕" w:hAnsi="맑은 고딕" w:cs="맑은 고딕" w:hint="eastAsia"/>
          <w:b w:val="0"/>
          <w:bCs w:val="0"/>
          <w:sz w:val="22"/>
          <w:shd w:val="clear" w:color="auto" w:fill="FDFDFD"/>
        </w:rPr>
        <w:t>℃</w:t>
      </w:r>
      <w:r w:rsidR="00F35DA6" w:rsidRPr="00F35DA6">
        <w:rPr>
          <w:rFonts w:ascii="Palatino Linotype" w:eastAsiaTheme="minorHAnsi" w:hAnsi="Palatino Linotype" w:cs="Helvetica"/>
          <w:b w:val="0"/>
          <w:bCs w:val="0"/>
          <w:sz w:val="22"/>
          <w:shd w:val="clear" w:color="auto" w:fill="FDFDFD"/>
        </w:rPr>
        <w:t xml:space="preserve"> </w:t>
      </w:r>
      <w:r w:rsidR="00F35DA6">
        <w:rPr>
          <w:rFonts w:ascii="Palatino Linotype" w:eastAsiaTheme="minorHAnsi" w:hAnsi="Palatino Linotype" w:cs="Helvetica" w:hint="eastAsia"/>
          <w:b w:val="0"/>
          <w:bCs w:val="0"/>
          <w:sz w:val="22"/>
          <w:shd w:val="clear" w:color="auto" w:fill="FDFDFD"/>
        </w:rPr>
        <w:t>to</w:t>
      </w:r>
      <w:r w:rsidR="00F35DA6" w:rsidRPr="00F35DA6">
        <w:rPr>
          <w:rFonts w:ascii="Palatino Linotype" w:eastAsiaTheme="minorHAnsi" w:hAnsi="Palatino Linotype" w:cs="Helvetica"/>
          <w:b w:val="0"/>
          <w:bCs w:val="0"/>
          <w:sz w:val="22"/>
          <w:shd w:val="clear" w:color="auto" w:fill="FDFDFD"/>
        </w:rPr>
        <w:t xml:space="preserve"> 27</w:t>
      </w:r>
      <w:r w:rsidR="00F35DA6" w:rsidRPr="00F35DA6">
        <w:rPr>
          <w:rFonts w:ascii="맑은 고딕" w:eastAsia="맑은 고딕" w:hAnsi="맑은 고딕" w:cs="맑은 고딕" w:hint="eastAsia"/>
          <w:b w:val="0"/>
          <w:bCs w:val="0"/>
          <w:sz w:val="22"/>
          <w:shd w:val="clear" w:color="auto" w:fill="FDFDFD"/>
        </w:rPr>
        <w:t>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3"/>
        <w:gridCol w:w="1417"/>
        <w:gridCol w:w="5238"/>
        <w:gridCol w:w="1228"/>
      </w:tblGrid>
      <w:tr w:rsidR="00117B55" w:rsidRPr="00940D4E" w14:paraId="17FDF906" w14:textId="77777777" w:rsidTr="00B076CD">
        <w:trPr>
          <w:trHeight w:val="340"/>
        </w:trPr>
        <w:tc>
          <w:tcPr>
            <w:tcW w:w="62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E409B9A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Contig13189</w:t>
            </w:r>
          </w:p>
        </w:tc>
        <w:tc>
          <w:tcPr>
            <w:tcW w:w="786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E568F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increased ini</w:t>
            </w:r>
          </w:p>
        </w:tc>
        <w:tc>
          <w:tcPr>
            <w:tcW w:w="290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86B9034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F-box domain-containing protein</w:t>
            </w:r>
          </w:p>
        </w:tc>
        <w:tc>
          <w:tcPr>
            <w:tcW w:w="68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187F63A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DCAR_008145</w:t>
            </w:r>
          </w:p>
        </w:tc>
      </w:tr>
      <w:tr w:rsidR="00117B55" w:rsidRPr="00940D4E" w14:paraId="4FB7E199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470884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Contig14814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111E5F50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3B2BBF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thioredoxin-like protein 4B isoform X2 </w:t>
            </w:r>
          </w:p>
        </w:tc>
        <w:tc>
          <w:tcPr>
            <w:tcW w:w="6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0A1441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DCAR_012631</w:t>
            </w:r>
          </w:p>
        </w:tc>
      </w:tr>
      <w:tr w:rsidR="00117B55" w:rsidRPr="00940D4E" w14:paraId="7D5A7D76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567835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Contig18087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7C4E69FC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44D57E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probable polyamine transporter At1g31830 isoform X2 </w:t>
            </w:r>
          </w:p>
        </w:tc>
        <w:tc>
          <w:tcPr>
            <w:tcW w:w="6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BF20CF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DCAR_002198</w:t>
            </w:r>
          </w:p>
        </w:tc>
      </w:tr>
      <w:tr w:rsidR="00117B55" w:rsidRPr="00940D4E" w14:paraId="5523CAD1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8C1706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Contig18812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005BFE1A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2FD268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small RNA 2'-O-methyltransferase </w:t>
            </w:r>
          </w:p>
        </w:tc>
        <w:tc>
          <w:tcPr>
            <w:tcW w:w="6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A7CB02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DCAR_003847</w:t>
            </w:r>
          </w:p>
        </w:tc>
      </w:tr>
      <w:tr w:rsidR="00117B55" w:rsidRPr="00940D4E" w14:paraId="6F20AACA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288B84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Contig21959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037D2DC2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51270B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uncharacterized protein LOC108227784</w:t>
            </w:r>
          </w:p>
        </w:tc>
        <w:tc>
          <w:tcPr>
            <w:tcW w:w="6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53BA58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DCAR_019885</w:t>
            </w:r>
          </w:p>
        </w:tc>
      </w:tr>
      <w:tr w:rsidR="00117B55" w:rsidRPr="00940D4E" w14:paraId="3D271D56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50C01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Contig6530</w:t>
            </w:r>
          </w:p>
        </w:tc>
        <w:tc>
          <w:tcPr>
            <w:tcW w:w="786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A6FB0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B66F0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Pre-mRNA-splicing factor cwc23</w:t>
            </w:r>
          </w:p>
        </w:tc>
        <w:tc>
          <w:tcPr>
            <w:tcW w:w="6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8E146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DCAR_020020</w:t>
            </w:r>
          </w:p>
        </w:tc>
      </w:tr>
      <w:tr w:rsidR="00117B55" w:rsidRPr="00940D4E" w14:paraId="31A80490" w14:textId="77777777" w:rsidTr="00B076CD">
        <w:trPr>
          <w:trHeight w:val="340"/>
        </w:trPr>
        <w:tc>
          <w:tcPr>
            <w:tcW w:w="62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09D3D18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Contig9792</w:t>
            </w:r>
          </w:p>
        </w:tc>
        <w:tc>
          <w:tcPr>
            <w:tcW w:w="786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D74D2" w14:textId="0FFAB453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increased </w:t>
            </w:r>
            <w:r w:rsidR="00304A3C"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a</w:t>
            </w:r>
            <w:r w:rsidR="00304A3C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ccli</w:t>
            </w:r>
          </w:p>
        </w:tc>
        <w:tc>
          <w:tcPr>
            <w:tcW w:w="290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FB7717C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ATP synthase F1 subunit alpha </w:t>
            </w:r>
          </w:p>
        </w:tc>
        <w:tc>
          <w:tcPr>
            <w:tcW w:w="68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B8969AF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DCAR_032469</w:t>
            </w:r>
          </w:p>
        </w:tc>
      </w:tr>
      <w:tr w:rsidR="00117B55" w:rsidRPr="00940D4E" w14:paraId="6D252BE1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C3E5AD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Contig4618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174EDDC4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9E595B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photosystem II CP43 chlorophyll apoprotein </w:t>
            </w:r>
          </w:p>
        </w:tc>
        <w:tc>
          <w:tcPr>
            <w:tcW w:w="6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D6D7E5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DCAR_032480</w:t>
            </w:r>
          </w:p>
        </w:tc>
      </w:tr>
      <w:tr w:rsidR="00117B55" w:rsidRPr="00940D4E" w14:paraId="399EC444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113FB6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Contig18846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1EC61564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2F62DD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P1a-P1b RNA-dependent RNA polymerase </w:t>
            </w:r>
          </w:p>
        </w:tc>
        <w:tc>
          <w:tcPr>
            <w:tcW w:w="6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F08158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DCAR_028951</w:t>
            </w:r>
          </w:p>
        </w:tc>
      </w:tr>
      <w:tr w:rsidR="00117B55" w:rsidRPr="00940D4E" w14:paraId="76832AC5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DC407E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Contig5717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0EA2E8CF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CA082C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MAG: RNA-dependent RNA polymerase </w:t>
            </w:r>
          </w:p>
        </w:tc>
        <w:tc>
          <w:tcPr>
            <w:tcW w:w="6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A83196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DCAR_014137</w:t>
            </w:r>
          </w:p>
        </w:tc>
      </w:tr>
      <w:tr w:rsidR="00117B55" w:rsidRPr="00940D4E" w14:paraId="40573669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0CBB42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Contig8774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007897D7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65C3CF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hypothetical protein BDE02_T002100</w:t>
            </w:r>
          </w:p>
        </w:tc>
        <w:tc>
          <w:tcPr>
            <w:tcW w:w="6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15B897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DCAR_029434</w:t>
            </w:r>
          </w:p>
        </w:tc>
      </w:tr>
      <w:tr w:rsidR="00117B55" w:rsidRPr="00940D4E" w14:paraId="74C4BAB6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CCF2927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Contig1569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626ABEF1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2C1478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cytochrome c oxidase subunit 2 </w:t>
            </w:r>
          </w:p>
        </w:tc>
        <w:tc>
          <w:tcPr>
            <w:tcW w:w="6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1A0F2C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DCAR_032452</w:t>
            </w:r>
          </w:p>
        </w:tc>
      </w:tr>
      <w:tr w:rsidR="00117B55" w:rsidRPr="00940D4E" w14:paraId="3999DEED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3BCD02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Contig5716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233486FE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2B79C5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MAG: RNA-dependent RNA polymerase </w:t>
            </w:r>
          </w:p>
        </w:tc>
        <w:tc>
          <w:tcPr>
            <w:tcW w:w="6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EB3695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DCAR_014137</w:t>
            </w:r>
          </w:p>
        </w:tc>
      </w:tr>
      <w:tr w:rsidR="00117B55" w:rsidRPr="00940D4E" w14:paraId="4A2808ED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09FA0B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Contig3800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1CCA70EF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5B3ABF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cytochrome c biogenesis F </w:t>
            </w:r>
          </w:p>
        </w:tc>
        <w:tc>
          <w:tcPr>
            <w:tcW w:w="6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E97486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DCAR_032431</w:t>
            </w:r>
          </w:p>
        </w:tc>
      </w:tr>
      <w:tr w:rsidR="00117B55" w:rsidRPr="00940D4E" w14:paraId="089C9BF3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CEB5A8A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Contig21369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6BFD564B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E46651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Cell wall-associated hydrolase </w:t>
            </w:r>
          </w:p>
        </w:tc>
        <w:tc>
          <w:tcPr>
            <w:tcW w:w="6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3620FF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DCAR_020920</w:t>
            </w:r>
          </w:p>
        </w:tc>
      </w:tr>
      <w:tr w:rsidR="00117B55" w:rsidRPr="00940D4E" w14:paraId="45C3BB7A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176D6D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Contig8478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4CCDD89F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FC2681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F-box domain-containing protein</w:t>
            </w:r>
          </w:p>
        </w:tc>
        <w:tc>
          <w:tcPr>
            <w:tcW w:w="6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5DD510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DCAR_027197</w:t>
            </w:r>
          </w:p>
        </w:tc>
      </w:tr>
      <w:tr w:rsidR="00117B55" w:rsidRPr="00940D4E" w14:paraId="76ADB053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FC0A0C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Contig21366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601A0FDA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2DEFF74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Uncharacterised protein </w:t>
            </w:r>
          </w:p>
        </w:tc>
        <w:tc>
          <w:tcPr>
            <w:tcW w:w="6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FAE19B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DCAR_020920</w:t>
            </w:r>
          </w:p>
        </w:tc>
      </w:tr>
      <w:tr w:rsidR="00117B55" w:rsidRPr="00940D4E" w14:paraId="52E3EB68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526920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Contig21795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7497A599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B8C887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autophagy-related protein 8C </w:t>
            </w:r>
          </w:p>
        </w:tc>
        <w:tc>
          <w:tcPr>
            <w:tcW w:w="6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F1EB7C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DCAR_022570</w:t>
            </w:r>
          </w:p>
        </w:tc>
      </w:tr>
      <w:tr w:rsidR="00117B55" w:rsidRPr="00940D4E" w14:paraId="66213D4B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CADC30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Contig4730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5D6DC406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0608EC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zinc finger A20 and AN1 domain-containing stress-associated protein 8-like </w:t>
            </w:r>
          </w:p>
        </w:tc>
        <w:tc>
          <w:tcPr>
            <w:tcW w:w="6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913169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DCAR_013379</w:t>
            </w:r>
          </w:p>
        </w:tc>
      </w:tr>
      <w:tr w:rsidR="00117B55" w:rsidRPr="00940D4E" w14:paraId="7150325C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395046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Contig21751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45C941BB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EB7488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protein LIGHT-DEPENDENT SHORT HYPOCOTYLS 10-like </w:t>
            </w:r>
          </w:p>
        </w:tc>
        <w:tc>
          <w:tcPr>
            <w:tcW w:w="6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E257D3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DCAR_004006</w:t>
            </w:r>
          </w:p>
        </w:tc>
      </w:tr>
      <w:tr w:rsidR="00117B55" w:rsidRPr="00940D4E" w14:paraId="5B9ED683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CA8E52A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Contig22256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666C4BE8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A8E057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protein S40-1</w:t>
            </w:r>
          </w:p>
        </w:tc>
        <w:tc>
          <w:tcPr>
            <w:tcW w:w="6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B35A5F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DCAR_007918</w:t>
            </w:r>
          </w:p>
        </w:tc>
      </w:tr>
      <w:tr w:rsidR="00117B55" w:rsidRPr="00940D4E" w14:paraId="21B5C193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983DEC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Contig6288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268C7AE0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52ABD4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inositol transporter 4-like </w:t>
            </w:r>
          </w:p>
        </w:tc>
        <w:tc>
          <w:tcPr>
            <w:tcW w:w="6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96D6A8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DCAR_004897</w:t>
            </w:r>
          </w:p>
        </w:tc>
      </w:tr>
      <w:tr w:rsidR="00117B55" w:rsidRPr="00940D4E" w14:paraId="0C357B93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CFF65F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Contig1340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492B8FC6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378309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acyl-protein thioesterase 2 </w:t>
            </w:r>
          </w:p>
        </w:tc>
        <w:tc>
          <w:tcPr>
            <w:tcW w:w="6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AABD86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DCAR_021327</w:t>
            </w:r>
          </w:p>
        </w:tc>
      </w:tr>
      <w:tr w:rsidR="00117B55" w:rsidRPr="00940D4E" w14:paraId="4AA84AE7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D26B39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Contig865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75686C14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073D91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putative cyclin-D6-1 isoform X2</w:t>
            </w:r>
          </w:p>
        </w:tc>
        <w:tc>
          <w:tcPr>
            <w:tcW w:w="6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D1B8B9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DCAR_009711</w:t>
            </w:r>
          </w:p>
        </w:tc>
      </w:tr>
      <w:tr w:rsidR="00117B55" w:rsidRPr="00940D4E" w14:paraId="38B53A28" w14:textId="77777777" w:rsidTr="00B076CD">
        <w:trPr>
          <w:trHeight w:val="340"/>
        </w:trPr>
        <w:tc>
          <w:tcPr>
            <w:tcW w:w="6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5483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Contig1855</w:t>
            </w:r>
          </w:p>
        </w:tc>
        <w:tc>
          <w:tcPr>
            <w:tcW w:w="786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D0234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decreased ini</w:t>
            </w:r>
          </w:p>
          <w:p w14:paraId="231A4BDA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C9E32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Protein interaction regulator family protein</w:t>
            </w:r>
          </w:p>
        </w:tc>
        <w:tc>
          <w:tcPr>
            <w:tcW w:w="68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DC041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DCAR_029238</w:t>
            </w:r>
          </w:p>
        </w:tc>
      </w:tr>
      <w:tr w:rsidR="00117B55" w:rsidRPr="00940D4E" w14:paraId="5A1EEAFA" w14:textId="77777777" w:rsidTr="00B076CD">
        <w:trPr>
          <w:trHeight w:val="34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1B84E162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Contig15715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53C71FB4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shd w:val="clear" w:color="auto" w:fill="auto"/>
            <w:noWrap/>
            <w:vAlign w:val="center"/>
            <w:hideMark/>
          </w:tcPr>
          <w:p w14:paraId="19181196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ABC transporter G family member 22-like isoform X1 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4B676F20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DCAR_020679</w:t>
            </w:r>
          </w:p>
        </w:tc>
      </w:tr>
      <w:tr w:rsidR="00117B55" w:rsidRPr="00940D4E" w14:paraId="28C0BDE8" w14:textId="77777777" w:rsidTr="00B076CD">
        <w:trPr>
          <w:trHeight w:val="34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6F29562E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Contig9073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1FDC08FE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shd w:val="clear" w:color="auto" w:fill="auto"/>
            <w:noWrap/>
            <w:vAlign w:val="center"/>
            <w:hideMark/>
          </w:tcPr>
          <w:p w14:paraId="5751A980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hypothetical protein POM88_006297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72E07A4D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DCAR_002013</w:t>
            </w:r>
          </w:p>
        </w:tc>
      </w:tr>
      <w:tr w:rsidR="00117B55" w:rsidRPr="00940D4E" w14:paraId="126E17D6" w14:textId="77777777" w:rsidTr="00B076CD">
        <w:trPr>
          <w:trHeight w:val="34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05423059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Contig6611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5745693F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shd w:val="clear" w:color="auto" w:fill="auto"/>
            <w:noWrap/>
            <w:vAlign w:val="center"/>
            <w:hideMark/>
          </w:tcPr>
          <w:p w14:paraId="1CE38874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hypothetical protein DCAR_007376 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5FF69990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DCAR_007376</w:t>
            </w:r>
          </w:p>
        </w:tc>
      </w:tr>
      <w:tr w:rsidR="00117B55" w:rsidRPr="00940D4E" w14:paraId="5147A649" w14:textId="77777777" w:rsidTr="00B076CD">
        <w:trPr>
          <w:trHeight w:val="34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24951D26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Contig18552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078BFB52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shd w:val="clear" w:color="auto" w:fill="auto"/>
            <w:noWrap/>
            <w:vAlign w:val="center"/>
            <w:hideMark/>
          </w:tcPr>
          <w:p w14:paraId="20353B54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GRIP1-associated protein 1 isoform X2 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3531C462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DCAR_010595</w:t>
            </w:r>
          </w:p>
        </w:tc>
      </w:tr>
      <w:tr w:rsidR="00117B55" w:rsidRPr="00940D4E" w14:paraId="5C4490AD" w14:textId="77777777" w:rsidTr="00B076CD">
        <w:trPr>
          <w:trHeight w:val="340"/>
        </w:trPr>
        <w:tc>
          <w:tcPr>
            <w:tcW w:w="628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4C331AF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Contig8725</w:t>
            </w:r>
          </w:p>
        </w:tc>
        <w:tc>
          <w:tcPr>
            <w:tcW w:w="786" w:type="pct"/>
            <w:vMerge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F55E763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D9A6826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hypothetical protein DCAR_013266 </w:t>
            </w:r>
          </w:p>
        </w:tc>
        <w:tc>
          <w:tcPr>
            <w:tcW w:w="68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79A79EE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DCAR_013266</w:t>
            </w:r>
          </w:p>
        </w:tc>
      </w:tr>
      <w:tr w:rsidR="00117B55" w:rsidRPr="00940D4E" w14:paraId="4DCC5819" w14:textId="77777777" w:rsidTr="00B076CD">
        <w:trPr>
          <w:trHeight w:val="340"/>
        </w:trPr>
        <w:tc>
          <w:tcPr>
            <w:tcW w:w="628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D6F284B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Contig2483</w:t>
            </w:r>
          </w:p>
        </w:tc>
        <w:tc>
          <w:tcPr>
            <w:tcW w:w="786" w:type="pct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69B138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C0815E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probable LRR receptor-like serine/threonine-protein kinase RFK1 isoform X1 </w:t>
            </w:r>
          </w:p>
        </w:tc>
        <w:tc>
          <w:tcPr>
            <w:tcW w:w="681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FCCB1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DCAR_005176</w:t>
            </w:r>
          </w:p>
        </w:tc>
      </w:tr>
      <w:tr w:rsidR="00117B55" w:rsidRPr="00940D4E" w14:paraId="0B299C7D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5CA0F5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Contig7994</w:t>
            </w:r>
          </w:p>
        </w:tc>
        <w:tc>
          <w:tcPr>
            <w:tcW w:w="786" w:type="pct"/>
            <w:vMerge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397A3BC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7116C5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hypothetical protein POM88_042633</w:t>
            </w:r>
          </w:p>
        </w:tc>
        <w:tc>
          <w:tcPr>
            <w:tcW w:w="6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C837B99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DCAR_015468</w:t>
            </w:r>
          </w:p>
        </w:tc>
      </w:tr>
      <w:tr w:rsidR="00117B55" w:rsidRPr="00940D4E" w14:paraId="40AB9133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651D48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Contig18241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00214401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3A7C9C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hypothetical protein POM88_013405</w:t>
            </w:r>
          </w:p>
        </w:tc>
        <w:tc>
          <w:tcPr>
            <w:tcW w:w="6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CB2086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DCAR_031344</w:t>
            </w:r>
          </w:p>
        </w:tc>
      </w:tr>
      <w:tr w:rsidR="00117B55" w:rsidRPr="00940D4E" w14:paraId="7A2E9FE1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EE1963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Contig22715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1950A5DC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F7B9EB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protein ALWAYS EARLY 3-like isoform X5 </w:t>
            </w:r>
          </w:p>
        </w:tc>
        <w:tc>
          <w:tcPr>
            <w:tcW w:w="6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A453C6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DCAR_027087</w:t>
            </w:r>
          </w:p>
        </w:tc>
      </w:tr>
      <w:tr w:rsidR="00117B55" w:rsidRPr="00940D4E" w14:paraId="163C3FE2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B8697B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Contig11105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62B37F81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2F6051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RNA pseudouridine synthase 2, chloroplastic </w:t>
            </w:r>
          </w:p>
        </w:tc>
        <w:tc>
          <w:tcPr>
            <w:tcW w:w="6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8EBED9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DCAR_022941</w:t>
            </w:r>
          </w:p>
        </w:tc>
      </w:tr>
      <w:tr w:rsidR="00117B55" w:rsidRPr="00940D4E" w14:paraId="09F9252E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6B8BA8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lastRenderedPageBreak/>
              <w:t>Contig4189</w:t>
            </w:r>
          </w:p>
        </w:tc>
        <w:tc>
          <w:tcPr>
            <w:tcW w:w="786" w:type="pct"/>
            <w:vMerge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8D97B9B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67BF67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uncharacterized protein LOC108227552 isoform X2 </w:t>
            </w:r>
          </w:p>
        </w:tc>
        <w:tc>
          <w:tcPr>
            <w:tcW w:w="6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26A0F1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DCAR_020662</w:t>
            </w:r>
          </w:p>
        </w:tc>
      </w:tr>
      <w:tr w:rsidR="00117B55" w:rsidRPr="00940D4E" w14:paraId="599C2371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41134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Contig23762</w:t>
            </w:r>
          </w:p>
        </w:tc>
        <w:tc>
          <w:tcPr>
            <w:tcW w:w="786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4DA46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675DC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chloride channel protein CLC-e isoform X2 </w:t>
            </w:r>
          </w:p>
        </w:tc>
        <w:tc>
          <w:tcPr>
            <w:tcW w:w="6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46F3C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DCAR_028396</w:t>
            </w:r>
          </w:p>
        </w:tc>
      </w:tr>
      <w:tr w:rsidR="00117B55" w:rsidRPr="00940D4E" w14:paraId="39B00AE4" w14:textId="77777777" w:rsidTr="00B076CD">
        <w:trPr>
          <w:trHeight w:val="340"/>
        </w:trPr>
        <w:tc>
          <w:tcPr>
            <w:tcW w:w="62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6088D4D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Contig21593</w:t>
            </w:r>
          </w:p>
        </w:tc>
        <w:tc>
          <w:tcPr>
            <w:tcW w:w="786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1A85A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decreased ini</w:t>
            </w:r>
          </w:p>
        </w:tc>
        <w:tc>
          <w:tcPr>
            <w:tcW w:w="290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3445552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CDPK-related kinase 7-like </w:t>
            </w:r>
          </w:p>
        </w:tc>
        <w:tc>
          <w:tcPr>
            <w:tcW w:w="68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F89EF5A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DCAR_020581</w:t>
            </w:r>
          </w:p>
        </w:tc>
      </w:tr>
      <w:tr w:rsidR="00117B55" w:rsidRPr="00940D4E" w14:paraId="7CB02040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9E9356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Contig6687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2B872129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0FF057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hypothetical protein POM88_011129</w:t>
            </w:r>
          </w:p>
        </w:tc>
        <w:tc>
          <w:tcPr>
            <w:tcW w:w="6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8440A0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DCAR_003173</w:t>
            </w:r>
          </w:p>
        </w:tc>
      </w:tr>
      <w:tr w:rsidR="00117B55" w:rsidRPr="00940D4E" w14:paraId="4C0551CF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BD22732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Contig6921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18366B07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B4B86B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homeobox protein BEL1 homolog </w:t>
            </w:r>
          </w:p>
        </w:tc>
        <w:tc>
          <w:tcPr>
            <w:tcW w:w="6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13C8A7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DCAR_008361</w:t>
            </w:r>
          </w:p>
        </w:tc>
      </w:tr>
      <w:tr w:rsidR="00117B55" w:rsidRPr="00940D4E" w14:paraId="1D724E31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205350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Contig7515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0A28D7C4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EA3A6B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cationic amino acid transporter 4, vacuolar-like </w:t>
            </w:r>
          </w:p>
        </w:tc>
        <w:tc>
          <w:tcPr>
            <w:tcW w:w="6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CFFEE4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DCAR_013486</w:t>
            </w:r>
          </w:p>
        </w:tc>
      </w:tr>
      <w:tr w:rsidR="00117B55" w:rsidRPr="00940D4E" w14:paraId="0500F1EB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2E6DB7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Contig21439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2133DD00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DB20278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TMV resistance protein N isoform X3</w:t>
            </w:r>
          </w:p>
        </w:tc>
        <w:tc>
          <w:tcPr>
            <w:tcW w:w="6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159BA6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DCAR_005190</w:t>
            </w:r>
          </w:p>
        </w:tc>
      </w:tr>
      <w:tr w:rsidR="00117B55" w:rsidRPr="00940D4E" w14:paraId="32599343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4D8A35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Contig1632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09BBD1D3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6D3278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glutathione reductase, cytosolic </w:t>
            </w:r>
          </w:p>
        </w:tc>
        <w:tc>
          <w:tcPr>
            <w:tcW w:w="6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35DC84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DCAR_001395</w:t>
            </w:r>
          </w:p>
        </w:tc>
      </w:tr>
      <w:tr w:rsidR="00117B55" w:rsidRPr="00940D4E" w14:paraId="4E88621C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734CFA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Contig7993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2F5CF248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C7775F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hypothetical protein POM88_042633 </w:t>
            </w:r>
          </w:p>
        </w:tc>
        <w:tc>
          <w:tcPr>
            <w:tcW w:w="6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3B285D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DCAR_014371</w:t>
            </w:r>
          </w:p>
        </w:tc>
      </w:tr>
      <w:tr w:rsidR="00117B55" w:rsidRPr="00940D4E" w14:paraId="002285A0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289C58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Contig18470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6E02C371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10C055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zinc finger protein </w:t>
            </w:r>
          </w:p>
        </w:tc>
        <w:tc>
          <w:tcPr>
            <w:tcW w:w="6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CAF6780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DCAR_018822</w:t>
            </w:r>
          </w:p>
        </w:tc>
      </w:tr>
      <w:tr w:rsidR="00117B55" w:rsidRPr="00940D4E" w14:paraId="7C5DD0B9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6D02B9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Contig23030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3C0E4482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66F42A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telomere length regulation protein TEL2 homolog isoform X1 </w:t>
            </w:r>
          </w:p>
        </w:tc>
        <w:tc>
          <w:tcPr>
            <w:tcW w:w="6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B1A6EE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DCAR_021603</w:t>
            </w:r>
          </w:p>
        </w:tc>
      </w:tr>
      <w:tr w:rsidR="00117B55" w:rsidRPr="00940D4E" w14:paraId="76E70574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1D485C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Contig14012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1C6DD4B4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85CAB8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dof zinc finger protein 2 isoform X1</w:t>
            </w:r>
          </w:p>
        </w:tc>
        <w:tc>
          <w:tcPr>
            <w:tcW w:w="6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BEB9B3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DCAR_020343</w:t>
            </w:r>
          </w:p>
        </w:tc>
      </w:tr>
      <w:tr w:rsidR="00117B55" w:rsidRPr="00940D4E" w14:paraId="482A3B07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C9360B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Contig1525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1D2B0410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4798E8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thylakoidal processing peptidase 1</w:t>
            </w:r>
          </w:p>
        </w:tc>
        <w:tc>
          <w:tcPr>
            <w:tcW w:w="6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C1AD82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DCAR_020941</w:t>
            </w:r>
          </w:p>
        </w:tc>
      </w:tr>
      <w:tr w:rsidR="00117B55" w:rsidRPr="00940D4E" w14:paraId="33E64D8F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275D7A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Contig19606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5C39D44E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929D03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626A6">
              <w:rPr>
                <w:rFonts w:ascii="맑은 고딕" w:eastAsia="맑은 고딕" w:hAnsi="맑은 고딕"/>
                <w:color w:val="000000"/>
                <w:sz w:val="16"/>
                <w:szCs w:val="16"/>
              </w:rPr>
              <w:t>Indole-3-acetic acid-amido synthetase GH3.5</w:t>
            </w:r>
          </w:p>
        </w:tc>
        <w:tc>
          <w:tcPr>
            <w:tcW w:w="6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9E4C69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DCAR_012993</w:t>
            </w:r>
          </w:p>
        </w:tc>
      </w:tr>
      <w:tr w:rsidR="00117B55" w:rsidRPr="00940D4E" w14:paraId="7E7578F1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53A32A1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Contig4174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44B50F7F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206023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GATA transcription factor 26-like </w:t>
            </w:r>
          </w:p>
        </w:tc>
        <w:tc>
          <w:tcPr>
            <w:tcW w:w="6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15193A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DCAR_000653</w:t>
            </w:r>
          </w:p>
        </w:tc>
      </w:tr>
      <w:tr w:rsidR="00117B55" w:rsidRPr="00940D4E" w14:paraId="016D1CB6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ADC291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Contig13927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540E1FBF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E4D1F5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RecName: Full=Light-inducible protein CPRF3; AltName: Full=Common plant regulatory factor 3; Short=CPRF-3 </w:t>
            </w:r>
          </w:p>
        </w:tc>
        <w:tc>
          <w:tcPr>
            <w:tcW w:w="68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57693D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DCAR_025934</w:t>
            </w:r>
          </w:p>
        </w:tc>
      </w:tr>
      <w:tr w:rsidR="00117B55" w:rsidRPr="00940D4E" w14:paraId="45A39101" w14:textId="77777777" w:rsidTr="00B076CD">
        <w:trPr>
          <w:trHeight w:val="340"/>
        </w:trPr>
        <w:tc>
          <w:tcPr>
            <w:tcW w:w="62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31389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Contig11814</w:t>
            </w:r>
          </w:p>
        </w:tc>
        <w:tc>
          <w:tcPr>
            <w:tcW w:w="786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1490E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CA508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uncharacterized protein LOC108202971 </w:t>
            </w:r>
          </w:p>
        </w:tc>
        <w:tc>
          <w:tcPr>
            <w:tcW w:w="6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402FD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DCAR_029365</w:t>
            </w:r>
          </w:p>
        </w:tc>
      </w:tr>
      <w:tr w:rsidR="00117B55" w:rsidRPr="00940D4E" w14:paraId="4D3C6A95" w14:textId="77777777" w:rsidTr="00B076CD">
        <w:trPr>
          <w:trHeight w:val="340"/>
        </w:trPr>
        <w:tc>
          <w:tcPr>
            <w:tcW w:w="6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EBF30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Contig21678</w:t>
            </w:r>
          </w:p>
        </w:tc>
        <w:tc>
          <w:tcPr>
            <w:tcW w:w="786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95685" w14:textId="3345A3AD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decreased a</w:t>
            </w:r>
            <w:r w:rsidR="00304A3C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ccli</w:t>
            </w:r>
          </w:p>
        </w:tc>
        <w:tc>
          <w:tcPr>
            <w:tcW w:w="290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93476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protein TSS </w:t>
            </w:r>
          </w:p>
        </w:tc>
        <w:tc>
          <w:tcPr>
            <w:tcW w:w="68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E6E5C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DCAR_020092</w:t>
            </w:r>
          </w:p>
        </w:tc>
      </w:tr>
      <w:tr w:rsidR="00117B55" w:rsidRPr="00940D4E" w14:paraId="51347E92" w14:textId="77777777" w:rsidTr="00B076CD">
        <w:trPr>
          <w:trHeight w:val="34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21D1A196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Contig654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0230BE9A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shd w:val="clear" w:color="auto" w:fill="auto"/>
            <w:noWrap/>
            <w:vAlign w:val="center"/>
            <w:hideMark/>
          </w:tcPr>
          <w:p w14:paraId="230CDBE2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linoleate 13S-lipoxygenase 2-1, chloroplastic-like 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3F5C40F3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DCAR_026417</w:t>
            </w:r>
          </w:p>
        </w:tc>
      </w:tr>
      <w:tr w:rsidR="00117B55" w:rsidRPr="00940D4E" w14:paraId="18D4F5B4" w14:textId="77777777" w:rsidTr="00B076CD">
        <w:trPr>
          <w:trHeight w:val="34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65E88E23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Contig862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25A1D285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shd w:val="clear" w:color="auto" w:fill="auto"/>
            <w:noWrap/>
            <w:vAlign w:val="center"/>
            <w:hideMark/>
          </w:tcPr>
          <w:p w14:paraId="4C16112E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chromatin structure-remodeling complex protein SYD isoform X1 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059DFBE3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DCAR_002397</w:t>
            </w:r>
          </w:p>
        </w:tc>
      </w:tr>
      <w:tr w:rsidR="00117B55" w:rsidRPr="00940D4E" w14:paraId="138E3AB1" w14:textId="77777777" w:rsidTr="00B076CD">
        <w:trPr>
          <w:trHeight w:val="34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3CE2C3BF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Contig23448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627C498E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shd w:val="clear" w:color="auto" w:fill="auto"/>
            <w:noWrap/>
            <w:vAlign w:val="center"/>
            <w:hideMark/>
          </w:tcPr>
          <w:p w14:paraId="551EBE40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hypothetical protein DCAR_0933736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17758C26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DCAR_029298</w:t>
            </w:r>
          </w:p>
        </w:tc>
      </w:tr>
      <w:tr w:rsidR="00117B55" w:rsidRPr="00940D4E" w14:paraId="33C844E5" w14:textId="77777777" w:rsidTr="00B076CD">
        <w:trPr>
          <w:trHeight w:val="34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526E4435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Contig1901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6B3B9006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shd w:val="clear" w:color="auto" w:fill="auto"/>
            <w:noWrap/>
            <w:vAlign w:val="center"/>
            <w:hideMark/>
          </w:tcPr>
          <w:p w14:paraId="67113029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caffeic acid-O-methyltransferase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19718A03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DCAR_014734</w:t>
            </w:r>
          </w:p>
        </w:tc>
      </w:tr>
      <w:tr w:rsidR="00117B55" w:rsidRPr="00940D4E" w14:paraId="2B0CD0D4" w14:textId="77777777" w:rsidTr="00B076CD">
        <w:trPr>
          <w:trHeight w:val="34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2507DAB0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Contig3881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395D4F14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shd w:val="clear" w:color="auto" w:fill="auto"/>
            <w:noWrap/>
            <w:vAlign w:val="center"/>
            <w:hideMark/>
          </w:tcPr>
          <w:p w14:paraId="4BAF947F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hypothetical protein M569_14214, partial 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29E0AAFF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DCAR_017085</w:t>
            </w:r>
          </w:p>
        </w:tc>
      </w:tr>
      <w:tr w:rsidR="00117B55" w:rsidRPr="00940D4E" w14:paraId="72EEA801" w14:textId="77777777" w:rsidTr="00B076CD">
        <w:trPr>
          <w:trHeight w:val="34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25B426D7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Contig3246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0B42C712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shd w:val="clear" w:color="auto" w:fill="auto"/>
            <w:noWrap/>
            <w:vAlign w:val="center"/>
            <w:hideMark/>
          </w:tcPr>
          <w:p w14:paraId="1BDBC386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hypothetical protein AG4045_017678 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58E8B82E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DCAR_008794</w:t>
            </w:r>
          </w:p>
        </w:tc>
      </w:tr>
      <w:tr w:rsidR="00117B55" w:rsidRPr="00940D4E" w14:paraId="040216F2" w14:textId="77777777" w:rsidTr="00B076CD">
        <w:trPr>
          <w:trHeight w:val="34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48B032C3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Contig18949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2A983B2F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shd w:val="clear" w:color="auto" w:fill="auto"/>
            <w:noWrap/>
            <w:vAlign w:val="center"/>
            <w:hideMark/>
          </w:tcPr>
          <w:p w14:paraId="2D233379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ribosome-inactivating family protein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3A7A61AE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DCAR_022571</w:t>
            </w:r>
          </w:p>
        </w:tc>
      </w:tr>
      <w:tr w:rsidR="00117B55" w:rsidRPr="00940D4E" w14:paraId="6E37C9E5" w14:textId="77777777" w:rsidTr="00B076CD">
        <w:trPr>
          <w:trHeight w:val="34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5F37075F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Contig22193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5D22AFF6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shd w:val="clear" w:color="auto" w:fill="auto"/>
            <w:noWrap/>
            <w:vAlign w:val="center"/>
            <w:hideMark/>
          </w:tcPr>
          <w:p w14:paraId="16C55227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uncharacterized protein LOC108209400 isoform X2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2AED5738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DCAR_006748</w:t>
            </w:r>
          </w:p>
        </w:tc>
      </w:tr>
      <w:tr w:rsidR="00117B55" w:rsidRPr="00940D4E" w14:paraId="3AE242E6" w14:textId="77777777" w:rsidTr="00B076CD">
        <w:trPr>
          <w:trHeight w:val="34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6D494C20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Contig22848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2FFA643B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shd w:val="clear" w:color="auto" w:fill="auto"/>
            <w:noWrap/>
            <w:vAlign w:val="center"/>
            <w:hideMark/>
          </w:tcPr>
          <w:p w14:paraId="33E407F9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hypothetical protein POM88_010142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4E129B72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DCAR_017623</w:t>
            </w:r>
          </w:p>
        </w:tc>
      </w:tr>
      <w:tr w:rsidR="00117B55" w:rsidRPr="00940D4E" w14:paraId="60798761" w14:textId="77777777" w:rsidTr="00B076CD">
        <w:trPr>
          <w:trHeight w:val="34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152D4D45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Contig19596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05FA1022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shd w:val="clear" w:color="auto" w:fill="auto"/>
            <w:noWrap/>
            <w:vAlign w:val="center"/>
            <w:hideMark/>
          </w:tcPr>
          <w:p w14:paraId="6549A770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transcription initiation factor TFIID subunit 4b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55A971A4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DCAR_008851</w:t>
            </w:r>
          </w:p>
        </w:tc>
      </w:tr>
      <w:tr w:rsidR="00117B55" w:rsidRPr="00940D4E" w14:paraId="308E14E1" w14:textId="77777777" w:rsidTr="00B076CD">
        <w:trPr>
          <w:trHeight w:val="34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314B762C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Contig6341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370138F9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shd w:val="clear" w:color="auto" w:fill="auto"/>
            <w:noWrap/>
            <w:vAlign w:val="center"/>
            <w:hideMark/>
          </w:tcPr>
          <w:p w14:paraId="44F36AC5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 xml:space="preserve">protein PHYTOCHROME KINASE SUBSTRATE 1-like 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4953D7E4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DCAR_024160</w:t>
            </w:r>
          </w:p>
        </w:tc>
      </w:tr>
      <w:tr w:rsidR="00117B55" w:rsidRPr="00940D4E" w14:paraId="67E537C9" w14:textId="77777777" w:rsidTr="00B076CD">
        <w:trPr>
          <w:trHeight w:val="34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55C3C76A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Contig22849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52C618E1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shd w:val="clear" w:color="auto" w:fill="auto"/>
            <w:noWrap/>
            <w:vAlign w:val="center"/>
            <w:hideMark/>
          </w:tcPr>
          <w:p w14:paraId="14B554BF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putative microtubule-associated protein futsch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0B80D12C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DCAR_017623</w:t>
            </w:r>
          </w:p>
        </w:tc>
      </w:tr>
      <w:tr w:rsidR="00117B55" w:rsidRPr="00940D4E" w14:paraId="2CA38817" w14:textId="77777777" w:rsidTr="00B076CD">
        <w:trPr>
          <w:trHeight w:val="34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5F99F9B4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Contig2723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310D4682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shd w:val="clear" w:color="auto" w:fill="auto"/>
            <w:noWrap/>
            <w:vAlign w:val="center"/>
            <w:hideMark/>
          </w:tcPr>
          <w:p w14:paraId="6556B414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uncharacterized protein LOC115679796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4A474EB6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DCAR_031971</w:t>
            </w:r>
          </w:p>
        </w:tc>
      </w:tr>
      <w:tr w:rsidR="00117B55" w:rsidRPr="00940D4E" w14:paraId="0D81542F" w14:textId="77777777" w:rsidTr="00B076CD">
        <w:trPr>
          <w:trHeight w:val="34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18A8AA62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Contig12051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199D24C8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shd w:val="clear" w:color="auto" w:fill="auto"/>
            <w:noWrap/>
            <w:vAlign w:val="center"/>
            <w:hideMark/>
          </w:tcPr>
          <w:p w14:paraId="3C98C275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hypothetical protein DCAR_0205687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4B68C604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DCAR_005092</w:t>
            </w:r>
          </w:p>
        </w:tc>
      </w:tr>
      <w:tr w:rsidR="00117B55" w:rsidRPr="00940D4E" w14:paraId="0FA85ED0" w14:textId="77777777" w:rsidTr="00B076CD">
        <w:trPr>
          <w:trHeight w:val="68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3587428D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Contig1851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2110ECE6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shd w:val="clear" w:color="auto" w:fill="auto"/>
            <w:vAlign w:val="center"/>
            <w:hideMark/>
          </w:tcPr>
          <w:p w14:paraId="215CE695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NAB domain-containing protein</w:t>
            </w: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br/>
              <w:t xml:space="preserve">protein NETWORKED 2D-like 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0406B05C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DCAR_003446</w:t>
            </w:r>
          </w:p>
        </w:tc>
      </w:tr>
      <w:tr w:rsidR="00117B55" w:rsidRPr="00940D4E" w14:paraId="4B7C8B86" w14:textId="77777777" w:rsidTr="00B076CD">
        <w:trPr>
          <w:trHeight w:val="34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494A1D8A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Contig24399</w:t>
            </w:r>
          </w:p>
        </w:tc>
        <w:tc>
          <w:tcPr>
            <w:tcW w:w="786" w:type="pct"/>
            <w:vMerge/>
            <w:shd w:val="clear" w:color="auto" w:fill="auto"/>
            <w:noWrap/>
            <w:vAlign w:val="center"/>
            <w:hideMark/>
          </w:tcPr>
          <w:p w14:paraId="3B5C1804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</w:p>
        </w:tc>
        <w:tc>
          <w:tcPr>
            <w:tcW w:w="2905" w:type="pct"/>
            <w:shd w:val="clear" w:color="auto" w:fill="auto"/>
            <w:noWrap/>
            <w:vAlign w:val="center"/>
            <w:hideMark/>
          </w:tcPr>
          <w:p w14:paraId="571225F9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putative microtubule-associated protein futsch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6E479719" w14:textId="77777777" w:rsidR="00117B55" w:rsidRPr="00940D4E" w:rsidRDefault="00117B55" w:rsidP="00B4731A">
            <w:pPr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940D4E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DCAR_017623</w:t>
            </w:r>
          </w:p>
        </w:tc>
      </w:tr>
    </w:tbl>
    <w:p w14:paraId="69A9387B" w14:textId="77777777" w:rsidR="00117B55" w:rsidRDefault="00117B55" w:rsidP="00117B55"/>
    <w:sectPr w:rsidR="00117B5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319C23" w14:textId="77777777" w:rsidR="00490284" w:rsidRDefault="00490284" w:rsidP="00304A3C">
      <w:r>
        <w:separator/>
      </w:r>
    </w:p>
  </w:endnote>
  <w:endnote w:type="continuationSeparator" w:id="0">
    <w:p w14:paraId="65919D26" w14:textId="77777777" w:rsidR="00490284" w:rsidRDefault="00490284" w:rsidP="00304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1DAC40" w14:textId="77777777" w:rsidR="00490284" w:rsidRDefault="00490284" w:rsidP="00304A3C">
      <w:r>
        <w:separator/>
      </w:r>
    </w:p>
  </w:footnote>
  <w:footnote w:type="continuationSeparator" w:id="0">
    <w:p w14:paraId="7E14C1BC" w14:textId="77777777" w:rsidR="00490284" w:rsidRDefault="00490284" w:rsidP="00304A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E93F31"/>
    <w:multiLevelType w:val="hybridMultilevel"/>
    <w:tmpl w:val="776CC736"/>
    <w:lvl w:ilvl="0" w:tplc="185C02D2">
      <w:start w:val="1"/>
      <w:numFmt w:val="upperLetter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711807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B55"/>
    <w:rsid w:val="00066A5D"/>
    <w:rsid w:val="00117B55"/>
    <w:rsid w:val="00125AF4"/>
    <w:rsid w:val="00304A3C"/>
    <w:rsid w:val="00490284"/>
    <w:rsid w:val="0059227D"/>
    <w:rsid w:val="008411EE"/>
    <w:rsid w:val="00B076CD"/>
    <w:rsid w:val="00F3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CE6E7"/>
  <w15:chartTrackingRefBased/>
  <w15:docId w15:val="{3EEEE13E-3569-4126-B304-0E5EEF7ED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7B55"/>
    <w:pPr>
      <w:spacing w:after="0"/>
    </w:pPr>
    <w:rPr>
      <w:rFonts w:ascii="굴림" w:eastAsia="굴림" w:hAnsi="굴림" w:cs="굴림"/>
      <w:kern w:val="0"/>
      <w:sz w:val="24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117B55"/>
    <w:pPr>
      <w:keepNext/>
      <w:keepLines/>
      <w:widowControl w:val="0"/>
      <w:wordWrap w:val="0"/>
      <w:autoSpaceDE w:val="0"/>
      <w:autoSpaceDN w:val="0"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17B55"/>
    <w:pPr>
      <w:keepNext/>
      <w:keepLines/>
      <w:widowControl w:val="0"/>
      <w:wordWrap w:val="0"/>
      <w:autoSpaceDE w:val="0"/>
      <w:autoSpaceDN w:val="0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17B55"/>
    <w:pPr>
      <w:keepNext/>
      <w:keepLines/>
      <w:widowControl w:val="0"/>
      <w:wordWrap w:val="0"/>
      <w:autoSpaceDE w:val="0"/>
      <w:autoSpaceDN w:val="0"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kern w:val="2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17B55"/>
    <w:pPr>
      <w:keepNext/>
      <w:keepLines/>
      <w:widowControl w:val="0"/>
      <w:wordWrap w:val="0"/>
      <w:autoSpaceDE w:val="0"/>
      <w:autoSpaceDN w:val="0"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17B55"/>
    <w:pPr>
      <w:keepNext/>
      <w:keepLines/>
      <w:widowControl w:val="0"/>
      <w:wordWrap w:val="0"/>
      <w:autoSpaceDE w:val="0"/>
      <w:autoSpaceDN w:val="0"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17B55"/>
    <w:pPr>
      <w:keepNext/>
      <w:keepLines/>
      <w:widowControl w:val="0"/>
      <w:wordWrap w:val="0"/>
      <w:autoSpaceDE w:val="0"/>
      <w:autoSpaceDN w:val="0"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17B55"/>
    <w:pPr>
      <w:keepNext/>
      <w:keepLines/>
      <w:widowControl w:val="0"/>
      <w:wordWrap w:val="0"/>
      <w:autoSpaceDE w:val="0"/>
      <w:autoSpaceDN w:val="0"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17B55"/>
    <w:pPr>
      <w:keepNext/>
      <w:keepLines/>
      <w:widowControl w:val="0"/>
      <w:wordWrap w:val="0"/>
      <w:autoSpaceDE w:val="0"/>
      <w:autoSpaceDN w:val="0"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17B55"/>
    <w:pPr>
      <w:keepNext/>
      <w:keepLines/>
      <w:widowControl w:val="0"/>
      <w:wordWrap w:val="0"/>
      <w:autoSpaceDE w:val="0"/>
      <w:autoSpaceDN w:val="0"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17B5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117B5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117B5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117B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117B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117B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117B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117B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117B5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117B55"/>
    <w:pPr>
      <w:widowControl w:val="0"/>
      <w:wordWrap w:val="0"/>
      <w:autoSpaceDE w:val="0"/>
      <w:autoSpaceDN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117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17B55"/>
    <w:pPr>
      <w:widowControl w:val="0"/>
      <w:numPr>
        <w:ilvl w:val="1"/>
      </w:numPr>
      <w:wordWrap w:val="0"/>
      <w:autoSpaceDE w:val="0"/>
      <w:autoSpaceDN w:val="0"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117B5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17B55"/>
    <w:pPr>
      <w:widowControl w:val="0"/>
      <w:wordWrap w:val="0"/>
      <w:autoSpaceDE w:val="0"/>
      <w:autoSpaceDN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117B5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17B55"/>
    <w:pPr>
      <w:widowControl w:val="0"/>
      <w:wordWrap w:val="0"/>
      <w:autoSpaceDE w:val="0"/>
      <w:autoSpaceDN w:val="0"/>
      <w:spacing w:after="160"/>
      <w:ind w:left="720"/>
      <w:contextualSpacing/>
    </w:pPr>
    <w:rPr>
      <w:rFonts w:asciiTheme="minorHAnsi" w:eastAsiaTheme="minorEastAsia" w:hAnsiTheme="minorHAnsi" w:cstheme="minorBidi"/>
      <w:kern w:val="2"/>
      <w:sz w:val="22"/>
      <w14:ligatures w14:val="standardContextual"/>
    </w:rPr>
  </w:style>
  <w:style w:type="character" w:styleId="a7">
    <w:name w:val="Intense Emphasis"/>
    <w:basedOn w:val="a0"/>
    <w:uiPriority w:val="21"/>
    <w:qFormat/>
    <w:rsid w:val="00117B5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17B55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117B5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17B55"/>
    <w:rPr>
      <w:b/>
      <w:bCs/>
      <w:smallCaps/>
      <w:color w:val="0F4761" w:themeColor="accent1" w:themeShade="BF"/>
      <w:spacing w:val="5"/>
    </w:rPr>
  </w:style>
  <w:style w:type="paragraph" w:customStyle="1" w:styleId="aa">
    <w:name w:val="별지제목"/>
    <w:basedOn w:val="a"/>
    <w:rsid w:val="00117B55"/>
    <w:pPr>
      <w:spacing w:line="384" w:lineRule="auto"/>
      <w:jc w:val="center"/>
      <w:textAlignment w:val="baseline"/>
    </w:pPr>
    <w:rPr>
      <w:rFonts w:ascii="한양신명조"/>
      <w:b/>
      <w:bCs/>
      <w:color w:val="000000"/>
      <w:sz w:val="32"/>
      <w:szCs w:val="32"/>
    </w:rPr>
  </w:style>
  <w:style w:type="paragraph" w:styleId="ab">
    <w:name w:val="header"/>
    <w:basedOn w:val="a"/>
    <w:link w:val="Char3"/>
    <w:uiPriority w:val="99"/>
    <w:unhideWhenUsed/>
    <w:rsid w:val="00304A3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304A3C"/>
    <w:rPr>
      <w:rFonts w:ascii="굴림" w:eastAsia="굴림" w:hAnsi="굴림" w:cs="굴림"/>
      <w:kern w:val="0"/>
      <w:sz w:val="24"/>
      <w14:ligatures w14:val="none"/>
    </w:rPr>
  </w:style>
  <w:style w:type="paragraph" w:styleId="ac">
    <w:name w:val="footer"/>
    <w:basedOn w:val="a"/>
    <w:link w:val="Char4"/>
    <w:uiPriority w:val="99"/>
    <w:unhideWhenUsed/>
    <w:rsid w:val="00304A3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304A3C"/>
    <w:rPr>
      <w:rFonts w:ascii="굴림" w:eastAsia="굴림" w:hAnsi="굴림" w:cs="굴림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1104</Words>
  <Characters>6294</Characters>
  <Application>Microsoft Office Word</Application>
  <DocSecurity>0</DocSecurity>
  <Lines>52</Lines>
  <Paragraphs>14</Paragraphs>
  <ScaleCrop>false</ScaleCrop>
  <Company/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신소희</dc:creator>
  <cp:keywords/>
  <dc:description/>
  <cp:lastModifiedBy>소희 신</cp:lastModifiedBy>
  <cp:revision>4</cp:revision>
  <dcterms:created xsi:type="dcterms:W3CDTF">2024-05-18T07:18:00Z</dcterms:created>
  <dcterms:modified xsi:type="dcterms:W3CDTF">2024-06-09T03:29:00Z</dcterms:modified>
</cp:coreProperties>
</file>