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E57CE">
      <w:pPr>
        <w:spacing w:line="480" w:lineRule="auto"/>
        <w:jc w:val="center"/>
        <w:rPr>
          <w:sz w:val="36"/>
          <w:szCs w:val="36"/>
          <w:lang w:eastAsia="zh-CN"/>
        </w:rPr>
      </w:pPr>
      <w:r>
        <w:rPr>
          <w:sz w:val="36"/>
          <w:szCs w:val="36"/>
        </w:rPr>
        <w:t>Supplementary</w:t>
      </w:r>
      <w:r>
        <w:rPr>
          <w:rFonts w:hint="eastAsia"/>
          <w:sz w:val="36"/>
          <w:szCs w:val="36"/>
          <w:lang w:eastAsia="zh-CN"/>
        </w:rPr>
        <w:t xml:space="preserve"> Information</w:t>
      </w:r>
    </w:p>
    <w:p w14:paraId="352E527A">
      <w:pPr>
        <w:spacing w:line="480" w:lineRule="auto"/>
        <w:jc w:val="center"/>
      </w:pPr>
      <w:r>
        <w:rPr>
          <w:rFonts w:hint="eastAsia"/>
          <w:sz w:val="36"/>
          <w:szCs w:val="36"/>
          <w:lang w:eastAsia="zh-CN"/>
        </w:rPr>
        <w:t>for</w:t>
      </w:r>
    </w:p>
    <w:p w14:paraId="4900CE09">
      <w:pPr>
        <w:jc w:val="center"/>
        <w:rPr>
          <w:b/>
          <w:bCs/>
          <w:sz w:val="28"/>
          <w:szCs w:val="28"/>
        </w:rPr>
      </w:pPr>
      <w:bookmarkStart w:id="0" w:name="OLE_LINK40"/>
      <w:bookmarkStart w:id="1" w:name="OLE_LINK45"/>
      <w:r>
        <w:rPr>
          <w:b/>
          <w:bCs/>
          <w:sz w:val="28"/>
          <w:szCs w:val="28"/>
        </w:rPr>
        <w:t>Integration of Single-Cell and Bulk RNA Sequencing to Identify a Distinct Tumor Stem Cells and Construct a Novel Prognostic Signature for Evaluating Prognosis and Immunotherapy in LUAD</w:t>
      </w:r>
      <w:bookmarkEnd w:id="0"/>
      <w:bookmarkEnd w:id="1"/>
    </w:p>
    <w:p w14:paraId="378320D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1"/>
        </w:rPr>
        <w:t>Fengyun Zhao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szCs w:val="21"/>
        </w:rPr>
        <w:t>,</w:t>
      </w:r>
      <w:r>
        <w:rPr>
          <w:rFonts w:hint="eastAsia" w:ascii="Arial" w:hAnsi="Arial" w:cs="Arial"/>
          <w:szCs w:val="21"/>
        </w:rPr>
        <w:t xml:space="preserve"> Zhaowei Ding</w:t>
      </w:r>
      <w:r>
        <w:rPr>
          <w:rFonts w:hint="eastAsia" w:ascii="Arial" w:hAnsi="Arial" w:cs="Arial"/>
          <w:szCs w:val="21"/>
          <w:vertAlign w:val="superscript"/>
        </w:rPr>
        <w:t>2</w:t>
      </w:r>
      <w:r>
        <w:rPr>
          <w:rFonts w:ascii="Arial" w:hAnsi="Arial" w:cs="Arial"/>
          <w:szCs w:val="21"/>
        </w:rPr>
        <w:t>,</w:t>
      </w:r>
      <w:r>
        <w:rPr>
          <w:rFonts w:hint="eastAsia" w:ascii="Arial" w:hAnsi="Arial" w:cs="Arial"/>
          <w:szCs w:val="21"/>
        </w:rPr>
        <w:t xml:space="preserve"> Tianjiao Wu</w:t>
      </w:r>
      <w:r>
        <w:rPr>
          <w:rFonts w:ascii="Arial" w:hAnsi="Arial" w:cs="Arial"/>
          <w:szCs w:val="21"/>
          <w:vertAlign w:val="superscript"/>
        </w:rPr>
        <w:t>3</w:t>
      </w:r>
      <w:r>
        <w:rPr>
          <w:rFonts w:ascii="Arial" w:hAnsi="Arial" w:cs="Arial"/>
          <w:szCs w:val="21"/>
        </w:rPr>
        <w:t>, Mingfang Ji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szCs w:val="21"/>
        </w:rPr>
        <w:t>,</w:t>
      </w:r>
      <w:r>
        <w:rPr>
          <w:rFonts w:ascii="Arial" w:hAnsi="Arial" w:cs="Arial"/>
          <w:szCs w:val="21"/>
          <w:vertAlign w:val="superscript"/>
        </w:rPr>
        <w:t xml:space="preserve"> </w:t>
      </w:r>
      <w:r>
        <w:rPr>
          <w:rFonts w:ascii="Arial" w:hAnsi="Arial" w:cs="Arial"/>
          <w:szCs w:val="21"/>
        </w:rPr>
        <w:t>and Fugui Li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b/>
          <w:bCs/>
          <w:sz w:val="24"/>
          <w:szCs w:val="24"/>
        </w:rPr>
        <w:t>*</w:t>
      </w:r>
    </w:p>
    <w:p w14:paraId="2CD20C4C">
      <w:pPr>
        <w:spacing w:line="360" w:lineRule="auto"/>
        <w:rPr>
          <w:rFonts w:ascii="Arial" w:hAnsi="Arial" w:cs="Arial"/>
          <w:b/>
          <w:bCs/>
          <w:szCs w:val="21"/>
          <w:vertAlign w:val="superscript"/>
        </w:rPr>
      </w:pPr>
      <w:r>
        <w:rPr>
          <w:rFonts w:ascii="Arial" w:hAnsi="Arial" w:cs="Arial"/>
          <w:b/>
          <w:bCs/>
          <w:szCs w:val="21"/>
          <w:vertAlign w:val="superscript"/>
        </w:rPr>
        <w:t xml:space="preserve"> </w:t>
      </w:r>
    </w:p>
    <w:p w14:paraId="5443FE70">
      <w:pPr>
        <w:pStyle w:val="7"/>
        <w:spacing w:line="360" w:lineRule="auto"/>
        <w:ind w:firstLine="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  <w:vertAlign w:val="superscript"/>
        </w:rPr>
        <w:t>1</w:t>
      </w:r>
      <w:r>
        <w:rPr>
          <w:rFonts w:hint="eastAsia" w:ascii="Arial" w:hAnsi="Arial" w:eastAsia="宋体" w:cs="Arial"/>
          <w:szCs w:val="21"/>
          <w:vertAlign w:val="superscript"/>
          <w:lang w:val="en-US" w:eastAsia="zh-CN"/>
        </w:rPr>
        <w:t xml:space="preserve"> </w:t>
      </w:r>
      <w:r>
        <w:rPr>
          <w:rFonts w:ascii="Arial" w:hAnsi="Arial" w:cs="Arial"/>
          <w:szCs w:val="21"/>
        </w:rPr>
        <w:t xml:space="preserve">Cancer Research Institute of Zhongshan City, </w:t>
      </w:r>
      <w:bookmarkStart w:id="2" w:name="OLE_LINK114"/>
      <w:bookmarkEnd w:id="2"/>
      <w:bookmarkStart w:id="3" w:name="OLE_LINK113"/>
      <w:r>
        <w:rPr>
          <w:rFonts w:ascii="Arial" w:hAnsi="Arial" w:cs="Arial"/>
          <w:szCs w:val="21"/>
        </w:rPr>
        <w:t>Zhongshan City People's Hospital</w:t>
      </w:r>
      <w:bookmarkEnd w:id="3"/>
      <w:r>
        <w:rPr>
          <w:rFonts w:ascii="Arial" w:hAnsi="Arial" w:cs="Arial"/>
          <w:szCs w:val="21"/>
        </w:rPr>
        <w:t>, Zhongshan City, Guangdong province, 528403, China.</w:t>
      </w:r>
    </w:p>
    <w:p w14:paraId="5D065550">
      <w:pPr>
        <w:pStyle w:val="7"/>
        <w:spacing w:line="360" w:lineRule="auto"/>
        <w:ind w:firstLine="0"/>
        <w:rPr>
          <w:rFonts w:ascii="Arial" w:hAnsi="Arial" w:cs="Arial"/>
          <w:szCs w:val="21"/>
        </w:rPr>
      </w:pPr>
      <w:r>
        <w:rPr>
          <w:rFonts w:hint="eastAsia" w:ascii="Arial" w:hAnsi="Arial" w:eastAsia="宋体" w:cs="Arial"/>
          <w:szCs w:val="21"/>
          <w:vertAlign w:val="superscript"/>
          <w:lang w:eastAsia="zh-CN"/>
        </w:rPr>
        <w:t>2</w:t>
      </w:r>
      <w:r>
        <w:rPr>
          <w:rFonts w:hint="eastAsia" w:ascii="Arial" w:hAnsi="Arial" w:eastAsia="宋体" w:cs="Arial"/>
          <w:szCs w:val="21"/>
          <w:vertAlign w:val="superscript"/>
          <w:lang w:val="en-US" w:eastAsia="zh-CN"/>
        </w:rPr>
        <w:t xml:space="preserve"> </w:t>
      </w:r>
      <w:r>
        <w:rPr>
          <w:rFonts w:ascii="Arial" w:hAnsi="Arial" w:cs="Arial"/>
          <w:szCs w:val="21"/>
        </w:rPr>
        <w:t>Department of Hepatobiliary Surgery, The First Affiliated Hospital of Guangzhou Medical University, Guangzhou, 510120 Guangdong Province, China.</w:t>
      </w:r>
    </w:p>
    <w:p w14:paraId="54B4C631">
      <w:pPr>
        <w:spacing w:line="360" w:lineRule="auto"/>
        <w:rPr>
          <w:rFonts w:hint="eastAsia" w:ascii="Arial" w:hAnsi="Arial" w:cs="Arial"/>
          <w:szCs w:val="21"/>
          <w:lang w:eastAsia="zh-CN"/>
        </w:rPr>
      </w:pPr>
      <w:r>
        <w:rPr>
          <w:rFonts w:hint="eastAsia" w:eastAsia="宋体"/>
          <w:sz w:val="24"/>
          <w:vertAlign w:val="superscript"/>
          <w:lang w:eastAsia="zh-CN"/>
        </w:rPr>
        <w:t xml:space="preserve">3 </w:t>
      </w:r>
      <w:r>
        <w:rPr>
          <w:rFonts w:hint="eastAsia" w:ascii="Arial" w:hAnsi="Arial" w:cs="Arial"/>
          <w:szCs w:val="21"/>
        </w:rPr>
        <w:t xml:space="preserve">Guangdong Medical University, </w:t>
      </w:r>
      <w:r>
        <w:rPr>
          <w:rFonts w:hint="eastAsia" w:ascii="Arial" w:hAnsi="Arial" w:cs="Arial"/>
          <w:szCs w:val="21"/>
          <w:lang w:eastAsia="zh-CN"/>
        </w:rPr>
        <w:t>Zhanjiang</w:t>
      </w:r>
      <w:r>
        <w:rPr>
          <w:rFonts w:ascii="Arial" w:hAnsi="Arial" w:cs="Arial"/>
          <w:szCs w:val="21"/>
        </w:rPr>
        <w:t xml:space="preserve"> City</w:t>
      </w:r>
      <w:r>
        <w:rPr>
          <w:rFonts w:hint="eastAsia" w:ascii="Arial" w:hAnsi="Arial" w:cs="Arial"/>
          <w:szCs w:val="21"/>
        </w:rPr>
        <w:t>, Guangdong Province, 523000</w:t>
      </w:r>
      <w:r>
        <w:rPr>
          <w:rFonts w:hint="eastAsia" w:ascii="Arial" w:hAnsi="Arial" w:cs="Arial"/>
          <w:szCs w:val="21"/>
          <w:lang w:eastAsia="zh-CN"/>
        </w:rPr>
        <w:t xml:space="preserve">, </w:t>
      </w:r>
      <w:r>
        <w:rPr>
          <w:rFonts w:hint="eastAsia" w:ascii="Arial" w:hAnsi="Arial" w:cs="Arial"/>
          <w:szCs w:val="21"/>
        </w:rPr>
        <w:t>China.</w:t>
      </w:r>
      <w:r>
        <w:rPr>
          <w:rFonts w:hint="eastAsia" w:ascii="Arial" w:hAnsi="Arial" w:cs="Arial"/>
          <w:szCs w:val="21"/>
          <w:lang w:eastAsia="zh-CN"/>
        </w:rPr>
        <w:t xml:space="preserve"> </w:t>
      </w:r>
    </w:p>
    <w:p w14:paraId="7047C6BC">
      <w:pPr>
        <w:spacing w:line="360" w:lineRule="auto"/>
        <w:rPr>
          <w:b/>
          <w:szCs w:val="24"/>
        </w:rPr>
      </w:pPr>
      <w:bookmarkStart w:id="8" w:name="_GoBack"/>
      <w:bookmarkEnd w:id="8"/>
      <w:r>
        <w:rPr>
          <w:b/>
          <w:szCs w:val="24"/>
        </w:rPr>
        <w:t xml:space="preserve"> </w:t>
      </w:r>
    </w:p>
    <w:p w14:paraId="5633AA8D">
      <w:pPr>
        <w:spacing w:line="360" w:lineRule="auto"/>
        <w:ind w:left="-180" w:leftChars="-75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 xml:space="preserve">* Corresponding author: </w:t>
      </w:r>
      <w:bookmarkStart w:id="4" w:name="OLE_LINK89"/>
      <w:bookmarkEnd w:id="4"/>
    </w:p>
    <w:p w14:paraId="524573DC">
      <w:pPr>
        <w:spacing w:line="360" w:lineRule="auto"/>
        <w:ind w:left="-180" w:leftChars="-75"/>
        <w:jc w:val="both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>Fugui Li</w:t>
      </w:r>
      <w:r>
        <w:rPr>
          <w:rFonts w:ascii="Arial" w:hAnsi="Arial" w:cs="Arial"/>
          <w:szCs w:val="21"/>
        </w:rPr>
        <w:t xml:space="preserve">, </w:t>
      </w:r>
      <w:r>
        <w:rPr>
          <w:rFonts w:ascii="Arial" w:hAnsi="Arial" w:cs="Arial"/>
          <w:color w:val="000000"/>
          <w:szCs w:val="21"/>
        </w:rPr>
        <w:t xml:space="preserve">Cancer Research Institute of Zhongshan City, Zhongshan City People's Hospital, </w:t>
      </w:r>
      <w:bookmarkStart w:id="5" w:name="OLE_LINK179"/>
      <w:bookmarkStart w:id="6" w:name="OLE_LINK2"/>
      <w:r>
        <w:rPr>
          <w:rFonts w:ascii="Arial" w:hAnsi="Arial" w:cs="Arial"/>
          <w:color w:val="000000"/>
          <w:szCs w:val="21"/>
        </w:rPr>
        <w:t>No.</w:t>
      </w:r>
      <w:bookmarkEnd w:id="5"/>
      <w:r>
        <w:rPr>
          <w:rFonts w:ascii="Arial" w:hAnsi="Arial" w:cs="Arial"/>
          <w:color w:val="000000"/>
          <w:szCs w:val="21"/>
        </w:rPr>
        <w:t>2, Sun Wen East Road</w:t>
      </w:r>
      <w:bookmarkEnd w:id="6"/>
      <w:r>
        <w:rPr>
          <w:rFonts w:ascii="Arial" w:hAnsi="Arial" w:cs="Arial"/>
          <w:color w:val="000000"/>
          <w:szCs w:val="21"/>
        </w:rPr>
        <w:t>, 528403 Zhongshan, China.</w:t>
      </w:r>
    </w:p>
    <w:p w14:paraId="5226EAD6">
      <w:pPr>
        <w:numPr>
          <w:ilvl w:val="0"/>
          <w:numId w:val="1"/>
        </w:numPr>
        <w:spacing w:line="360" w:lineRule="auto"/>
        <w:ind w:left="-180" w:leftChars="-75"/>
        <w:jc w:val="both"/>
        <w:rPr>
          <w:rStyle w:val="10"/>
          <w:rFonts w:ascii="Arial" w:hAnsi="Arial" w:cs="Arial"/>
          <w:szCs w:val="21"/>
        </w:rPr>
      </w:pPr>
      <w:r>
        <w:rPr>
          <w:rFonts w:ascii="Arial" w:hAnsi="Arial" w:cs="Arial"/>
          <w:color w:val="000000"/>
          <w:szCs w:val="21"/>
        </w:rPr>
        <w:t>mail:</w:t>
      </w:r>
      <w:bookmarkStart w:id="7" w:name="OLE_LINK134"/>
      <w:bookmarkEnd w:id="7"/>
      <w:r>
        <w:rPr>
          <w:rFonts w:ascii="Arial" w:hAnsi="Arial" w:cs="Arial"/>
          <w:szCs w:val="21"/>
        </w:rPr>
        <w:t xml:space="preserve"> </w:t>
      </w:r>
      <w:r>
        <w:rPr>
          <w:rStyle w:val="10"/>
          <w:rFonts w:ascii="Arial" w:hAnsi="Arial" w:cs="Arial"/>
          <w:szCs w:val="21"/>
        </w:rPr>
        <w:fldChar w:fldCharType="begin"/>
      </w:r>
      <w:r>
        <w:rPr>
          <w:rStyle w:val="10"/>
          <w:rFonts w:ascii="Arial" w:hAnsi="Arial" w:cs="Arial"/>
          <w:szCs w:val="21"/>
        </w:rPr>
        <w:instrText xml:space="preserve"> HYPERLINK "mailto:leef2002@126.com" </w:instrText>
      </w:r>
      <w:r>
        <w:rPr>
          <w:rStyle w:val="10"/>
          <w:rFonts w:ascii="Arial" w:hAnsi="Arial" w:cs="Arial"/>
          <w:szCs w:val="21"/>
        </w:rPr>
        <w:fldChar w:fldCharType="separate"/>
      </w:r>
      <w:r>
        <w:rPr>
          <w:rStyle w:val="6"/>
          <w:rFonts w:hint="default" w:ascii="Arial" w:hAnsi="Arial" w:cs="Arial"/>
          <w:color w:val="0000FF"/>
          <w:szCs w:val="21"/>
        </w:rPr>
        <w:t>leef2002@126.com</w:t>
      </w:r>
      <w:r>
        <w:rPr>
          <w:rStyle w:val="10"/>
          <w:rFonts w:ascii="Arial" w:hAnsi="Arial" w:cs="Arial"/>
          <w:szCs w:val="21"/>
        </w:rPr>
        <w:fldChar w:fldCharType="end"/>
      </w:r>
    </w:p>
    <w:p w14:paraId="4B398C00">
      <w:pPr>
        <w:numPr>
          <w:ilvl w:val="0"/>
          <w:numId w:val="0"/>
        </w:numPr>
        <w:spacing w:line="360" w:lineRule="auto"/>
        <w:jc w:val="both"/>
        <w:rPr>
          <w:rStyle w:val="10"/>
          <w:rFonts w:ascii="Arial" w:hAnsi="Arial" w:cs="Arial"/>
          <w:szCs w:val="21"/>
        </w:rPr>
      </w:pPr>
    </w:p>
    <w:p w14:paraId="62389841">
      <w:pPr>
        <w:spacing w:line="360" w:lineRule="auto"/>
        <w:ind w:left="-180" w:leftChars="-75"/>
        <w:jc w:val="both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This file includes:</w:t>
      </w:r>
      <w:r>
        <w:rPr>
          <w:rFonts w:hint="eastAsia" w:ascii="Arial" w:hAnsi="Arial" w:cs="Arial"/>
          <w:color w:val="000000"/>
          <w:szCs w:val="21"/>
          <w:lang w:val="en-US" w:eastAsia="zh-CN"/>
        </w:rPr>
        <w:t xml:space="preserve"> </w:t>
      </w:r>
      <w:r>
        <w:rPr>
          <w:rFonts w:ascii="Arial" w:hAnsi="Arial" w:cs="Arial"/>
          <w:color w:val="000000"/>
          <w:szCs w:val="21"/>
        </w:rPr>
        <w:t>Supplemental Figures</w:t>
      </w:r>
      <w:r>
        <w:rPr>
          <w:rFonts w:hint="eastAsia" w:ascii="Arial" w:hAnsi="Arial" w:cs="Arial"/>
          <w:color w:val="000000"/>
          <w:szCs w:val="21"/>
          <w:lang w:eastAsia="zh-CN"/>
        </w:rPr>
        <w:t xml:space="preserve"> (S</w:t>
      </w:r>
      <w:r>
        <w:rPr>
          <w:rFonts w:ascii="Arial" w:hAnsi="Arial" w:cs="Arial"/>
          <w:color w:val="000000"/>
          <w:szCs w:val="21"/>
        </w:rPr>
        <w:t>1</w:t>
      </w:r>
      <w:r>
        <w:rPr>
          <w:rFonts w:hint="eastAsia" w:ascii="Arial" w:hAnsi="Arial" w:cs="Arial"/>
          <w:color w:val="000000"/>
          <w:szCs w:val="21"/>
          <w:lang w:eastAsia="zh-CN"/>
        </w:rPr>
        <w:t>-S</w:t>
      </w:r>
      <w:r>
        <w:rPr>
          <w:rFonts w:ascii="Arial" w:hAnsi="Arial" w:cs="Arial"/>
          <w:color w:val="000000"/>
          <w:szCs w:val="21"/>
          <w:lang w:eastAsia="zh-CN"/>
        </w:rPr>
        <w:t>3</w:t>
      </w:r>
      <w:r>
        <w:rPr>
          <w:rFonts w:hint="eastAsia" w:ascii="Arial" w:hAnsi="Arial" w:cs="Arial"/>
          <w:color w:val="000000"/>
          <w:szCs w:val="21"/>
          <w:lang w:eastAsia="zh-CN"/>
        </w:rPr>
        <w:t>)</w:t>
      </w:r>
      <w:r>
        <w:rPr>
          <w:rFonts w:ascii="Arial" w:hAnsi="Arial" w:cs="Arial"/>
          <w:color w:val="000000"/>
          <w:szCs w:val="21"/>
        </w:rPr>
        <w:t xml:space="preserve"> and Figure legends</w:t>
      </w:r>
    </w:p>
    <w:p w14:paraId="1055F040">
      <w:pPr>
        <w:spacing w:line="360" w:lineRule="auto"/>
        <w:ind w:left="-180" w:leftChars="-75"/>
        <w:jc w:val="both"/>
        <w:rPr>
          <w:rFonts w:ascii="Arial" w:hAnsi="Arial" w:cs="Arial"/>
          <w:color w:val="000000"/>
          <w:szCs w:val="21"/>
        </w:rPr>
      </w:pPr>
    </w:p>
    <w:p w14:paraId="590B2B4E">
      <w:r>
        <w:rPr>
          <w14:ligatures w14:val="standardContextual"/>
        </w:rPr>
        <w:drawing>
          <wp:inline distT="0" distB="0" distL="0" distR="0">
            <wp:extent cx="5250180" cy="5250180"/>
            <wp:effectExtent l="0" t="0" r="762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0EBC">
      <w:pPr>
        <w:spacing w:line="360" w:lineRule="auto"/>
        <w:ind w:left="-180" w:leftChars="-75"/>
        <w:jc w:val="both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Fig. S1: The quality control for single-cell data includes RNA count (nCount_RNA), feature count (nFeature_RNA), mitochondrial genes (pMT), hemoglobin genes (pHB), and ribosomal protein genes (pRP).</w:t>
      </w:r>
      <w:r>
        <w:rPr>
          <w:rFonts w:ascii="Arial" w:hAnsi="Arial" w:cs="Arial"/>
          <w:color w:val="000000"/>
          <w:szCs w:val="21"/>
        </w:rPr>
        <w:cr/>
      </w:r>
    </w:p>
    <w:p w14:paraId="50984201"/>
    <w:p w14:paraId="082656E7"/>
    <w:p w14:paraId="778227BF"/>
    <w:p w14:paraId="56FB3262"/>
    <w:p w14:paraId="41951EF3"/>
    <w:p w14:paraId="099DC46F"/>
    <w:p w14:paraId="15ADB04C"/>
    <w:p w14:paraId="0D4AF9DC"/>
    <w:p w14:paraId="74D1AD49"/>
    <w:p w14:paraId="3D92A67A"/>
    <w:p w14:paraId="4BA9F88B">
      <w:r>
        <w:rPr>
          <w14:ligatures w14:val="standardContextual"/>
        </w:rPr>
        <w:drawing>
          <wp:inline distT="0" distB="0" distL="0" distR="0">
            <wp:extent cx="5208270" cy="2155190"/>
            <wp:effectExtent l="0" t="0" r="11430" b="16510"/>
            <wp:docPr id="5072477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47731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95199">
      <w:pPr>
        <w:spacing w:line="360" w:lineRule="auto"/>
        <w:ind w:left="-180" w:leftChars="-75"/>
        <w:jc w:val="both"/>
        <w:rPr>
          <w:rFonts w:ascii="Arial" w:hAnsi="Arial" w:cs="Arial"/>
          <w:color w:val="000000"/>
          <w:szCs w:val="21"/>
        </w:rPr>
      </w:pPr>
      <w:r>
        <w:rPr>
          <w:rFonts w:ascii="Arial" w:hAnsi="Arial" w:cs="Arial"/>
          <w:color w:val="000000"/>
          <w:szCs w:val="21"/>
        </w:rPr>
        <w:t>Fig. S2. Bubble plot showing the marker gene expression for 16 clusters of various cell types (left), and a bar plot comparing the cell proportions in normal lung and lung cancer (right).</w:t>
      </w:r>
      <w:r>
        <w:rPr>
          <w:rFonts w:ascii="Arial" w:hAnsi="Arial" w:cs="Arial"/>
          <w:color w:val="000000"/>
          <w:szCs w:val="21"/>
        </w:rPr>
        <w:cr/>
      </w:r>
    </w:p>
    <w:p w14:paraId="3A58447A"/>
    <w:p w14:paraId="05536559"/>
    <w:p w14:paraId="0E809378"/>
    <w:p w14:paraId="2BBF774B"/>
    <w:p w14:paraId="477953F8"/>
    <w:p w14:paraId="7B0082D5"/>
    <w:p w14:paraId="67B0E2D3"/>
    <w:p w14:paraId="276C3A42"/>
    <w:p w14:paraId="5E14725A"/>
    <w:p w14:paraId="74110897"/>
    <w:p w14:paraId="0DB5C33F"/>
    <w:p w14:paraId="62194402"/>
    <w:p w14:paraId="3077E75B"/>
    <w:p w14:paraId="68F72253"/>
    <w:p w14:paraId="7F7491AD"/>
    <w:p w14:paraId="39C7C55F"/>
    <w:p w14:paraId="10A420EF"/>
    <w:p w14:paraId="5937B1A9"/>
    <w:p w14:paraId="141BAF04"/>
    <w:p w14:paraId="04786AA3"/>
    <w:p w14:paraId="723BD1F3"/>
    <w:p w14:paraId="086F2E19"/>
    <w:p w14:paraId="36885B6D"/>
    <w:p w14:paraId="00BCAF9A"/>
    <w:p w14:paraId="53886879"/>
    <w:p w14:paraId="72C4BE55"/>
    <w:p w14:paraId="4F98740C">
      <w:pPr>
        <w:jc w:val="center"/>
      </w:pPr>
      <w:r>
        <w:rPr>
          <w14:ligatures w14:val="standardContextual"/>
        </w:rPr>
        <w:drawing>
          <wp:inline distT="0" distB="0" distL="0" distR="0">
            <wp:extent cx="4201160" cy="7523480"/>
            <wp:effectExtent l="0" t="0" r="8890" b="1270"/>
            <wp:docPr id="10665467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46774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60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8382">
      <w:pPr>
        <w:spacing w:line="360" w:lineRule="auto"/>
        <w:ind w:left="-180" w:leftChars="-75"/>
        <w:jc w:val="both"/>
      </w:pPr>
      <w:r>
        <w:rPr>
          <w:rFonts w:ascii="Arial" w:hAnsi="Arial" w:cs="Arial"/>
          <w:color w:val="000000"/>
          <w:szCs w:val="21"/>
        </w:rPr>
        <w:t>Fig. S3. Univariate Cox regression analysis demonstrated the association of 92 genes with survival in patients with LUAD.</w:t>
      </w:r>
    </w:p>
    <w:p w14:paraId="2BF385DE"/>
    <w:p w14:paraId="627B87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497678"/>
    <w:multiLevelType w:val="singleLevel"/>
    <w:tmpl w:val="9A49767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xNzYwNjQ1ODlmZTMzOTk2YjU0NGI3MmY4MTE1MTgifQ=="/>
  </w:docVars>
  <w:rsids>
    <w:rsidRoot w:val="00FF5D58"/>
    <w:rsid w:val="000D7BAA"/>
    <w:rsid w:val="002767E9"/>
    <w:rsid w:val="0045467F"/>
    <w:rsid w:val="00497D0F"/>
    <w:rsid w:val="008C57F1"/>
    <w:rsid w:val="00AE0198"/>
    <w:rsid w:val="00CD0759"/>
    <w:rsid w:val="00DE0A6A"/>
    <w:rsid w:val="00FC0C57"/>
    <w:rsid w:val="00FF48E6"/>
    <w:rsid w:val="00FF5D58"/>
    <w:rsid w:val="1DD24F82"/>
    <w:rsid w:val="7BB6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0"/>
      <w:lang w:val="en-US" w:eastAsia="en-US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Paragraph"/>
    <w:basedOn w:val="1"/>
    <w:autoRedefine/>
    <w:qFormat/>
    <w:uiPriority w:val="0"/>
    <w:pPr>
      <w:spacing w:before="120"/>
      <w:ind w:firstLine="720"/>
    </w:pPr>
    <w:rPr>
      <w:rFonts w:eastAsia="Times New Roman"/>
      <w:szCs w:val="24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cs="Times New Roman"/>
      <w:kern w:val="0"/>
      <w:sz w:val="18"/>
      <w:szCs w:val="18"/>
      <w:lang w:eastAsia="en-US"/>
      <w14:ligatures w14:val="none"/>
    </w:rPr>
  </w:style>
  <w:style w:type="character" w:customStyle="1" w:styleId="9">
    <w:name w:val="页脚 字符"/>
    <w:basedOn w:val="5"/>
    <w:link w:val="2"/>
    <w:qFormat/>
    <w:uiPriority w:val="99"/>
    <w:rPr>
      <w:rFonts w:ascii="Times New Roman" w:hAnsi="Times New Roman" w:cs="Times New Roman"/>
      <w:kern w:val="0"/>
      <w:sz w:val="18"/>
      <w:szCs w:val="18"/>
      <w:lang w:eastAsia="en-US"/>
      <w14:ligatures w14:val="none"/>
    </w:rPr>
  </w:style>
  <w:style w:type="character" w:customStyle="1" w:styleId="10">
    <w:name w:val="15"/>
    <w:basedOn w:val="5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</Words>
  <Characters>1517</Characters>
  <Lines>121</Lines>
  <Paragraphs>16</Paragraphs>
  <TotalTime>0</TotalTime>
  <ScaleCrop>false</ScaleCrop>
  <LinksUpToDate>false</LinksUpToDate>
  <CharactersWithSpaces>1743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2024-07-08T01:45:00Z</dcterms:created>
  <dc:creator>丁 丁</dc:creator>
  <cp:lastModifiedBy>嘟嘟龙嘟嘟</cp:lastModifiedBy>
  <dcterms:modified xsi:type="dcterms:W3CDTF">2024-07-17T01:13:12Z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6f8e5748-08e5-4a6b-9681-5ec6f368ce2e</vt:lpwstr>
  </property>
  <property fmtid="{D5CDD505-2E9C-101B-9397-08002B2CF9AE}" pid="3" name="KSOProductBuildVer">
    <vt:lpwstr>2052-12.1.0.17147</vt:lpwstr>
  </property>
  <property fmtid="{D5CDD505-2E9C-101B-9397-08002B2CF9AE}" pid="4" name="ICV">
    <vt:lpwstr>6BD10B33D3A0489589D859234354D69C_12</vt:lpwstr>
  </property>
</Properties>
</file>