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7C04" w:rsidRPr="008B0F88" w:rsidRDefault="004D7C04" w:rsidP="004D7C04">
      <w:pPr>
        <w:spacing w:after="0" w:line="276" w:lineRule="auto"/>
        <w:jc w:val="center"/>
        <w:rPr>
          <w:rFonts w:cstheme="minorHAnsi"/>
          <w:b/>
          <w:noProof/>
          <w:lang w:val="en-US"/>
        </w:rPr>
      </w:pPr>
      <w:r w:rsidRPr="008B0F88">
        <w:rPr>
          <w:rFonts w:cstheme="minorHAnsi"/>
          <w:b/>
          <w:noProof/>
          <w:lang w:val="en-US"/>
        </w:rPr>
        <w:t>S</w:t>
      </w:r>
      <w:r>
        <w:rPr>
          <w:rFonts w:cstheme="minorHAnsi"/>
          <w:b/>
          <w:noProof/>
          <w:lang w:val="en-US"/>
        </w:rPr>
        <w:t>UPPLEMENTARY MATERIAL</w:t>
      </w:r>
    </w:p>
    <w:p w:rsidR="004D7C04" w:rsidRDefault="004D7C04" w:rsidP="004D7C04">
      <w:pPr>
        <w:spacing w:after="0" w:line="240" w:lineRule="auto"/>
        <w:jc w:val="both"/>
        <w:rPr>
          <w:rFonts w:cstheme="minorHAnsi"/>
          <w:b/>
          <w:lang w:val="en-US"/>
        </w:rPr>
      </w:pPr>
    </w:p>
    <w:p w:rsidR="002D575E" w:rsidRPr="00B37B23" w:rsidRDefault="002D575E" w:rsidP="002D575E">
      <w:pPr>
        <w:spacing w:after="0" w:line="276" w:lineRule="auto"/>
        <w:jc w:val="both"/>
        <w:rPr>
          <w:b/>
          <w:u w:val="single"/>
          <w:lang w:val="en-US"/>
        </w:rPr>
      </w:pPr>
      <w:r w:rsidRPr="00B37B23">
        <w:rPr>
          <w:b/>
          <w:u w:val="single"/>
          <w:lang w:val="en-US"/>
        </w:rPr>
        <w:t xml:space="preserve">JZL184 is neuroprotective in </w:t>
      </w:r>
      <w:proofErr w:type="spellStart"/>
      <w:r>
        <w:rPr>
          <w:b/>
          <w:u w:val="single"/>
          <w:lang w:val="en-US"/>
        </w:rPr>
        <w:t>MPTP</w:t>
      </w:r>
      <w:r w:rsidR="00E70D42">
        <w:rPr>
          <w:b/>
          <w:u w:val="single"/>
          <w:lang w:val="en-US"/>
        </w:rPr>
        <w:t>p</w:t>
      </w:r>
      <w:proofErr w:type="spellEnd"/>
      <w:r>
        <w:rPr>
          <w:b/>
          <w:u w:val="single"/>
          <w:lang w:val="en-US"/>
        </w:rPr>
        <w:t xml:space="preserve"> mouse model of Parkinson´s disease</w:t>
      </w:r>
    </w:p>
    <w:p w:rsidR="004D7C04" w:rsidRPr="008B0F88" w:rsidRDefault="004D7C04" w:rsidP="004D7C04">
      <w:pPr>
        <w:spacing w:after="0" w:line="240" w:lineRule="auto"/>
        <w:jc w:val="both"/>
        <w:rPr>
          <w:rFonts w:cstheme="minorHAnsi"/>
          <w:b/>
          <w:lang w:val="en-US"/>
        </w:rPr>
      </w:pPr>
      <w:r w:rsidRPr="008B0F88">
        <w:rPr>
          <w:rFonts w:cstheme="minorHAnsi"/>
          <w:b/>
          <w:noProof/>
          <w:lang w:val="en-US"/>
        </w:rPr>
        <w:drawing>
          <wp:inline distT="0" distB="0" distL="0" distR="0" wp14:anchorId="2101C428" wp14:editId="5BCF07A6">
            <wp:extent cx="5400040" cy="2475230"/>
            <wp:effectExtent l="0" t="0" r="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_Fig1_Behavior_Histol_JZL184.tif"/>
                    <pic:cNvPicPr/>
                  </pic:nvPicPr>
                  <pic:blipFill rotWithShape="1">
                    <a:blip r:embed="rId5" cstate="print">
                      <a:extLst>
                        <a:ext uri="{28A0092B-C50C-407E-A947-70E740481C1C}">
                          <a14:useLocalDpi xmlns:a14="http://schemas.microsoft.com/office/drawing/2010/main" val="0"/>
                        </a:ext>
                      </a:extLst>
                    </a:blip>
                    <a:srcRect t="9096"/>
                    <a:stretch/>
                  </pic:blipFill>
                  <pic:spPr bwMode="auto">
                    <a:xfrm>
                      <a:off x="0" y="0"/>
                      <a:ext cx="5400040" cy="2475230"/>
                    </a:xfrm>
                    <a:prstGeom prst="rect">
                      <a:avLst/>
                    </a:prstGeom>
                    <a:ln>
                      <a:noFill/>
                    </a:ln>
                    <a:extLst>
                      <a:ext uri="{53640926-AAD7-44D8-BBD7-CCE9431645EC}">
                        <a14:shadowObscured xmlns:a14="http://schemas.microsoft.com/office/drawing/2010/main"/>
                      </a:ext>
                    </a:extLst>
                  </pic:spPr>
                </pic:pic>
              </a:graphicData>
            </a:graphic>
          </wp:inline>
        </w:drawing>
      </w:r>
    </w:p>
    <w:p w:rsidR="004D7C04" w:rsidRDefault="004D7C04" w:rsidP="004D7C04">
      <w:pPr>
        <w:spacing w:after="0" w:line="240" w:lineRule="auto"/>
        <w:jc w:val="both"/>
        <w:rPr>
          <w:rFonts w:cstheme="minorHAnsi"/>
          <w:b/>
          <w:sz w:val="20"/>
          <w:szCs w:val="20"/>
          <w:lang w:val="en-US"/>
        </w:rPr>
      </w:pPr>
      <w:bookmarkStart w:id="0" w:name="OLE_LINK1"/>
    </w:p>
    <w:p w:rsidR="004D7C04" w:rsidRPr="004D7C04" w:rsidRDefault="004D7C04" w:rsidP="004D7C04">
      <w:pPr>
        <w:spacing w:after="0" w:line="240" w:lineRule="auto"/>
        <w:jc w:val="both"/>
        <w:rPr>
          <w:rFonts w:cstheme="minorHAnsi"/>
          <w:bCs/>
          <w:sz w:val="20"/>
          <w:szCs w:val="20"/>
          <w:lang w:val="en-US"/>
        </w:rPr>
      </w:pPr>
      <w:r w:rsidRPr="004D7C04">
        <w:rPr>
          <w:rFonts w:cstheme="minorHAnsi"/>
          <w:b/>
          <w:sz w:val="20"/>
          <w:szCs w:val="20"/>
          <w:lang w:val="en-US"/>
        </w:rPr>
        <w:t xml:space="preserve">Supplementary figure 1. Neuroprotective effect of </w:t>
      </w:r>
      <w:r w:rsidRPr="004D7C04">
        <w:rPr>
          <w:rFonts w:cstheme="minorHAnsi"/>
          <w:b/>
          <w:bCs/>
          <w:sz w:val="20"/>
          <w:szCs w:val="20"/>
          <w:lang w:val="en-US"/>
        </w:rPr>
        <w:t xml:space="preserve">JZL184 in the </w:t>
      </w:r>
      <w:proofErr w:type="spellStart"/>
      <w:r w:rsidRPr="004D7C04">
        <w:rPr>
          <w:rFonts w:cstheme="minorHAnsi"/>
          <w:b/>
          <w:bCs/>
          <w:sz w:val="20"/>
          <w:szCs w:val="20"/>
          <w:lang w:val="en-US"/>
        </w:rPr>
        <w:t>MPTPp</w:t>
      </w:r>
      <w:proofErr w:type="spellEnd"/>
      <w:r w:rsidRPr="004D7C04">
        <w:rPr>
          <w:rFonts w:cstheme="minorHAnsi"/>
          <w:b/>
          <w:bCs/>
          <w:sz w:val="20"/>
          <w:szCs w:val="20"/>
          <w:lang w:val="en-US"/>
        </w:rPr>
        <w:t xml:space="preserve"> mouse model.</w:t>
      </w:r>
      <w:r w:rsidRPr="004D7C04">
        <w:rPr>
          <w:rFonts w:cstheme="minorHAnsi"/>
          <w:sz w:val="20"/>
          <w:szCs w:val="20"/>
          <w:lang w:val="en-US"/>
        </w:rPr>
        <w:t xml:space="preserve"> (A) Scheme of the experimental design for the administration of MPTP (20 mg/kg) + probenecid (250 mg/kg) twice a week, and JZL184 (8 mg/kg) 5 days a week for 5 weeks starting 6 h after the first MPTP injection until the time of sacrifice. Control mice received probenecid and saline + JZL184 or JZL184 vehicle at the same time. Motor testing were performed after the last MPTP injection and animals were sacrificed 48 h later. (B) Motor behavior was assessed in the pole, rotarod, and bar tests. (C) </w:t>
      </w:r>
      <w:r w:rsidRPr="004D7C04">
        <w:rPr>
          <w:rFonts w:cstheme="minorHAnsi"/>
          <w:bCs/>
          <w:sz w:val="20"/>
          <w:szCs w:val="20"/>
          <w:lang w:val="en-US"/>
        </w:rPr>
        <w:t>Representative images showing TH immunoreactivity and optical density analysis of the TH signal in the striatum. (D) Representative images showing TH</w:t>
      </w:r>
      <w:r w:rsidRPr="004D7C04">
        <w:rPr>
          <w:rFonts w:cstheme="minorHAnsi"/>
          <w:bCs/>
          <w:sz w:val="20"/>
          <w:szCs w:val="20"/>
          <w:vertAlign w:val="superscript"/>
          <w:lang w:val="en-US"/>
        </w:rPr>
        <w:t>+</w:t>
      </w:r>
      <w:r w:rsidRPr="004D7C04">
        <w:rPr>
          <w:rFonts w:cstheme="minorHAnsi"/>
          <w:bCs/>
          <w:sz w:val="20"/>
          <w:szCs w:val="20"/>
          <w:lang w:val="en-US"/>
        </w:rPr>
        <w:t xml:space="preserve"> dopaminergic neurons and stereological quantification of the number of TH</w:t>
      </w:r>
      <w:r w:rsidRPr="004D7C04">
        <w:rPr>
          <w:rFonts w:cstheme="minorHAnsi"/>
          <w:bCs/>
          <w:sz w:val="20"/>
          <w:szCs w:val="20"/>
          <w:vertAlign w:val="superscript"/>
          <w:lang w:val="en-US"/>
        </w:rPr>
        <w:t>+</w:t>
      </w:r>
      <w:r w:rsidRPr="004D7C04">
        <w:rPr>
          <w:rFonts w:cstheme="minorHAnsi"/>
          <w:bCs/>
          <w:sz w:val="20"/>
          <w:szCs w:val="20"/>
          <w:lang w:val="en-US"/>
        </w:rPr>
        <w:t xml:space="preserve"> neurons in the </w:t>
      </w:r>
      <w:proofErr w:type="spellStart"/>
      <w:r w:rsidRPr="004D7C04">
        <w:rPr>
          <w:rFonts w:cstheme="minorHAnsi"/>
          <w:bCs/>
          <w:sz w:val="20"/>
          <w:szCs w:val="20"/>
          <w:lang w:val="en-US"/>
        </w:rPr>
        <w:t>SNpc</w:t>
      </w:r>
      <w:proofErr w:type="spellEnd"/>
      <w:r w:rsidRPr="004D7C04">
        <w:rPr>
          <w:rFonts w:cstheme="minorHAnsi"/>
          <w:bCs/>
          <w:sz w:val="20"/>
          <w:szCs w:val="20"/>
          <w:lang w:val="en-US"/>
        </w:rPr>
        <w:t xml:space="preserve">. </w:t>
      </w:r>
      <w:r w:rsidRPr="004D7C04">
        <w:rPr>
          <w:rFonts w:cstheme="minorHAnsi"/>
          <w:sz w:val="20"/>
          <w:szCs w:val="20"/>
          <w:lang w:val="en-US"/>
        </w:rPr>
        <w:t>Data represent the mean ± 95% CI from 6 animals/group</w:t>
      </w:r>
      <w:r w:rsidRPr="004D7C04">
        <w:rPr>
          <w:rFonts w:eastAsia="Calibri" w:cstheme="minorHAnsi"/>
          <w:bCs/>
          <w:sz w:val="20"/>
          <w:szCs w:val="20"/>
          <w:lang w:val="en-US"/>
        </w:rPr>
        <w:t xml:space="preserve">. </w:t>
      </w:r>
      <w:r w:rsidRPr="004D7C04">
        <w:rPr>
          <w:rFonts w:eastAsia="Calibri" w:cstheme="minorHAnsi"/>
          <w:sz w:val="20"/>
          <w:szCs w:val="20"/>
          <w:lang w:val="en-US"/>
        </w:rPr>
        <w:t>Statistical analysis: Two-way ANOVA followed by Bonferroni´s multiple comparison test, *</w:t>
      </w:r>
      <w:r w:rsidRPr="004D7C04">
        <w:rPr>
          <w:rFonts w:eastAsia="Calibri" w:cstheme="minorHAnsi"/>
          <w:i/>
          <w:sz w:val="20"/>
          <w:szCs w:val="20"/>
          <w:lang w:val="en-US"/>
        </w:rPr>
        <w:t>p</w:t>
      </w:r>
      <w:r w:rsidRPr="004D7C04">
        <w:rPr>
          <w:rFonts w:eastAsia="Calibri" w:cstheme="minorHAnsi"/>
          <w:sz w:val="20"/>
          <w:szCs w:val="20"/>
          <w:lang w:val="en-US"/>
        </w:rPr>
        <w:t xml:space="preserve"> &lt; 0.05, **</w:t>
      </w:r>
      <w:r w:rsidRPr="004D7C04">
        <w:rPr>
          <w:rFonts w:eastAsia="Calibri" w:cstheme="minorHAnsi"/>
          <w:i/>
          <w:sz w:val="20"/>
          <w:szCs w:val="20"/>
          <w:lang w:val="en-US"/>
        </w:rPr>
        <w:t>p</w:t>
      </w:r>
      <w:r w:rsidRPr="004D7C04">
        <w:rPr>
          <w:rFonts w:eastAsia="Calibri" w:cstheme="minorHAnsi"/>
          <w:sz w:val="20"/>
          <w:szCs w:val="20"/>
          <w:lang w:val="en-US"/>
        </w:rPr>
        <w:t xml:space="preserve"> &lt; 0.01, ***</w:t>
      </w:r>
      <w:r w:rsidRPr="004D7C04">
        <w:rPr>
          <w:rFonts w:eastAsia="Calibri" w:cstheme="minorHAnsi"/>
          <w:i/>
          <w:sz w:val="20"/>
          <w:szCs w:val="20"/>
          <w:lang w:val="en-US"/>
        </w:rPr>
        <w:t>p</w:t>
      </w:r>
      <w:r w:rsidRPr="004D7C04">
        <w:rPr>
          <w:rFonts w:eastAsia="Calibri" w:cstheme="minorHAnsi"/>
          <w:sz w:val="20"/>
          <w:szCs w:val="20"/>
          <w:lang w:val="en-US"/>
        </w:rPr>
        <w:t xml:space="preserve"> &lt; 0.001. </w:t>
      </w:r>
      <w:r w:rsidRPr="004D7C04">
        <w:rPr>
          <w:rFonts w:cstheme="minorHAnsi"/>
          <w:bCs/>
          <w:sz w:val="20"/>
          <w:szCs w:val="20"/>
          <w:lang w:val="en-US"/>
        </w:rPr>
        <w:t>Magnification bars: (C) 2 mm, (D) 1 mm.</w:t>
      </w:r>
    </w:p>
    <w:bookmarkEnd w:id="0"/>
    <w:p w:rsidR="004D7C04" w:rsidRDefault="004D7C04" w:rsidP="004D7C04">
      <w:pPr>
        <w:spacing w:after="0" w:line="240" w:lineRule="auto"/>
        <w:jc w:val="both"/>
        <w:rPr>
          <w:rFonts w:cstheme="minorHAnsi"/>
          <w:bCs/>
          <w:lang w:val="en-US"/>
        </w:rPr>
      </w:pPr>
    </w:p>
    <w:p w:rsidR="004D7C04" w:rsidRPr="008B0F88" w:rsidRDefault="004D7C04" w:rsidP="004D7C04">
      <w:pPr>
        <w:spacing w:after="0" w:line="240" w:lineRule="auto"/>
        <w:jc w:val="both"/>
        <w:rPr>
          <w:rFonts w:cstheme="minorHAnsi"/>
          <w:bCs/>
          <w:lang w:val="en-US"/>
        </w:rPr>
      </w:pPr>
    </w:p>
    <w:p w:rsidR="002D575E" w:rsidRPr="00B37B23" w:rsidRDefault="002D575E" w:rsidP="002D575E">
      <w:pPr>
        <w:spacing w:after="0" w:line="276" w:lineRule="auto"/>
        <w:rPr>
          <w:b/>
          <w:u w:val="single"/>
          <w:lang w:val="en-US"/>
        </w:rPr>
      </w:pPr>
      <w:r w:rsidRPr="001D1C08">
        <w:rPr>
          <w:b/>
          <w:i/>
          <w:u w:val="single"/>
          <w:lang w:val="en-US"/>
        </w:rPr>
        <w:t>In vivo</w:t>
      </w:r>
      <w:r w:rsidRPr="00B37B23">
        <w:rPr>
          <w:b/>
          <w:u w:val="single"/>
          <w:lang w:val="en-US"/>
        </w:rPr>
        <w:t xml:space="preserve"> DAT imaging using [</w:t>
      </w:r>
      <w:r w:rsidRPr="00B37B23">
        <w:rPr>
          <w:b/>
          <w:u w:val="single"/>
          <w:vertAlign w:val="superscript"/>
          <w:lang w:val="en-US"/>
        </w:rPr>
        <w:t>123</w:t>
      </w:r>
      <w:r w:rsidRPr="00B37B23">
        <w:rPr>
          <w:b/>
          <w:u w:val="single"/>
          <w:lang w:val="en-US"/>
        </w:rPr>
        <w:t>I]-</w:t>
      </w:r>
      <w:proofErr w:type="spellStart"/>
      <w:r w:rsidRPr="00B37B23">
        <w:rPr>
          <w:b/>
          <w:u w:val="single"/>
          <w:lang w:val="en-US"/>
        </w:rPr>
        <w:t>ioflupane</w:t>
      </w:r>
      <w:proofErr w:type="spellEnd"/>
    </w:p>
    <w:p w:rsidR="004D7C04" w:rsidRDefault="004D7C04" w:rsidP="004D7C04">
      <w:pPr>
        <w:spacing w:after="0" w:line="240" w:lineRule="auto"/>
        <w:jc w:val="both"/>
        <w:rPr>
          <w:rFonts w:cstheme="minorHAnsi"/>
          <w:lang w:val="en-US"/>
        </w:rPr>
      </w:pPr>
    </w:p>
    <w:p w:rsidR="004D7C04" w:rsidRPr="00C22736" w:rsidRDefault="004D7C04" w:rsidP="004D7C04">
      <w:pPr>
        <w:spacing w:after="0" w:line="240" w:lineRule="auto"/>
        <w:jc w:val="both"/>
        <w:rPr>
          <w:lang w:val="en-US"/>
        </w:rPr>
      </w:pPr>
      <w:r w:rsidRPr="00C22736">
        <w:rPr>
          <w:lang w:val="en-US"/>
        </w:rPr>
        <w:t>[</w:t>
      </w:r>
      <w:r w:rsidRPr="00C22736">
        <w:rPr>
          <w:vertAlign w:val="superscript"/>
          <w:lang w:val="en-US"/>
        </w:rPr>
        <w:t>123</w:t>
      </w:r>
      <w:r w:rsidRPr="00C22736">
        <w:rPr>
          <w:lang w:val="en-US"/>
        </w:rPr>
        <w:t>I]-</w:t>
      </w:r>
      <w:proofErr w:type="spellStart"/>
      <w:r>
        <w:rPr>
          <w:lang w:val="en-US"/>
        </w:rPr>
        <w:t>I</w:t>
      </w:r>
      <w:r w:rsidRPr="00C22736">
        <w:rPr>
          <w:lang w:val="en-US"/>
        </w:rPr>
        <w:t>oflupane</w:t>
      </w:r>
      <w:proofErr w:type="spellEnd"/>
      <w:r w:rsidRPr="00C22736">
        <w:rPr>
          <w:lang w:val="en-US"/>
        </w:rPr>
        <w:t xml:space="preserve"> (</w:t>
      </w:r>
      <w:proofErr w:type="spellStart"/>
      <w:r w:rsidRPr="00C22736">
        <w:rPr>
          <w:lang w:val="en-US"/>
        </w:rPr>
        <w:t>DaTSCAN</w:t>
      </w:r>
      <w:proofErr w:type="spellEnd"/>
      <w:r w:rsidRPr="00C22736">
        <w:rPr>
          <w:lang w:val="en-US"/>
        </w:rPr>
        <w:t xml:space="preserve">©) is a radiotracer used to assess the viability of dopamine transporters </w:t>
      </w:r>
      <w:r w:rsidRPr="00C22736">
        <w:rPr>
          <w:i/>
          <w:lang w:val="en-US"/>
        </w:rPr>
        <w:t>in vivo</w:t>
      </w:r>
      <w:r w:rsidRPr="00C22736">
        <w:rPr>
          <w:lang w:val="en-US"/>
        </w:rPr>
        <w:t xml:space="preserve"> by single photon emission computed tomography (SPECT). For this study, mice were injected intravenously in the tail with a single dose of [</w:t>
      </w:r>
      <w:r w:rsidRPr="00C22736">
        <w:rPr>
          <w:vertAlign w:val="superscript"/>
          <w:lang w:val="en-US"/>
        </w:rPr>
        <w:t>123</w:t>
      </w:r>
      <w:r w:rsidRPr="00C22736">
        <w:rPr>
          <w:lang w:val="en-US"/>
        </w:rPr>
        <w:t>I]-</w:t>
      </w:r>
      <w:proofErr w:type="spellStart"/>
      <w:r w:rsidRPr="00C22736">
        <w:rPr>
          <w:lang w:val="en-US"/>
        </w:rPr>
        <w:t>ioflupane</w:t>
      </w:r>
      <w:proofErr w:type="spellEnd"/>
      <w:r w:rsidRPr="00C22736">
        <w:rPr>
          <w:lang w:val="en-US"/>
        </w:rPr>
        <w:t xml:space="preserve"> (5,9 </w:t>
      </w:r>
      <w:r w:rsidRPr="00C22736">
        <w:rPr>
          <w:rFonts w:cstheme="minorHAnsi"/>
          <w:lang w:val="en-US"/>
        </w:rPr>
        <w:t>±</w:t>
      </w:r>
      <w:r w:rsidRPr="00C22736">
        <w:rPr>
          <w:lang w:val="en-US"/>
        </w:rPr>
        <w:t xml:space="preserve"> 0.16 </w:t>
      </w:r>
      <w:proofErr w:type="spellStart"/>
      <w:r w:rsidRPr="00C22736">
        <w:rPr>
          <w:lang w:val="en-US"/>
        </w:rPr>
        <w:t>MBq</w:t>
      </w:r>
      <w:proofErr w:type="spellEnd"/>
      <w:r w:rsidRPr="00C22736">
        <w:rPr>
          <w:lang w:val="en-US"/>
        </w:rPr>
        <w:t xml:space="preserve">) </w:t>
      </w:r>
      <w:r>
        <w:rPr>
          <w:lang w:val="en-US"/>
        </w:rPr>
        <w:t>prior to imaging.</w:t>
      </w:r>
      <w:r w:rsidRPr="00C22736">
        <w:rPr>
          <w:lang w:val="en-US"/>
        </w:rPr>
        <w:t xml:space="preserve"> After 30 min, </w:t>
      </w:r>
      <w:r w:rsidR="00826306">
        <w:rPr>
          <w:lang w:val="en-US"/>
        </w:rPr>
        <w:t xml:space="preserve">the </w:t>
      </w:r>
      <w:r w:rsidRPr="00C22736">
        <w:rPr>
          <w:lang w:val="en-US"/>
        </w:rPr>
        <w:t>animals were scanned in a U-SPECT6/E-class system (</w:t>
      </w:r>
      <w:proofErr w:type="spellStart"/>
      <w:r w:rsidRPr="00C22736">
        <w:rPr>
          <w:lang w:val="en-US"/>
        </w:rPr>
        <w:t>MILabs</w:t>
      </w:r>
      <w:proofErr w:type="spellEnd"/>
      <w:r w:rsidRPr="00C22736">
        <w:rPr>
          <w:lang w:val="en-US"/>
        </w:rPr>
        <w:t xml:space="preserve">, </w:t>
      </w:r>
      <w:proofErr w:type="spellStart"/>
      <w:r w:rsidRPr="00C22736">
        <w:rPr>
          <w:lang w:val="en-US"/>
        </w:rPr>
        <w:t>Houten</w:t>
      </w:r>
      <w:proofErr w:type="spellEnd"/>
      <w:r w:rsidRPr="00C22736">
        <w:rPr>
          <w:lang w:val="en-US"/>
        </w:rPr>
        <w:t xml:space="preserve">, The Netherlands) using a UHS-M-1 mm multi-pinhole collimator. </w:t>
      </w:r>
      <w:r w:rsidR="00826306">
        <w:rPr>
          <w:lang w:val="en-US"/>
        </w:rPr>
        <w:t>M</w:t>
      </w:r>
      <w:r w:rsidRPr="00C22736">
        <w:rPr>
          <w:lang w:val="en-US"/>
        </w:rPr>
        <w:t xml:space="preserve">ice were placed prone on the scanner bed under continuous isoflurane </w:t>
      </w:r>
      <w:r w:rsidR="00826306" w:rsidRPr="00C22736">
        <w:rPr>
          <w:lang w:val="en-US"/>
        </w:rPr>
        <w:t xml:space="preserve">anesthesia </w:t>
      </w:r>
      <w:r w:rsidRPr="00C22736">
        <w:rPr>
          <w:lang w:val="en-US"/>
        </w:rPr>
        <w:t>(2% in 100% O</w:t>
      </w:r>
      <w:r w:rsidRPr="00C22736">
        <w:rPr>
          <w:vertAlign w:val="subscript"/>
          <w:lang w:val="en-US"/>
        </w:rPr>
        <w:t>2</w:t>
      </w:r>
      <w:r w:rsidRPr="00C22736">
        <w:rPr>
          <w:lang w:val="en-US"/>
        </w:rPr>
        <w:t xml:space="preserve"> gas) </w:t>
      </w:r>
      <w:r w:rsidR="00826306">
        <w:rPr>
          <w:lang w:val="en-US"/>
        </w:rPr>
        <w:t>for a</w:t>
      </w:r>
      <w:r w:rsidRPr="00C22736">
        <w:rPr>
          <w:lang w:val="en-US"/>
        </w:rPr>
        <w:t xml:space="preserve"> 15 min</w:t>
      </w:r>
      <w:r w:rsidR="00826306">
        <w:rPr>
          <w:lang w:val="en-US"/>
        </w:rPr>
        <w:t xml:space="preserve"> scan of the head</w:t>
      </w:r>
      <w:r w:rsidRPr="00C22736">
        <w:rPr>
          <w:lang w:val="en-US"/>
        </w:rPr>
        <w:t>. Following the SPECT acquisition, CT scans were performed to obtain anatomical information using a tube setting of 50 kV and 0.43 mA. The SPECT images were reconstructed using the [</w:t>
      </w:r>
      <w:r w:rsidRPr="00C22736">
        <w:rPr>
          <w:vertAlign w:val="superscript"/>
          <w:lang w:val="en-US"/>
        </w:rPr>
        <w:t>123</w:t>
      </w:r>
      <w:r w:rsidRPr="00C22736">
        <w:rPr>
          <w:lang w:val="en-US"/>
        </w:rPr>
        <w:t>I] photopeak centered at 159 keV with a</w:t>
      </w:r>
      <w:r w:rsidR="00826306">
        <w:rPr>
          <w:lang w:val="en-US"/>
        </w:rPr>
        <w:t>n</w:t>
      </w:r>
      <w:r w:rsidRPr="00C22736">
        <w:rPr>
          <w:lang w:val="en-US"/>
        </w:rPr>
        <w:t xml:space="preserve"> energy window width</w:t>
      </w:r>
      <w:r w:rsidR="00826306">
        <w:rPr>
          <w:lang w:val="en-US"/>
        </w:rPr>
        <w:t xml:space="preserve"> of</w:t>
      </w:r>
      <w:r w:rsidRPr="00C22736">
        <w:rPr>
          <w:lang w:val="en-US"/>
        </w:rPr>
        <w:t xml:space="preserve"> </w:t>
      </w:r>
      <w:r w:rsidR="00826306" w:rsidRPr="00C22736">
        <w:rPr>
          <w:lang w:val="en-US"/>
        </w:rPr>
        <w:t xml:space="preserve">20% </w:t>
      </w:r>
      <w:r w:rsidRPr="00C22736">
        <w:rPr>
          <w:lang w:val="en-US"/>
        </w:rPr>
        <w:t>and a calibration factor to obtain information o</w:t>
      </w:r>
      <w:r w:rsidR="00826306">
        <w:rPr>
          <w:lang w:val="en-US"/>
        </w:rPr>
        <w:t>n</w:t>
      </w:r>
      <w:r w:rsidRPr="00C22736">
        <w:rPr>
          <w:lang w:val="en-US"/>
        </w:rPr>
        <w:t xml:space="preserve"> the radioactivity in the image (</w:t>
      </w:r>
      <w:proofErr w:type="spellStart"/>
      <w:r w:rsidRPr="00C22736">
        <w:rPr>
          <w:lang w:val="en-US"/>
        </w:rPr>
        <w:t>MBq</w:t>
      </w:r>
      <w:proofErr w:type="spellEnd"/>
      <w:r w:rsidRPr="00C22736">
        <w:rPr>
          <w:lang w:val="en-US"/>
        </w:rPr>
        <w:t xml:space="preserve">/mL). Finally, attenuation correction was applied using the CT attenuation map. </w:t>
      </w:r>
    </w:p>
    <w:p w:rsidR="004D7C04" w:rsidRPr="004D7C04" w:rsidRDefault="00826306" w:rsidP="004D7C04">
      <w:pPr>
        <w:spacing w:after="0" w:line="240" w:lineRule="auto"/>
        <w:jc w:val="both"/>
        <w:rPr>
          <w:lang w:val="en-US"/>
        </w:rPr>
      </w:pPr>
      <w:r>
        <w:rPr>
          <w:lang w:val="en-US"/>
        </w:rPr>
        <w:t>The data</w:t>
      </w:r>
      <w:r w:rsidR="004D7C04" w:rsidRPr="00C22736">
        <w:rPr>
          <w:lang w:val="en-US"/>
        </w:rPr>
        <w:t xml:space="preserve"> were analyzed using PMOD software (PMOD Technologies Ltd., </w:t>
      </w:r>
      <w:proofErr w:type="spellStart"/>
      <w:r w:rsidR="004D7C04" w:rsidRPr="00C22736">
        <w:rPr>
          <w:lang w:val="en-US"/>
        </w:rPr>
        <w:t>Adliswil</w:t>
      </w:r>
      <w:proofErr w:type="spellEnd"/>
      <w:r w:rsidR="004D7C04" w:rsidRPr="00C22736">
        <w:rPr>
          <w:lang w:val="en-US"/>
        </w:rPr>
        <w:t>, Switzerland). First, SPECT images were converted to standardized uptake value (SUV) units, using the formula SUV = [tissue activity concentration (</w:t>
      </w:r>
      <w:proofErr w:type="spellStart"/>
      <w:r w:rsidR="004D7C04" w:rsidRPr="00C22736">
        <w:rPr>
          <w:lang w:val="en-US"/>
        </w:rPr>
        <w:t>Bq</w:t>
      </w:r>
      <w:proofErr w:type="spellEnd"/>
      <w:r w:rsidR="004D7C04" w:rsidRPr="00C22736">
        <w:rPr>
          <w:lang w:val="en-US"/>
        </w:rPr>
        <w:t>/cm</w:t>
      </w:r>
      <w:r w:rsidR="004D7C04" w:rsidRPr="00C22736">
        <w:rPr>
          <w:vertAlign w:val="superscript"/>
          <w:lang w:val="en-US"/>
        </w:rPr>
        <w:t>3</w:t>
      </w:r>
      <w:r w:rsidR="004D7C04" w:rsidRPr="00C22736">
        <w:rPr>
          <w:lang w:val="en-US"/>
        </w:rPr>
        <w:t>)/injected dose (</w:t>
      </w:r>
      <w:proofErr w:type="spellStart"/>
      <w:r w:rsidR="004D7C04" w:rsidRPr="00C22736">
        <w:rPr>
          <w:lang w:val="en-US"/>
        </w:rPr>
        <w:t>Bq</w:t>
      </w:r>
      <w:proofErr w:type="spellEnd"/>
      <w:r w:rsidR="004D7C04" w:rsidRPr="00C22736">
        <w:rPr>
          <w:lang w:val="en-US"/>
        </w:rPr>
        <w:t xml:space="preserve">)] × body weight (g). The CT images were </w:t>
      </w:r>
      <w:r>
        <w:rPr>
          <w:lang w:val="en-US"/>
        </w:rPr>
        <w:t xml:space="preserve">then </w:t>
      </w:r>
      <w:r w:rsidR="004D7C04" w:rsidRPr="00C22736">
        <w:rPr>
          <w:lang w:val="en-US"/>
        </w:rPr>
        <w:t xml:space="preserve">spatially normalized to a digital mouse brain atlas template </w:t>
      </w:r>
      <w:sdt>
        <w:sdtPr>
          <w:rPr>
            <w:color w:val="000000"/>
            <w:lang w:val="en-US"/>
          </w:rPr>
          <w:tag w:val="MENDELEY_CITATION_v3_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"/>
          <w:id w:val="1715700437"/>
          <w:placeholder>
            <w:docPart w:val="DefaultPlaceholder_-1854013440"/>
          </w:placeholder>
        </w:sdtPr>
        <w:sdtEndPr/>
        <w:sdtContent>
          <w:r w:rsidR="008C55E0" w:rsidRPr="008C55E0">
            <w:rPr>
              <w:color w:val="000000"/>
              <w:lang w:val="en-US"/>
            </w:rPr>
            <w:t>(1)</w:t>
          </w:r>
        </w:sdtContent>
      </w:sdt>
      <w:r w:rsidR="004D7C04" w:rsidRPr="00C22736">
        <w:rPr>
          <w:lang w:val="en-US"/>
        </w:rPr>
        <w:t xml:space="preserve"> and the transformation applied to the SPECT images. Finally, a map of volumes of interest was applied to obtain the mean value of radiotracer uptake (SUV mean) of the basal ganglia (left and right).</w:t>
      </w:r>
    </w:p>
    <w:p w:rsidR="004D7C04" w:rsidRDefault="004D7C04" w:rsidP="004D7C04">
      <w:pPr>
        <w:spacing w:after="0" w:line="240" w:lineRule="auto"/>
        <w:jc w:val="both"/>
        <w:rPr>
          <w:rFonts w:cstheme="minorHAnsi"/>
          <w:lang w:val="en-US"/>
        </w:rPr>
      </w:pPr>
    </w:p>
    <w:p w:rsidR="004D7C04" w:rsidRDefault="004D7C04" w:rsidP="004D7C04">
      <w:pPr>
        <w:spacing w:after="0" w:line="240" w:lineRule="auto"/>
        <w:jc w:val="both"/>
        <w:rPr>
          <w:rFonts w:cstheme="minorHAnsi"/>
          <w:lang w:val="en-US"/>
        </w:rPr>
      </w:pPr>
    </w:p>
    <w:p w:rsidR="004D7C04" w:rsidRDefault="004D7C04" w:rsidP="004D7C04">
      <w:pPr>
        <w:spacing w:after="0" w:line="240" w:lineRule="auto"/>
        <w:jc w:val="both"/>
        <w:rPr>
          <w:rFonts w:cstheme="minorHAnsi"/>
          <w:lang w:val="en-US"/>
        </w:rPr>
      </w:pPr>
    </w:p>
    <w:p w:rsidR="004D7C04" w:rsidRPr="004D7C04" w:rsidRDefault="004D7C04" w:rsidP="004D7C04">
      <w:pPr>
        <w:spacing w:after="0" w:line="240" w:lineRule="auto"/>
        <w:jc w:val="both"/>
        <w:rPr>
          <w:rFonts w:cstheme="minorHAnsi"/>
          <w:lang w:val="en-US"/>
        </w:rPr>
      </w:pPr>
    </w:p>
    <w:p w:rsidR="004D7C04" w:rsidRPr="008B0F88" w:rsidRDefault="004D7C04" w:rsidP="004D7C04">
      <w:pPr>
        <w:spacing w:after="0" w:line="240" w:lineRule="auto"/>
        <w:jc w:val="center"/>
        <w:rPr>
          <w:rFonts w:cstheme="minorHAnsi"/>
          <w:lang w:val="en-US"/>
        </w:rPr>
      </w:pPr>
      <w:r w:rsidRPr="008B0F88">
        <w:rPr>
          <w:rFonts w:cstheme="minorHAnsi"/>
          <w:noProof/>
          <w:lang w:val="en-US"/>
        </w:rPr>
        <w:drawing>
          <wp:inline distT="0" distB="0" distL="0" distR="0" wp14:anchorId="30655255" wp14:editId="3A14575A">
            <wp:extent cx="3522867" cy="1762125"/>
            <wp:effectExtent l="0" t="0" r="190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uppl_Fig2_DATSKAN.tif"/>
                    <pic:cNvPicPr/>
                  </pic:nvPicPr>
                  <pic:blipFill rotWithShape="1">
                    <a:blip r:embed="rId6" cstate="print">
                      <a:extLst>
                        <a:ext uri="{28A0092B-C50C-407E-A947-70E740481C1C}">
                          <a14:useLocalDpi xmlns:a14="http://schemas.microsoft.com/office/drawing/2010/main" val="0"/>
                        </a:ext>
                      </a:extLst>
                    </a:blip>
                    <a:srcRect t="18502"/>
                    <a:stretch/>
                  </pic:blipFill>
                  <pic:spPr bwMode="auto">
                    <a:xfrm>
                      <a:off x="0" y="0"/>
                      <a:ext cx="3523488" cy="1762436"/>
                    </a:xfrm>
                    <a:prstGeom prst="rect">
                      <a:avLst/>
                    </a:prstGeom>
                    <a:ln>
                      <a:noFill/>
                    </a:ln>
                    <a:extLst>
                      <a:ext uri="{53640926-AAD7-44D8-BBD7-CCE9431645EC}">
                        <a14:shadowObscured xmlns:a14="http://schemas.microsoft.com/office/drawing/2010/main"/>
                      </a:ext>
                    </a:extLst>
                  </pic:spPr>
                </pic:pic>
              </a:graphicData>
            </a:graphic>
          </wp:inline>
        </w:drawing>
      </w:r>
    </w:p>
    <w:p w:rsidR="004D7C04" w:rsidRDefault="004D7C04" w:rsidP="004D7C04">
      <w:pPr>
        <w:spacing w:after="0" w:line="240" w:lineRule="auto"/>
        <w:jc w:val="both"/>
        <w:rPr>
          <w:rFonts w:eastAsia="Calibri" w:cstheme="minorHAnsi"/>
          <w:sz w:val="20"/>
          <w:szCs w:val="20"/>
          <w:lang w:val="en-US"/>
        </w:rPr>
      </w:pPr>
      <w:r w:rsidRPr="004D7C04">
        <w:rPr>
          <w:rFonts w:cstheme="minorHAnsi"/>
          <w:b/>
          <w:sz w:val="20"/>
          <w:szCs w:val="20"/>
          <w:lang w:val="en-US"/>
        </w:rPr>
        <w:t xml:space="preserve">Supplementary figure 2: </w:t>
      </w:r>
      <w:proofErr w:type="spellStart"/>
      <w:r w:rsidRPr="004D7C04">
        <w:rPr>
          <w:rFonts w:cstheme="minorHAnsi"/>
          <w:b/>
          <w:sz w:val="20"/>
          <w:szCs w:val="20"/>
          <w:lang w:val="en-US"/>
        </w:rPr>
        <w:t>DaTSCAN</w:t>
      </w:r>
      <w:proofErr w:type="spellEnd"/>
      <w:r w:rsidRPr="004D7C04">
        <w:rPr>
          <w:rFonts w:cstheme="minorHAnsi"/>
          <w:b/>
          <w:sz w:val="20"/>
          <w:szCs w:val="20"/>
          <w:lang w:val="en-US"/>
        </w:rPr>
        <w:t xml:space="preserve"> analysis for </w:t>
      </w:r>
      <w:bookmarkStart w:id="1" w:name="_GoBack"/>
      <w:bookmarkEnd w:id="1"/>
      <w:r w:rsidR="00E70D42" w:rsidRPr="004D7C04">
        <w:rPr>
          <w:rFonts w:cstheme="minorHAnsi"/>
          <w:b/>
          <w:sz w:val="20"/>
          <w:szCs w:val="20"/>
          <w:lang w:val="en-US"/>
        </w:rPr>
        <w:t>DAT</w:t>
      </w:r>
      <w:r w:rsidR="00E70D42" w:rsidRPr="004D7C04">
        <w:rPr>
          <w:rFonts w:cstheme="minorHAnsi"/>
          <w:b/>
          <w:sz w:val="20"/>
          <w:szCs w:val="20"/>
          <w:lang w:val="en-US"/>
        </w:rPr>
        <w:t xml:space="preserve"> </w:t>
      </w:r>
      <w:r w:rsidRPr="004D7C04">
        <w:rPr>
          <w:rFonts w:cstheme="minorHAnsi"/>
          <w:b/>
          <w:sz w:val="20"/>
          <w:szCs w:val="20"/>
          <w:lang w:val="en-US"/>
        </w:rPr>
        <w:t xml:space="preserve">detection. </w:t>
      </w:r>
      <w:r w:rsidRPr="004D7C04">
        <w:rPr>
          <w:rFonts w:cstheme="minorHAnsi"/>
          <w:sz w:val="20"/>
          <w:szCs w:val="20"/>
          <w:lang w:val="en-US"/>
        </w:rPr>
        <w:t xml:space="preserve">Control, </w:t>
      </w:r>
      <w:proofErr w:type="spellStart"/>
      <w:r w:rsidRPr="004D7C04">
        <w:rPr>
          <w:rFonts w:cstheme="minorHAnsi"/>
          <w:sz w:val="20"/>
          <w:szCs w:val="20"/>
          <w:lang w:val="en-US"/>
        </w:rPr>
        <w:t>MPTPp</w:t>
      </w:r>
      <w:proofErr w:type="spellEnd"/>
      <w:r w:rsidRPr="004D7C04">
        <w:rPr>
          <w:rFonts w:cstheme="minorHAnsi"/>
          <w:sz w:val="20"/>
          <w:szCs w:val="20"/>
          <w:lang w:val="en-US"/>
        </w:rPr>
        <w:t xml:space="preserve"> and JZL184-treated </w:t>
      </w:r>
      <w:proofErr w:type="spellStart"/>
      <w:r w:rsidRPr="004D7C04">
        <w:rPr>
          <w:rFonts w:cstheme="minorHAnsi"/>
          <w:sz w:val="20"/>
          <w:szCs w:val="20"/>
          <w:lang w:val="en-US"/>
        </w:rPr>
        <w:t>MPTPp</w:t>
      </w:r>
      <w:proofErr w:type="spellEnd"/>
      <w:r w:rsidRPr="004D7C04">
        <w:rPr>
          <w:rFonts w:cstheme="minorHAnsi"/>
          <w:sz w:val="20"/>
          <w:szCs w:val="20"/>
          <w:lang w:val="en-US"/>
        </w:rPr>
        <w:t xml:space="preserve"> mice were anesthetized and given </w:t>
      </w:r>
      <w:bookmarkStart w:id="2" w:name="_Hlk171502338"/>
      <w:r w:rsidRPr="004D7C04">
        <w:rPr>
          <w:rFonts w:cstheme="minorHAnsi"/>
          <w:sz w:val="20"/>
          <w:szCs w:val="20"/>
          <w:lang w:val="en-US"/>
        </w:rPr>
        <w:t>[</w:t>
      </w:r>
      <w:r w:rsidRPr="004D7C04">
        <w:rPr>
          <w:rFonts w:cstheme="minorHAnsi"/>
          <w:sz w:val="20"/>
          <w:szCs w:val="20"/>
          <w:vertAlign w:val="superscript"/>
          <w:lang w:val="en-US"/>
        </w:rPr>
        <w:t>123</w:t>
      </w:r>
      <w:proofErr w:type="gramStart"/>
      <w:r w:rsidRPr="004D7C04">
        <w:rPr>
          <w:rFonts w:cstheme="minorHAnsi"/>
          <w:sz w:val="20"/>
          <w:szCs w:val="20"/>
          <w:lang w:val="en-US"/>
        </w:rPr>
        <w:t>I]</w:t>
      </w:r>
      <w:proofErr w:type="spellStart"/>
      <w:r w:rsidRPr="004D7C04">
        <w:rPr>
          <w:rFonts w:cstheme="minorHAnsi"/>
          <w:sz w:val="20"/>
          <w:szCs w:val="20"/>
          <w:lang w:val="en-US"/>
        </w:rPr>
        <w:t>Ioflupane</w:t>
      </w:r>
      <w:proofErr w:type="spellEnd"/>
      <w:proofErr w:type="gramEnd"/>
      <w:r w:rsidRPr="004D7C04">
        <w:rPr>
          <w:rFonts w:cstheme="minorHAnsi"/>
          <w:sz w:val="20"/>
          <w:szCs w:val="20"/>
          <w:lang w:val="en-US"/>
        </w:rPr>
        <w:t xml:space="preserve"> to visualize </w:t>
      </w:r>
      <w:bookmarkEnd w:id="2"/>
      <w:r w:rsidRPr="004D7C04">
        <w:rPr>
          <w:rFonts w:cstheme="minorHAnsi"/>
          <w:sz w:val="20"/>
          <w:szCs w:val="20"/>
          <w:lang w:val="en-US"/>
        </w:rPr>
        <w:t>the presence of DAT by</w:t>
      </w:r>
      <w:r w:rsidR="00FA341E">
        <w:rPr>
          <w:rFonts w:cstheme="minorHAnsi"/>
          <w:sz w:val="20"/>
          <w:szCs w:val="20"/>
          <w:lang w:val="en-US"/>
        </w:rPr>
        <w:t xml:space="preserve"> </w:t>
      </w:r>
      <w:r w:rsidRPr="004D7C04">
        <w:rPr>
          <w:rFonts w:cstheme="minorHAnsi"/>
          <w:sz w:val="20"/>
          <w:szCs w:val="20"/>
          <w:lang w:val="en-US"/>
        </w:rPr>
        <w:t xml:space="preserve">using a single photon emission computed tomography scanner. (A) Representative images obtained by </w:t>
      </w:r>
      <w:proofErr w:type="spellStart"/>
      <w:r w:rsidRPr="004D7C04">
        <w:rPr>
          <w:rFonts w:cstheme="minorHAnsi"/>
          <w:sz w:val="20"/>
          <w:szCs w:val="20"/>
          <w:lang w:val="en-US"/>
        </w:rPr>
        <w:t>DaTSCAN</w:t>
      </w:r>
      <w:proofErr w:type="spellEnd"/>
      <w:r w:rsidRPr="004D7C04">
        <w:rPr>
          <w:rFonts w:cstheme="minorHAnsi"/>
          <w:sz w:val="20"/>
          <w:szCs w:val="20"/>
          <w:lang w:val="en-US"/>
        </w:rPr>
        <w:t>. (B) Quantitation of [</w:t>
      </w:r>
      <w:r w:rsidRPr="004D7C04">
        <w:rPr>
          <w:rFonts w:cstheme="minorHAnsi"/>
          <w:sz w:val="20"/>
          <w:szCs w:val="20"/>
          <w:vertAlign w:val="superscript"/>
          <w:lang w:val="en-US"/>
        </w:rPr>
        <w:t>123</w:t>
      </w:r>
      <w:r w:rsidRPr="004D7C04">
        <w:rPr>
          <w:rFonts w:cstheme="minorHAnsi"/>
          <w:sz w:val="20"/>
          <w:szCs w:val="20"/>
          <w:lang w:val="en-US"/>
        </w:rPr>
        <w:t>I]-</w:t>
      </w:r>
      <w:proofErr w:type="spellStart"/>
      <w:r w:rsidRPr="004D7C04">
        <w:rPr>
          <w:rFonts w:cstheme="minorHAnsi"/>
          <w:sz w:val="20"/>
          <w:szCs w:val="20"/>
          <w:lang w:val="en-US"/>
        </w:rPr>
        <w:t>Ioflupane</w:t>
      </w:r>
      <w:proofErr w:type="spellEnd"/>
      <w:r w:rsidRPr="004D7C04">
        <w:rPr>
          <w:rFonts w:cstheme="minorHAnsi"/>
          <w:sz w:val="20"/>
          <w:szCs w:val="20"/>
          <w:lang w:val="en-US"/>
        </w:rPr>
        <w:t xml:space="preserve"> standardized uptake value (SUV). For each mouse, the mean between the left and right basal ganglia is shown ± SD, 2-3 animals/group.</w:t>
      </w:r>
      <w:r w:rsidRPr="004D7C04">
        <w:rPr>
          <w:rFonts w:cstheme="minorHAnsi"/>
          <w:bCs/>
          <w:sz w:val="20"/>
          <w:szCs w:val="20"/>
          <w:lang w:val="en-US"/>
        </w:rPr>
        <w:t xml:space="preserve"> Statistical analysis: One-way ANOVA followed by Tukey´s test for multiple comparisons, </w:t>
      </w:r>
      <w:r w:rsidRPr="004D7C04">
        <w:rPr>
          <w:rFonts w:eastAsia="Calibri" w:cstheme="minorHAnsi"/>
          <w:sz w:val="20"/>
          <w:szCs w:val="20"/>
          <w:lang w:val="en-US"/>
        </w:rPr>
        <w:t>*</w:t>
      </w:r>
      <w:r w:rsidRPr="004D7C04">
        <w:rPr>
          <w:rFonts w:eastAsia="Calibri" w:cstheme="minorHAnsi"/>
          <w:i/>
          <w:sz w:val="20"/>
          <w:szCs w:val="20"/>
          <w:lang w:val="en-US"/>
        </w:rPr>
        <w:t>p</w:t>
      </w:r>
      <w:r w:rsidRPr="004D7C04">
        <w:rPr>
          <w:rFonts w:eastAsia="Calibri" w:cstheme="minorHAnsi"/>
          <w:sz w:val="20"/>
          <w:szCs w:val="20"/>
          <w:lang w:val="en-US"/>
        </w:rPr>
        <w:t xml:space="preserve"> &lt; 0.05.</w:t>
      </w:r>
    </w:p>
    <w:p w:rsidR="000046F9" w:rsidRDefault="000046F9" w:rsidP="004D7C04">
      <w:pPr>
        <w:spacing w:after="0" w:line="240" w:lineRule="auto"/>
        <w:jc w:val="both"/>
        <w:rPr>
          <w:rFonts w:cstheme="minorHAnsi"/>
          <w:sz w:val="20"/>
          <w:szCs w:val="20"/>
          <w:lang w:val="en-US"/>
        </w:rPr>
      </w:pPr>
    </w:p>
    <w:p w:rsidR="000046F9" w:rsidRPr="008C55E0" w:rsidRDefault="008C55E0" w:rsidP="004D7C04">
      <w:pPr>
        <w:spacing w:after="0" w:line="240" w:lineRule="auto"/>
        <w:jc w:val="both"/>
        <w:rPr>
          <w:rFonts w:cstheme="minorHAnsi"/>
          <w:b/>
          <w:u w:val="single"/>
          <w:lang w:val="en-US"/>
        </w:rPr>
      </w:pPr>
      <w:r w:rsidRPr="008C55E0">
        <w:rPr>
          <w:rFonts w:cstheme="minorHAnsi"/>
          <w:b/>
          <w:u w:val="single"/>
          <w:lang w:val="en-US"/>
        </w:rPr>
        <w:t>References</w:t>
      </w:r>
    </w:p>
    <w:p w:rsidR="008C55E0" w:rsidRPr="004D7C04" w:rsidRDefault="008C55E0" w:rsidP="004D7C04">
      <w:pPr>
        <w:spacing w:after="0" w:line="240" w:lineRule="auto"/>
        <w:jc w:val="both"/>
        <w:rPr>
          <w:rFonts w:cstheme="minorHAnsi"/>
          <w:sz w:val="20"/>
          <w:szCs w:val="20"/>
          <w:lang w:val="en-US"/>
        </w:rPr>
      </w:pPr>
    </w:p>
    <w:sdt>
      <w:sdtPr>
        <w:rPr>
          <w:rFonts w:cstheme="minorHAnsi"/>
          <w:b/>
          <w:bCs/>
          <w:lang w:val="en-US"/>
        </w:rPr>
        <w:tag w:val="MENDELEY_BIBLIOGRAPHY"/>
        <w:id w:val="-1843698934"/>
        <w:placeholder>
          <w:docPart w:val="4EFC7EBEF210484BBB2381EFA1D30488"/>
        </w:placeholder>
      </w:sdtPr>
      <w:sdtEndPr/>
      <w:sdtContent>
        <w:p w:rsidR="008C55E0" w:rsidRDefault="008C55E0">
          <w:pPr>
            <w:autoSpaceDE w:val="0"/>
            <w:autoSpaceDN w:val="0"/>
            <w:ind w:hanging="640"/>
            <w:divId w:val="1662267406"/>
            <w:rPr>
              <w:rFonts w:eastAsia="Times New Roman"/>
              <w:sz w:val="24"/>
              <w:szCs w:val="24"/>
            </w:rPr>
          </w:pPr>
          <w:r w:rsidRPr="008C55E0">
            <w:rPr>
              <w:rFonts w:eastAsia="Times New Roman"/>
              <w:lang w:val="en-US"/>
            </w:rPr>
            <w:t>1.</w:t>
          </w:r>
          <w:r w:rsidRPr="008C55E0">
            <w:rPr>
              <w:rFonts w:eastAsia="Times New Roman"/>
              <w:lang w:val="en-US"/>
            </w:rPr>
            <w:tab/>
            <w:t xml:space="preserve">Ma Y, Smith D, Hof PR, Foerster B, Hamilton S, </w:t>
          </w:r>
          <w:proofErr w:type="spellStart"/>
          <w:r w:rsidRPr="008C55E0">
            <w:rPr>
              <w:rFonts w:eastAsia="Times New Roman"/>
              <w:lang w:val="en-US"/>
            </w:rPr>
            <w:t>Blackband</w:t>
          </w:r>
          <w:proofErr w:type="spellEnd"/>
          <w:r w:rsidRPr="008C55E0">
            <w:rPr>
              <w:rFonts w:eastAsia="Times New Roman"/>
              <w:lang w:val="en-US"/>
            </w:rPr>
            <w:t xml:space="preserve"> SJ, et al. In Vivo 3D Digital Atlas Database of the Adult C57BL/6J Mouse Brain by Magnetic Resonance Microscopy. </w:t>
          </w:r>
          <w:r>
            <w:rPr>
              <w:rFonts w:eastAsia="Times New Roman"/>
            </w:rPr>
            <w:t xml:space="preserve">Front </w:t>
          </w:r>
          <w:proofErr w:type="spellStart"/>
          <w:r>
            <w:rPr>
              <w:rFonts w:eastAsia="Times New Roman"/>
            </w:rPr>
            <w:t>Neuroanat</w:t>
          </w:r>
          <w:proofErr w:type="spellEnd"/>
          <w:r>
            <w:rPr>
              <w:rFonts w:eastAsia="Times New Roman"/>
            </w:rPr>
            <w:t xml:space="preserve">. </w:t>
          </w:r>
          <w:proofErr w:type="gramStart"/>
          <w:r>
            <w:rPr>
              <w:rFonts w:eastAsia="Times New Roman"/>
            </w:rPr>
            <w:t>2008;2:1</w:t>
          </w:r>
          <w:proofErr w:type="gramEnd"/>
          <w:r>
            <w:rPr>
              <w:rFonts w:eastAsia="Times New Roman"/>
            </w:rPr>
            <w:t xml:space="preserve">. </w:t>
          </w:r>
        </w:p>
        <w:p w:rsidR="000046F9" w:rsidRDefault="008C55E0" w:rsidP="000046F9">
          <w:pPr>
            <w:spacing w:after="0" w:line="240" w:lineRule="auto"/>
            <w:rPr>
              <w:rFonts w:cstheme="minorHAnsi"/>
              <w:b/>
              <w:bCs/>
              <w:lang w:val="en-US"/>
            </w:rPr>
          </w:pPr>
          <w:r>
            <w:rPr>
              <w:rFonts w:eastAsia="Times New Roman"/>
            </w:rPr>
            <w:t> </w:t>
          </w:r>
        </w:p>
      </w:sdtContent>
    </w:sdt>
    <w:sectPr w:rsidR="000046F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C04"/>
    <w:rsid w:val="000046F9"/>
    <w:rsid w:val="001D1C08"/>
    <w:rsid w:val="002D575E"/>
    <w:rsid w:val="004D7C04"/>
    <w:rsid w:val="00826306"/>
    <w:rsid w:val="008C55E0"/>
    <w:rsid w:val="00D14715"/>
    <w:rsid w:val="00E70D42"/>
    <w:rsid w:val="00FA341E"/>
    <w:rsid w:val="00FE5B9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BD183"/>
  <w15:chartTrackingRefBased/>
  <w15:docId w15:val="{20828F15-A8A9-4268-B2E9-984E759BA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D7C0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rsid w:val="004D7C04"/>
    <w:rPr>
      <w:sz w:val="16"/>
      <w:szCs w:val="16"/>
    </w:rPr>
  </w:style>
  <w:style w:type="paragraph" w:styleId="Textocomentario">
    <w:name w:val="annotation text"/>
    <w:basedOn w:val="Normal"/>
    <w:link w:val="TextocomentarioCar"/>
    <w:uiPriority w:val="99"/>
    <w:unhideWhenUsed/>
    <w:rsid w:val="004D7C04"/>
    <w:pPr>
      <w:spacing w:line="240" w:lineRule="auto"/>
    </w:pPr>
    <w:rPr>
      <w:sz w:val="20"/>
      <w:szCs w:val="20"/>
    </w:rPr>
  </w:style>
  <w:style w:type="character" w:customStyle="1" w:styleId="TextocomentarioCar">
    <w:name w:val="Texto comentario Car"/>
    <w:basedOn w:val="Fuentedeprrafopredeter"/>
    <w:link w:val="Textocomentario"/>
    <w:uiPriority w:val="99"/>
    <w:rsid w:val="004D7C04"/>
    <w:rPr>
      <w:sz w:val="20"/>
      <w:szCs w:val="20"/>
    </w:rPr>
  </w:style>
  <w:style w:type="paragraph" w:styleId="Textodeglobo">
    <w:name w:val="Balloon Text"/>
    <w:basedOn w:val="Normal"/>
    <w:link w:val="TextodegloboCar"/>
    <w:uiPriority w:val="99"/>
    <w:semiHidden/>
    <w:unhideWhenUsed/>
    <w:rsid w:val="004D7C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D7C04"/>
    <w:rPr>
      <w:rFonts w:ascii="Segoe UI" w:hAnsi="Segoe UI" w:cs="Segoe UI"/>
      <w:sz w:val="18"/>
      <w:szCs w:val="18"/>
    </w:rPr>
  </w:style>
  <w:style w:type="character" w:styleId="Textodelmarcadordeposicin">
    <w:name w:val="Placeholder Text"/>
    <w:basedOn w:val="Fuentedeprrafopredeter"/>
    <w:uiPriority w:val="99"/>
    <w:semiHidden/>
    <w:rsid w:val="0082630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0964951">
      <w:bodyDiv w:val="1"/>
      <w:marLeft w:val="0"/>
      <w:marRight w:val="0"/>
      <w:marTop w:val="0"/>
      <w:marBottom w:val="0"/>
      <w:divBdr>
        <w:top w:val="none" w:sz="0" w:space="0" w:color="auto"/>
        <w:left w:val="none" w:sz="0" w:space="0" w:color="auto"/>
        <w:bottom w:val="none" w:sz="0" w:space="0" w:color="auto"/>
        <w:right w:val="none" w:sz="0" w:space="0" w:color="auto"/>
      </w:divBdr>
      <w:divsChild>
        <w:div w:id="1823156781">
          <w:marLeft w:val="480"/>
          <w:marRight w:val="0"/>
          <w:marTop w:val="0"/>
          <w:marBottom w:val="0"/>
          <w:divBdr>
            <w:top w:val="none" w:sz="0" w:space="0" w:color="auto"/>
            <w:left w:val="none" w:sz="0" w:space="0" w:color="auto"/>
            <w:bottom w:val="none" w:sz="0" w:space="0" w:color="auto"/>
            <w:right w:val="none" w:sz="0" w:space="0" w:color="auto"/>
          </w:divBdr>
        </w:div>
      </w:divsChild>
    </w:div>
    <w:div w:id="669672432">
      <w:bodyDiv w:val="1"/>
      <w:marLeft w:val="0"/>
      <w:marRight w:val="0"/>
      <w:marTop w:val="0"/>
      <w:marBottom w:val="0"/>
      <w:divBdr>
        <w:top w:val="none" w:sz="0" w:space="0" w:color="auto"/>
        <w:left w:val="none" w:sz="0" w:space="0" w:color="auto"/>
        <w:bottom w:val="none" w:sz="0" w:space="0" w:color="auto"/>
        <w:right w:val="none" w:sz="0" w:space="0" w:color="auto"/>
      </w:divBdr>
      <w:divsChild>
        <w:div w:id="1662267406">
          <w:marLeft w:val="640"/>
          <w:marRight w:val="0"/>
          <w:marTop w:val="0"/>
          <w:marBottom w:val="0"/>
          <w:divBdr>
            <w:top w:val="none" w:sz="0" w:space="0" w:color="auto"/>
            <w:left w:val="none" w:sz="0" w:space="0" w:color="auto"/>
            <w:bottom w:val="none" w:sz="0" w:space="0" w:color="auto"/>
            <w:right w:val="none" w:sz="0" w:space="0" w:color="auto"/>
          </w:divBdr>
        </w:div>
      </w:divsChild>
    </w:div>
    <w:div w:id="1328941760">
      <w:bodyDiv w:val="1"/>
      <w:marLeft w:val="0"/>
      <w:marRight w:val="0"/>
      <w:marTop w:val="0"/>
      <w:marBottom w:val="0"/>
      <w:divBdr>
        <w:top w:val="none" w:sz="0" w:space="0" w:color="auto"/>
        <w:left w:val="none" w:sz="0" w:space="0" w:color="auto"/>
        <w:bottom w:val="none" w:sz="0" w:space="0" w:color="auto"/>
        <w:right w:val="none" w:sz="0" w:space="0" w:color="auto"/>
      </w:divBdr>
      <w:divsChild>
        <w:div w:id="160976780">
          <w:marLeft w:val="480"/>
          <w:marRight w:val="0"/>
          <w:marTop w:val="0"/>
          <w:marBottom w:val="0"/>
          <w:divBdr>
            <w:top w:val="none" w:sz="0" w:space="0" w:color="auto"/>
            <w:left w:val="none" w:sz="0" w:space="0" w:color="auto"/>
            <w:bottom w:val="none" w:sz="0" w:space="0" w:color="auto"/>
            <w:right w:val="none" w:sz="0" w:space="0" w:color="auto"/>
          </w:divBdr>
        </w:div>
      </w:divsChild>
    </w:div>
    <w:div w:id="1788891414">
      <w:bodyDiv w:val="1"/>
      <w:marLeft w:val="0"/>
      <w:marRight w:val="0"/>
      <w:marTop w:val="0"/>
      <w:marBottom w:val="0"/>
      <w:divBdr>
        <w:top w:val="none" w:sz="0" w:space="0" w:color="auto"/>
        <w:left w:val="none" w:sz="0" w:space="0" w:color="auto"/>
        <w:bottom w:val="none" w:sz="0" w:space="0" w:color="auto"/>
        <w:right w:val="none" w:sz="0" w:space="0" w:color="auto"/>
      </w:divBdr>
      <w:divsChild>
        <w:div w:id="311179224">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32406647-D9F6-4849-86A7-05E0BD7A5275}"/>
      </w:docPartPr>
      <w:docPartBody>
        <w:p w:rsidR="00D95D42" w:rsidRDefault="00D119D6">
          <w:r w:rsidRPr="002C5E64">
            <w:rPr>
              <w:rStyle w:val="Textodelmarcadordeposicin"/>
            </w:rPr>
            <w:t>Haga clic o pulse aquí para escribir texto.</w:t>
          </w:r>
        </w:p>
      </w:docPartBody>
    </w:docPart>
    <w:docPart>
      <w:docPartPr>
        <w:name w:val="4EFC7EBEF210484BBB2381EFA1D30488"/>
        <w:category>
          <w:name w:val="General"/>
          <w:gallery w:val="placeholder"/>
        </w:category>
        <w:types>
          <w:type w:val="bbPlcHdr"/>
        </w:types>
        <w:behaviors>
          <w:behavior w:val="content"/>
        </w:behaviors>
        <w:guid w:val="{6EA522FF-4576-4100-B079-F12C87C785B7}"/>
      </w:docPartPr>
      <w:docPartBody>
        <w:p w:rsidR="00D95D42" w:rsidRDefault="00D119D6" w:rsidP="00D119D6">
          <w:pPr>
            <w:pStyle w:val="4EFC7EBEF210484BBB2381EFA1D30488"/>
          </w:pPr>
          <w:r w:rsidRPr="002C5E64">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9D6"/>
    <w:rsid w:val="009056B8"/>
    <w:rsid w:val="00C97997"/>
    <w:rsid w:val="00D119D6"/>
    <w:rsid w:val="00D95D42"/>
    <w:rsid w:val="00DA18E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119D6"/>
    <w:rPr>
      <w:color w:val="808080"/>
    </w:rPr>
  </w:style>
  <w:style w:type="paragraph" w:customStyle="1" w:styleId="4EFC7EBEF210484BBB2381EFA1D30488">
    <w:name w:val="4EFC7EBEF210484BBB2381EFA1D30488"/>
    <w:rsid w:val="00D119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5BF76C7-0DB6-43C5-8B01-351AB08672D4}">
  <we:reference id="wa104382081" version="1.55.1.0" store="es-ES" storeType="OMEX"/>
  <we:alternateReferences>
    <we:reference id="WA104382081" version="1.55.1.0" store="WA104382081" storeType="OMEX"/>
  </we:alternateReferences>
  <we:properties>
    <we:property name="MENDELEY_CITATIONS_STYLE" value="{&quot;id&quot;:&quot;https://www.zotero.org/styles/vancouver&quot;,&quot;title&quot;:&quot;Vancouver&quot;,&quot;format&quot;:&quot;numeric&quot;,&quot;defaultLocale&quot;:null,&quot;isLocaleCodeValid&quot;:true}"/>
    <we:property name="MENDELEY_CITATIONS" value="[{&quot;citationID&quot;:&quot;MENDELEY_CITATION_00543efe-9a34-44cc-85ea-133c98cdc3db&quot;,&quot;properties&quot;:{&quot;noteIndex&quot;:0},&quot;isEdited&quot;:false,&quot;manualOverride&quot;:{&quot;isManuallyOverridden&quot;:false,&quot;citeprocText&quot;:&quot;(1)&quot;,&quot;manualOverrideText&quot;:&quot;&quot;},&quot;citationTag&quot;:&quot;MENDELEY_CITATION_v3_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&quot;,&quot;citationItems&quot;:[{&quot;id&quot;:&quot;7353ac8d-65f9-3fb5-882a-1e9b471f8b6b&quot;,&quot;itemData&quot;:{&quot;type&quot;:&quot;article-journal&quot;,&quot;id&quot;:&quot;7353ac8d-65f9-3fb5-882a-1e9b471f8b6b&quot;,&quot;title&quot;:&quot;In Vivo 3D Digital Atlas Database of the Adult C57BL/6J Mouse Brain by Magnetic Resonance Microscopy.&quot;,&quot;author&quot;:[{&quot;family&quot;:&quot;Ma&quot;,&quot;given&quot;:&quot;Yu&quot;,&quot;parse-names&quot;:false,&quot;dropping-particle&quot;:&quot;&quot;,&quot;non-dropping-particle&quot;:&quot;&quot;},{&quot;family&quot;:&quot;Smith&quot;,&quot;given&quot;:&quot;David&quot;,&quot;parse-names&quot;:false,&quot;dropping-particle&quot;:&quot;&quot;,&quot;non-dropping-particle&quot;:&quot;&quot;},{&quot;family&quot;:&quot;Hof&quot;,&quot;given&quot;:&quot;Patrick R&quot;,&quot;parse-names&quot;:false,&quot;dropping-particle&quot;:&quot;&quot;,&quot;non-dropping-particle&quot;:&quot;&quot;},{&quot;family&quot;:&quot;Foerster&quot;,&quot;given&quot;:&quot;Bernd&quot;,&quot;parse-names&quot;:false,&quot;dropping-particle&quot;:&quot;&quot;,&quot;non-dropping-particle&quot;:&quot;&quot;},{&quot;family&quot;:&quot;Hamilton&quot;,&quot;given&quot;:&quot;Scott&quot;,&quot;parse-names&quot;:false,&quot;dropping-particle&quot;:&quot;&quot;,&quot;non-dropping-particle&quot;:&quot;&quot;},{&quot;family&quot;:&quot;Blackband&quot;,&quot;given&quot;:&quot;Stephen J&quot;,&quot;parse-names&quot;:false,&quot;dropping-particle&quot;:&quot;&quot;,&quot;non-dropping-particle&quot;:&quot;&quot;},{&quot;family&quot;:&quot;Yu&quot;,&quot;given&quot;:&quot;Mei&quot;,&quot;parse-names&quot;:false,&quot;dropping-particle&quot;:&quot;&quot;,&quot;non-dropping-particle&quot;:&quot;&quot;},{&quot;family&quot;:&quot;Benveniste&quot;,&quot;given&quot;:&quot;Helene&quot;,&quot;parse-names&quot;:false,&quot;dropping-particle&quot;:&quot;&quot;,&quot;non-dropping-particle&quot;:&quot;&quot;}],&quot;container-title&quot;:&quot;Frontiers in neuroanatomy&quot;,&quot;container-title-short&quot;:&quot;Front Neuroanat&quot;,&quot;DOI&quot;:&quot;10.3389/neuro.05.001.2008&quot;,&quot;ISSN&quot;:&quot;1662-5129&quot;,&quot;PMID&quot;:&quot;18958199&quot;,&quot;issued&quot;:{&quot;date-parts&quot;:[[2008]]},&quot;page&quot;:&quot;1&quot;,&quot;abstract&quot;:&quot;In this study, a 3D digital atlas of the live mouse brain based on magnetic resonance microscopy (MRM) is presented. C57BL/6J adult mouse brains were imaged in vivo on a 9.4 Tesla MR instrument at an isotropic spatial resolution of 100 mum. With sufficient signal-to-noise (SNR) and contrast-to-noise ratio (CNR), 20 brain regions were identified. Several atlases were constructed including 12 individual brain atlases, an average atlas, a probabilistic atlas and average geometrical deformation maps. We also investigated the feasibility of using lower spatial resolution images to improve time efficiency for future morphological phenotyping. All of the new in vivo data were compared to previous published in vitro C57BL/6J mouse brain atlases and the morphological differences were characterized. Our analyses revealed significant volumetric as well as unexpected geometrical differences between the in vivo and in vitro brain groups which in some instances were predictable (e.g. collapsed and smaller ventricles in vitro) but not in other instances. Based on these findings we conclude that although in vitro datasets, compared to in vivo images, offer higher spatial resolutions, superior SNR and CNR, leading to improved image segmentation, in vivo atlases are likely to be an overall better geometric match for in vivo studies, which are necessary for longitudinal examinations of the same animals and for functional brain activation studies. Thus the new in vivo mouse brain atlas dataset presented here is a valuable complement to the current mouse brain atlas collection and will be accessible to the neuroscience community on our public domain mouse brain atlas website.&quot;,&quot;volume&quot;:&quot;2&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D1B3FD-5C3B-45B2-B74F-B76ACC023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543</Words>
  <Characters>2988</Characters>
  <Application>Microsoft Office Word</Application>
  <DocSecurity>0</DocSecurity>
  <Lines>24</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Marisol Aymerich Soler</dc:creator>
  <cp:keywords/>
  <dc:description/>
  <cp:lastModifiedBy>Marisol Aymerich Soler</cp:lastModifiedBy>
  <cp:revision>7</cp:revision>
  <dcterms:created xsi:type="dcterms:W3CDTF">2024-07-15T10:24:00Z</dcterms:created>
  <dcterms:modified xsi:type="dcterms:W3CDTF">2024-07-15T11:34:00Z</dcterms:modified>
</cp:coreProperties>
</file>