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1CD02" w14:textId="77777777" w:rsidR="00342380" w:rsidRDefault="003F0B9F" w:rsidP="00342380">
      <w:pPr>
        <w:jc w:val="center"/>
        <w:rPr>
          <w:rFonts w:ascii="Times New Roman" w:hAnsi="Times New Roman" w:cs="Times New Roman"/>
          <w:sz w:val="28"/>
          <w:szCs w:val="28"/>
        </w:rPr>
      </w:pPr>
      <w:r w:rsidRPr="00F77257">
        <w:rPr>
          <w:rFonts w:ascii="Times New Roman" w:hAnsi="Times New Roman" w:cs="Times New Roman"/>
          <w:sz w:val="24"/>
          <w:szCs w:val="24"/>
        </w:rPr>
        <w:t xml:space="preserve">Supplementary </w:t>
      </w:r>
      <w:r w:rsidR="00F77257" w:rsidRPr="00F77257">
        <w:rPr>
          <w:rFonts w:ascii="Times New Roman" w:hAnsi="Times New Roman" w:cs="Times New Roman"/>
          <w:sz w:val="24"/>
          <w:szCs w:val="24"/>
        </w:rPr>
        <w:t xml:space="preserve">Note for: </w:t>
      </w:r>
    </w:p>
    <w:p w14:paraId="44F21F96" w14:textId="77777777" w:rsidR="00254D3F" w:rsidRDefault="00254D3F" w:rsidP="00254D3F">
      <w:pPr>
        <w:jc w:val="center"/>
        <w:rPr>
          <w:rFonts w:ascii="Times New Roman" w:hAnsi="Times New Roman" w:cs="Times New Roman"/>
          <w:sz w:val="28"/>
          <w:szCs w:val="28"/>
        </w:rPr>
      </w:pPr>
      <w:r>
        <w:rPr>
          <w:rFonts w:ascii="Times New Roman" w:hAnsi="Times New Roman" w:cs="Times New Roman"/>
          <w:sz w:val="28"/>
          <w:szCs w:val="28"/>
        </w:rPr>
        <w:t xml:space="preserve">Genetic architecture of smoking: Evidence for rare variant contribution from </w:t>
      </w:r>
      <w:r w:rsidRPr="005B2DEE">
        <w:rPr>
          <w:rFonts w:ascii="Times New Roman" w:hAnsi="Times New Roman" w:cs="Times New Roman"/>
          <w:sz w:val="28"/>
          <w:szCs w:val="28"/>
        </w:rPr>
        <w:t>deep whole-genome sequencing of up to 26,000 individuals</w:t>
      </w:r>
    </w:p>
    <w:p w14:paraId="3EFF8B22" w14:textId="77777777" w:rsidR="00F77257" w:rsidRDefault="00F77257" w:rsidP="00342380">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60BC501B" w14:textId="30B5C179" w:rsidR="007100C4" w:rsidRDefault="00F80C3F" w:rsidP="00DA4F23">
      <w:pPr>
        <w:spacing w:line="480" w:lineRule="auto"/>
        <w:rPr>
          <w:rFonts w:ascii="Times New Roman" w:hAnsi="Times New Roman" w:cs="Times New Roman"/>
          <w:b/>
          <w:bCs/>
        </w:rPr>
      </w:pPr>
      <w:r w:rsidRPr="00CE0FFD">
        <w:rPr>
          <w:rFonts w:ascii="Times New Roman" w:hAnsi="Times New Roman" w:cs="Times New Roman"/>
          <w:b/>
          <w:bCs/>
        </w:rPr>
        <w:lastRenderedPageBreak/>
        <w:t xml:space="preserve">1. </w:t>
      </w:r>
      <w:r w:rsidR="007100C4" w:rsidRPr="00CE0FFD">
        <w:rPr>
          <w:rFonts w:ascii="Times New Roman" w:hAnsi="Times New Roman" w:cs="Times New Roman"/>
          <w:b/>
          <w:bCs/>
        </w:rPr>
        <w:t xml:space="preserve">Definition of terms </w:t>
      </w:r>
    </w:p>
    <w:p w14:paraId="05C69D10" w14:textId="5B2D437F" w:rsidR="007100C4" w:rsidRDefault="00E7028B" w:rsidP="00DA4F23">
      <w:pPr>
        <w:spacing w:line="480" w:lineRule="auto"/>
        <w:rPr>
          <w:rFonts w:ascii="Times New Roman" w:hAnsi="Times New Roman" w:cs="Times New Roman"/>
        </w:rPr>
      </w:pP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SNP</m:t>
            </m:r>
          </m:sub>
        </m:sSub>
      </m:oMath>
      <w:r w:rsidR="007100C4">
        <w:rPr>
          <w:rFonts w:ascii="Times New Roman" w:hAnsi="Times New Roman" w:cs="Times New Roman"/>
        </w:rPr>
        <w:t>:  a general term referring to SNP-based narrow-sense</w:t>
      </w:r>
      <w:r w:rsidR="00F80C3F">
        <w:rPr>
          <w:rFonts w:ascii="Times New Roman" w:hAnsi="Times New Roman" w:cs="Times New Roman"/>
        </w:rPr>
        <w:t xml:space="preserve"> heritability</w:t>
      </w:r>
      <w:r w:rsidR="007100C4">
        <w:rPr>
          <w:rFonts w:ascii="Times New Roman" w:hAnsi="Times New Roman" w:cs="Times New Roman"/>
        </w:rPr>
        <w:t xml:space="preserve"> estimate</w:t>
      </w:r>
      <w:r w:rsidR="00012390">
        <w:rPr>
          <w:rFonts w:ascii="Times New Roman" w:hAnsi="Times New Roman" w:cs="Times New Roman"/>
        </w:rPr>
        <w:t xml:space="preserve">. </w:t>
      </w:r>
    </w:p>
    <w:p w14:paraId="10454528" w14:textId="2D42DF27" w:rsidR="002875C4" w:rsidRPr="00CE0FFD" w:rsidRDefault="00E7028B" w:rsidP="00DA4F23">
      <w:pPr>
        <w:spacing w:line="480" w:lineRule="auto"/>
        <w:rPr>
          <w:rFonts w:ascii="Times New Roman" w:hAnsi="Times New Roman" w:cs="Times New Roman"/>
        </w:rPr>
      </w:pP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WGS</m:t>
            </m:r>
          </m:sub>
        </m:sSub>
      </m:oMath>
      <w:r w:rsidR="002875C4">
        <w:rPr>
          <w:rFonts w:ascii="Times New Roman" w:hAnsi="Times New Roman" w:cs="Times New Roman"/>
        </w:rPr>
        <w:t xml:space="preserve">: </w:t>
      </w:r>
      <w:r w:rsidR="002875C4" w:rsidRPr="002875C4">
        <w:rPr>
          <w:rFonts w:ascii="Times New Roman" w:hAnsi="Times New Roman" w:cs="Times New Roman"/>
        </w:rPr>
        <w:t xml:space="preserve"> </w:t>
      </w:r>
      <w:r w:rsidR="00597F02">
        <w:rPr>
          <w:rFonts w:ascii="Times New Roman" w:hAnsi="Times New Roman" w:cs="Times New Roman"/>
        </w:rPr>
        <w:t xml:space="preserve">a narrow-sense heritability estimate </w:t>
      </w:r>
      <w:r w:rsidR="002875C4">
        <w:rPr>
          <w:rFonts w:ascii="Times New Roman" w:hAnsi="Times New Roman" w:cs="Times New Roman"/>
        </w:rPr>
        <w:t>combined across all LDMS bins in current WGS study</w:t>
      </w:r>
      <w:r w:rsidR="00597F02">
        <w:rPr>
          <w:rFonts w:ascii="Times New Roman" w:hAnsi="Times New Roman" w:cs="Times New Roman"/>
        </w:rPr>
        <w:t>.</w:t>
      </w:r>
      <w:r w:rsidR="002875C4">
        <w:rPr>
          <w:rFonts w:ascii="Times New Roman" w:hAnsi="Times New Roman" w:cs="Times New Roman"/>
        </w:rPr>
        <w:t xml:space="preserve"> </w:t>
      </w:r>
    </w:p>
    <w:p w14:paraId="0213C75D" w14:textId="4DE4EEF8" w:rsidR="00AD1680" w:rsidRDefault="00E7028B" w:rsidP="00DA4F23">
      <w:pPr>
        <w:spacing w:line="480" w:lineRule="auto"/>
        <w:rPr>
          <w:rFonts w:ascii="Times New Roman" w:hAnsi="Times New Roman" w:cs="Times New Roman"/>
        </w:rPr>
      </w:pP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common</m:t>
            </m:r>
          </m:sub>
        </m:sSub>
      </m:oMath>
      <w:r w:rsidR="007100C4">
        <w:rPr>
          <w:rFonts w:ascii="Times New Roman" w:hAnsi="Times New Roman" w:cs="Times New Roman"/>
        </w:rPr>
        <w:t xml:space="preserve">: </w:t>
      </w:r>
      <w:r w:rsidR="00597F02">
        <w:rPr>
          <w:rFonts w:ascii="Times New Roman" w:hAnsi="Times New Roman" w:cs="Times New Roman"/>
        </w:rPr>
        <w:t xml:space="preserve">a narrow-sense heritability estimate </w:t>
      </w:r>
      <w:r w:rsidR="007100C4">
        <w:rPr>
          <w:rFonts w:ascii="Times New Roman" w:hAnsi="Times New Roman" w:cs="Times New Roman"/>
        </w:rPr>
        <w:t xml:space="preserve">attributable to common </w:t>
      </w:r>
      <w:r w:rsidR="00597F02">
        <w:rPr>
          <w:rFonts w:ascii="Times New Roman" w:hAnsi="Times New Roman" w:cs="Times New Roman"/>
        </w:rPr>
        <w:t>variants in cur</w:t>
      </w:r>
      <w:r w:rsidR="00F80C3F">
        <w:rPr>
          <w:rFonts w:ascii="Times New Roman" w:hAnsi="Times New Roman" w:cs="Times New Roman"/>
        </w:rPr>
        <w:t>rent</w:t>
      </w:r>
      <w:r w:rsidR="00081A4A">
        <w:rPr>
          <w:rFonts w:ascii="Times New Roman" w:hAnsi="Times New Roman" w:cs="Times New Roman"/>
        </w:rPr>
        <w:t xml:space="preserve"> WGS</w:t>
      </w:r>
      <w:r w:rsidR="00F80C3F">
        <w:rPr>
          <w:rFonts w:ascii="Times New Roman" w:hAnsi="Times New Roman" w:cs="Times New Roman"/>
        </w:rPr>
        <w:t xml:space="preserve"> study</w:t>
      </w:r>
      <w:r w:rsidR="007100C4">
        <w:rPr>
          <w:rFonts w:ascii="Times New Roman" w:hAnsi="Times New Roman" w:cs="Times New Roman"/>
        </w:rPr>
        <w:t xml:space="preserve">. This was obtained by summing up </w:t>
      </w:r>
      <w:r w:rsidR="00597F02">
        <w:rPr>
          <w:rFonts w:ascii="Times New Roman" w:hAnsi="Times New Roman" w:cs="Times New Roman"/>
        </w:rPr>
        <w:t>e</w:t>
      </w:r>
      <w:r w:rsidR="007100C4">
        <w:rPr>
          <w:rFonts w:ascii="Times New Roman" w:hAnsi="Times New Roman" w:cs="Times New Roman"/>
        </w:rPr>
        <w:t>stimates for four common variants bins (MAF(.01, .5]</w:t>
      </w:r>
      <w:r w:rsidR="00597F02">
        <w:rPr>
          <w:rFonts w:ascii="Times New Roman" w:hAnsi="Times New Roman" w:cs="Times New Roman"/>
        </w:rPr>
        <w:t xml:space="preserve"> including high and low LD bins</w:t>
      </w:r>
      <w:r w:rsidR="007100C4">
        <w:rPr>
          <w:rFonts w:ascii="Times New Roman" w:hAnsi="Times New Roman" w:cs="Times New Roman"/>
        </w:rPr>
        <w:t>)</w:t>
      </w:r>
      <w:r w:rsidR="00AD1680">
        <w:rPr>
          <w:rFonts w:ascii="Times New Roman" w:hAnsi="Times New Roman" w:cs="Times New Roman"/>
        </w:rPr>
        <w:t>.</w:t>
      </w:r>
    </w:p>
    <w:p w14:paraId="0FE24690" w14:textId="6543779F" w:rsidR="00597F02" w:rsidRDefault="00E7028B" w:rsidP="00DA4F23">
      <w:pPr>
        <w:spacing w:line="480" w:lineRule="auto"/>
        <w:rPr>
          <w:rFonts w:ascii="Times New Roman" w:hAnsi="Times New Roman" w:cs="Times New Roman"/>
        </w:rPr>
      </w:pP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rare</m:t>
            </m:r>
          </m:sub>
        </m:sSub>
      </m:oMath>
      <w:r w:rsidR="007100C4">
        <w:rPr>
          <w:rFonts w:ascii="Times New Roman" w:hAnsi="Times New Roman" w:cs="Times New Roman"/>
        </w:rPr>
        <w:t xml:space="preserve">: </w:t>
      </w:r>
      <w:r w:rsidR="00597F02">
        <w:rPr>
          <w:rFonts w:ascii="Times New Roman" w:hAnsi="Times New Roman" w:cs="Times New Roman"/>
        </w:rPr>
        <w:t>a narrow-sense heritability estimate attributable to rare variants in current</w:t>
      </w:r>
      <w:r w:rsidR="00AD1680">
        <w:rPr>
          <w:rFonts w:ascii="Times New Roman" w:hAnsi="Times New Roman" w:cs="Times New Roman"/>
        </w:rPr>
        <w:t xml:space="preserve"> WGS</w:t>
      </w:r>
      <w:r w:rsidR="00597F02">
        <w:rPr>
          <w:rFonts w:ascii="Times New Roman" w:hAnsi="Times New Roman" w:cs="Times New Roman"/>
        </w:rPr>
        <w:t xml:space="preserve"> study. This was obtained by summing up estimates for all rare variants bins (MAF(.0001, .01])</w:t>
      </w:r>
      <w:r w:rsidR="00AD1680">
        <w:rPr>
          <w:rFonts w:ascii="Times New Roman" w:hAnsi="Times New Roman" w:cs="Times New Roman"/>
        </w:rPr>
        <w:t>.</w:t>
      </w:r>
      <w:r w:rsidR="00597F02">
        <w:rPr>
          <w:rFonts w:ascii="Times New Roman" w:hAnsi="Times New Roman" w:cs="Times New Roman"/>
        </w:rPr>
        <w:t xml:space="preserve"> </w:t>
      </w:r>
    </w:p>
    <w:p w14:paraId="42398EB4" w14:textId="155CCB3B" w:rsidR="007100C4" w:rsidRDefault="00E7028B" w:rsidP="00DA4F23">
      <w:pPr>
        <w:spacing w:line="480" w:lineRule="auto"/>
        <w:rPr>
          <w:rFonts w:ascii="Times New Roman" w:hAnsi="Times New Roman" w:cs="Times New Roman"/>
        </w:rPr>
      </w:pP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ped</m:t>
            </m:r>
          </m:sub>
        </m:sSub>
      </m:oMath>
      <w:r w:rsidR="007100C4">
        <w:rPr>
          <w:rFonts w:ascii="Times New Roman" w:hAnsi="Times New Roman" w:cs="Times New Roman"/>
        </w:rPr>
        <w:t>: a</w:t>
      </w:r>
      <w:r w:rsidR="00597F02">
        <w:rPr>
          <w:rFonts w:ascii="Times New Roman" w:hAnsi="Times New Roman" w:cs="Times New Roman"/>
        </w:rPr>
        <w:t xml:space="preserve"> </w:t>
      </w:r>
      <w:r w:rsidR="007100C4">
        <w:rPr>
          <w:rFonts w:ascii="Times New Roman" w:hAnsi="Times New Roman" w:cs="Times New Roman"/>
        </w:rPr>
        <w:t xml:space="preserve">narrow-sense heritability </w:t>
      </w:r>
      <w:r w:rsidR="00597F02">
        <w:rPr>
          <w:rFonts w:ascii="Times New Roman" w:hAnsi="Times New Roman" w:cs="Times New Roman"/>
        </w:rPr>
        <w:t xml:space="preserve">estimate </w:t>
      </w:r>
      <w:r w:rsidR="007100C4">
        <w:rPr>
          <w:rFonts w:ascii="Times New Roman" w:hAnsi="Times New Roman" w:cs="Times New Roman"/>
        </w:rPr>
        <w:t xml:space="preserve">based on </w:t>
      </w:r>
      <w:r w:rsidR="00597F02">
        <w:rPr>
          <w:rFonts w:ascii="Times New Roman" w:hAnsi="Times New Roman" w:cs="Times New Roman"/>
        </w:rPr>
        <w:t>both</w:t>
      </w:r>
      <w:r w:rsidR="007100C4">
        <w:rPr>
          <w:rFonts w:ascii="Times New Roman" w:hAnsi="Times New Roman" w:cs="Times New Roman"/>
        </w:rPr>
        <w:t xml:space="preserve"> close relatives</w:t>
      </w:r>
      <w:r w:rsidR="00597F02">
        <w:rPr>
          <w:rFonts w:ascii="Times New Roman" w:hAnsi="Times New Roman" w:cs="Times New Roman"/>
        </w:rPr>
        <w:t xml:space="preserve"> and unrelated individuals</w:t>
      </w:r>
      <w:r w:rsidR="0053052E">
        <w:rPr>
          <w:rFonts w:ascii="Times New Roman" w:hAnsi="Times New Roman" w:cs="Times New Roman"/>
        </w:rPr>
        <w:t xml:space="preserve"> in </w:t>
      </w:r>
      <w:proofErr w:type="spellStart"/>
      <w:r w:rsidR="00AD1680">
        <w:rPr>
          <w:rFonts w:ascii="Times New Roman" w:hAnsi="Times New Roman" w:cs="Times New Roman"/>
        </w:rPr>
        <w:t>TOPMed</w:t>
      </w:r>
      <w:proofErr w:type="spellEnd"/>
      <w:r w:rsidR="00AD1680">
        <w:rPr>
          <w:rFonts w:ascii="Times New Roman" w:hAnsi="Times New Roman" w:cs="Times New Roman"/>
        </w:rPr>
        <w:t xml:space="preserve"> sample. This provides an upper-bound for </w:t>
      </w:r>
      <w:r w:rsidR="007100C4">
        <w:rPr>
          <w:rFonts w:ascii="Times New Roman" w:hAnsi="Times New Roman" w:cs="Times New Roman"/>
        </w:rPr>
        <w:t xml:space="preserve"> </w:t>
      </w: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WGS</m:t>
            </m:r>
          </m:sub>
        </m:sSub>
      </m:oMath>
      <w:r w:rsidR="00AD1680">
        <w:rPr>
          <w:rFonts w:ascii="Times New Roman" w:hAnsi="Times New Roman" w:cs="Times New Roman"/>
        </w:rPr>
        <w:t>.</w:t>
      </w:r>
    </w:p>
    <w:p w14:paraId="16E6E5C6" w14:textId="0705DEEF" w:rsidR="00597F02" w:rsidRDefault="00E7028B" w:rsidP="00DA4F23">
      <w:pPr>
        <w:spacing w:line="480" w:lineRule="auto"/>
        <w:rPr>
          <w:rFonts w:ascii="Times New Roman" w:hAnsi="Times New Roman" w:cs="Times New Roman"/>
        </w:rPr>
      </w:pP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null</m:t>
            </m:r>
          </m:sub>
        </m:sSub>
      </m:oMath>
      <w:r w:rsidR="00597F02">
        <w:rPr>
          <w:rFonts w:ascii="Times New Roman" w:hAnsi="Times New Roman" w:cs="Times New Roman"/>
        </w:rPr>
        <w:t>:</w:t>
      </w:r>
      <w:r w:rsidR="00AD1680">
        <w:rPr>
          <w:rFonts w:ascii="Times New Roman" w:hAnsi="Times New Roman" w:cs="Times New Roman"/>
        </w:rPr>
        <w:t xml:space="preserve"> a mean of heritability estimates from permutation trials. A value larger than zero indicates that </w:t>
      </w:r>
      <m:oMath>
        <m:sSub>
          <m:sSubPr>
            <m:ctrlPr>
              <w:rPr>
                <w:rFonts w:ascii="Cambria Math" w:hAnsi="Cambria Math" w:cs="Times New Roman"/>
                <w:i/>
              </w:rPr>
            </m:ctrlPr>
          </m:sSubPr>
          <m:e>
            <m:sSup>
              <m:sSupPr>
                <m:ctrlPr>
                  <w:rPr>
                    <w:rFonts w:ascii="Cambria Math" w:hAnsi="Cambria Math" w:cs="Times New Roman"/>
                  </w:rPr>
                </m:ctrlPr>
              </m:sSupPr>
              <m:e>
                <m:acc>
                  <m:accPr>
                    <m:ctrlPr>
                      <w:rPr>
                        <w:rFonts w:ascii="Cambria Math" w:hAnsi="Cambria Math" w:cs="Times New Roman"/>
                        <w:i/>
                      </w:rPr>
                    </m:ctrlPr>
                  </m:accPr>
                  <m:e>
                    <m:r>
                      <w:rPr>
                        <w:rFonts w:ascii="Cambria Math" w:hAnsi="Cambria Math" w:cs="Times New Roman"/>
                      </w:rPr>
                      <m:t>h</m:t>
                    </m:r>
                  </m:e>
                </m:acc>
              </m:e>
              <m:sup>
                <m:r>
                  <w:rPr>
                    <w:rFonts w:ascii="Cambria Math" w:hAnsi="Cambria Math" w:cs="Times New Roman"/>
                  </w:rPr>
                  <m:t>2</m:t>
                </m:r>
              </m:sup>
            </m:sSup>
          </m:e>
          <m:sub>
            <m:r>
              <m:rPr>
                <m:sty m:val="p"/>
              </m:rPr>
              <w:rPr>
                <w:rFonts w:ascii="Cambria Math" w:hAnsi="Cambria Math" w:cs="Times New Roman"/>
              </w:rPr>
              <m:t>WGS</m:t>
            </m:r>
          </m:sub>
        </m:sSub>
      </m:oMath>
      <w:r w:rsidR="00AD1680">
        <w:rPr>
          <w:rFonts w:ascii="Times New Roman" w:hAnsi="Times New Roman" w:cs="Times New Roman"/>
        </w:rPr>
        <w:t xml:space="preserve"> might be inflated due to confounding by population stratification.</w:t>
      </w:r>
    </w:p>
    <w:p w14:paraId="44AD1527" w14:textId="77777777" w:rsidR="001E1211" w:rsidRPr="00A1225B" w:rsidRDefault="001E1211" w:rsidP="001E1211">
      <w:pPr>
        <w:spacing w:line="480" w:lineRule="auto"/>
        <w:rPr>
          <w:rFonts w:ascii="Times New Roman" w:hAnsi="Times New Roman" w:cs="Times New Roman"/>
          <w:b/>
          <w:bCs/>
        </w:rPr>
      </w:pPr>
    </w:p>
    <w:p w14:paraId="0CB03A9F" w14:textId="77777777" w:rsidR="001E1211" w:rsidRPr="00456A71" w:rsidRDefault="001E1211" w:rsidP="001E1211">
      <w:pPr>
        <w:spacing w:line="480" w:lineRule="auto"/>
        <w:rPr>
          <w:rFonts w:ascii="Times New Roman" w:hAnsi="Times New Roman" w:cs="Times New Roman"/>
          <w:b/>
          <w:bCs/>
        </w:rPr>
      </w:pPr>
    </w:p>
    <w:p w14:paraId="73027723" w14:textId="77777777" w:rsidR="001E1211" w:rsidRPr="001E1211" w:rsidRDefault="001E1211" w:rsidP="001E1211">
      <w:pPr>
        <w:spacing w:line="480" w:lineRule="auto"/>
        <w:rPr>
          <w:rFonts w:ascii="Times New Roman" w:hAnsi="Times New Roman" w:cs="Times New Roman"/>
        </w:rPr>
      </w:pPr>
    </w:p>
    <w:p w14:paraId="5310993B" w14:textId="0570C6B6" w:rsidR="001E1211" w:rsidRDefault="001E1211">
      <w:pPr>
        <w:rPr>
          <w:rFonts w:ascii="Times New Roman" w:hAnsi="Times New Roman" w:cs="Times New Roman"/>
          <w:sz w:val="24"/>
          <w:szCs w:val="24"/>
        </w:rPr>
      </w:pPr>
      <w:r>
        <w:rPr>
          <w:rFonts w:ascii="Times New Roman" w:hAnsi="Times New Roman" w:cs="Times New Roman"/>
          <w:sz w:val="24"/>
          <w:szCs w:val="24"/>
        </w:rPr>
        <w:br w:type="page"/>
      </w:r>
    </w:p>
    <w:p w14:paraId="371AE1DC" w14:textId="5D477519" w:rsidR="003F0B9F" w:rsidRPr="00F77257" w:rsidRDefault="005C5B4B" w:rsidP="00190982">
      <w:pPr>
        <w:spacing w:line="480" w:lineRule="auto"/>
        <w:rPr>
          <w:rFonts w:ascii="Times New Roman" w:hAnsi="Times New Roman" w:cs="Times New Roman"/>
          <w:b/>
          <w:bCs/>
        </w:rPr>
      </w:pPr>
      <w:r>
        <w:rPr>
          <w:rFonts w:ascii="Times New Roman" w:hAnsi="Times New Roman" w:cs="Times New Roman"/>
          <w:b/>
          <w:bCs/>
          <w:sz w:val="24"/>
          <w:szCs w:val="24"/>
        </w:rPr>
        <w:lastRenderedPageBreak/>
        <w:t>2</w:t>
      </w:r>
      <w:r w:rsidR="00F77257" w:rsidRPr="00F77257">
        <w:rPr>
          <w:rFonts w:ascii="Times New Roman" w:hAnsi="Times New Roman" w:cs="Times New Roman"/>
          <w:b/>
          <w:bCs/>
          <w:sz w:val="24"/>
          <w:szCs w:val="24"/>
        </w:rPr>
        <w:t xml:space="preserve">. </w:t>
      </w:r>
      <w:r>
        <w:rPr>
          <w:rFonts w:ascii="Times New Roman" w:hAnsi="Times New Roman" w:cs="Times New Roman"/>
          <w:b/>
          <w:bCs/>
          <w:sz w:val="24"/>
          <w:szCs w:val="24"/>
        </w:rPr>
        <w:t xml:space="preserve">GREML-LDMS-I </w:t>
      </w:r>
      <w:r w:rsidR="00CE0FFD">
        <w:rPr>
          <w:rFonts w:ascii="Times New Roman" w:hAnsi="Times New Roman" w:cs="Times New Roman"/>
          <w:b/>
          <w:bCs/>
          <w:sz w:val="24"/>
          <w:szCs w:val="24"/>
        </w:rPr>
        <w:t>analysis</w:t>
      </w:r>
    </w:p>
    <w:p w14:paraId="54294CF5" w14:textId="009EAB8C" w:rsidR="005C5B4B" w:rsidRPr="00CE0FFD" w:rsidRDefault="005C5B4B" w:rsidP="006B4076">
      <w:pPr>
        <w:spacing w:line="480" w:lineRule="auto"/>
        <w:rPr>
          <w:rFonts w:ascii="Times New Roman" w:hAnsi="Times New Roman" w:cs="Times New Roman"/>
          <w:i/>
          <w:iCs/>
        </w:rPr>
      </w:pPr>
      <w:r w:rsidRPr="00CE0FFD">
        <w:rPr>
          <w:rFonts w:ascii="Times New Roman" w:hAnsi="Times New Roman" w:cs="Times New Roman"/>
          <w:i/>
          <w:iCs/>
        </w:rPr>
        <w:t>Sample selection</w:t>
      </w:r>
    </w:p>
    <w:p w14:paraId="3FE57EF9" w14:textId="15D04EAF" w:rsidR="00E05424" w:rsidRDefault="00B716C5" w:rsidP="00CE0FFD">
      <w:pPr>
        <w:spacing w:line="480" w:lineRule="auto"/>
        <w:ind w:firstLine="720"/>
        <w:rPr>
          <w:rFonts w:ascii="Times New Roman" w:hAnsi="Times New Roman" w:cs="Times New Roman"/>
        </w:rPr>
      </w:pPr>
      <w:r>
        <w:rPr>
          <w:rFonts w:ascii="Times New Roman" w:hAnsi="Times New Roman" w:cs="Times New Roman"/>
        </w:rPr>
        <w:t>To select</w:t>
      </w:r>
      <w:r w:rsidR="00CE0FFD">
        <w:rPr>
          <w:rFonts w:ascii="Times New Roman" w:hAnsi="Times New Roman" w:cs="Times New Roman"/>
        </w:rPr>
        <w:t xml:space="preserve"> </w:t>
      </w:r>
      <w:r w:rsidR="007466DE">
        <w:rPr>
          <w:rFonts w:ascii="Times New Roman" w:hAnsi="Times New Roman" w:cs="Times New Roman"/>
        </w:rPr>
        <w:t xml:space="preserve">the </w:t>
      </w:r>
      <w:r w:rsidR="00CE0FFD">
        <w:rPr>
          <w:rFonts w:ascii="Times New Roman" w:hAnsi="Times New Roman" w:cs="Times New Roman"/>
        </w:rPr>
        <w:t>E</w:t>
      </w:r>
      <w:r>
        <w:rPr>
          <w:rFonts w:ascii="Times New Roman" w:hAnsi="Times New Roman" w:cs="Times New Roman"/>
        </w:rPr>
        <w:t>uropean</w:t>
      </w:r>
      <w:r w:rsidR="007466DE">
        <w:rPr>
          <w:rFonts w:ascii="Times New Roman" w:hAnsi="Times New Roman" w:cs="Times New Roman"/>
        </w:rPr>
        <w:t>-ancestry</w:t>
      </w:r>
      <w:r>
        <w:rPr>
          <w:rFonts w:ascii="Times New Roman" w:hAnsi="Times New Roman" w:cs="Times New Roman"/>
        </w:rPr>
        <w:t xml:space="preserve"> sample, we </w:t>
      </w:r>
      <w:r w:rsidR="007466DE">
        <w:rPr>
          <w:rFonts w:ascii="Times New Roman" w:hAnsi="Times New Roman" w:cs="Times New Roman"/>
        </w:rPr>
        <w:t xml:space="preserve">applied two different approaches. First, we applied a </w:t>
      </w:r>
      <w:r>
        <w:rPr>
          <w:rFonts w:ascii="Times New Roman" w:hAnsi="Times New Roman" w:cs="Times New Roman"/>
        </w:rPr>
        <w:t>two-step procedure</w:t>
      </w:r>
      <w:r w:rsidR="007466DE">
        <w:rPr>
          <w:rFonts w:ascii="Times New Roman" w:hAnsi="Times New Roman" w:cs="Times New Roman"/>
        </w:rPr>
        <w:t>,</w:t>
      </w:r>
      <w:r w:rsidR="00F77257">
        <w:rPr>
          <w:rFonts w:ascii="Times New Roman" w:hAnsi="Times New Roman" w:cs="Times New Roman"/>
        </w:rPr>
        <w:t xml:space="preserve"> described below</w:t>
      </w:r>
      <w:r w:rsidR="007466DE">
        <w:rPr>
          <w:rFonts w:ascii="Times New Roman" w:hAnsi="Times New Roman" w:cs="Times New Roman"/>
        </w:rPr>
        <w:t>, and second an</w:t>
      </w:r>
      <w:r>
        <w:rPr>
          <w:rFonts w:ascii="Times New Roman" w:hAnsi="Times New Roman" w:cs="Times New Roman"/>
        </w:rPr>
        <w:t xml:space="preserve"> alternative ascertainment strategy</w:t>
      </w:r>
      <w:r>
        <w:rPr>
          <w:rFonts w:ascii="Times New Roman" w:hAnsi="Times New Roman" w:cs="Times New Roman"/>
        </w:rPr>
        <w:fldChar w:fldCharType="begin"/>
      </w:r>
      <w:r w:rsidR="00663CB8">
        <w:rPr>
          <w:rFonts w:ascii="Times New Roman" w:hAnsi="Times New Roman" w:cs="Times New Roman"/>
        </w:rPr>
        <w:instrText xml:space="preserve"> ADDIN ZOTERO_ITEM CSL_CITATION {"citationID":"e4AJ1Duq","properties":{"formattedCitation":"\\super 1\\nosupersub{}","plainCitation":"1","noteIndex":0},"citationItems":[{"id":730,"uris":["http://zotero.org/users/local/ndgvmCG4/items/4J53EM3D"],"uri":["http://zotero.org/users/local/ndgvmCG4/items/4J53EM3D"],"itemData":{"id":730,"type":"webpage","title":"Recovery of trait heritability from whole genome sequence data | bioRxiv","URL":"https://www.biorxiv.org/content/10.1101/588020v1","accessed":{"date-parts":[["2020",6,22]]}}}],"schema":"https://github.com/citation-style-language/schema/raw/master/csl-citation.json"} </w:instrText>
      </w:r>
      <w:r>
        <w:rPr>
          <w:rFonts w:ascii="Times New Roman" w:hAnsi="Times New Roman" w:cs="Times New Roman"/>
        </w:rPr>
        <w:fldChar w:fldCharType="separate"/>
      </w:r>
      <w:r w:rsidR="00663CB8" w:rsidRPr="00663CB8">
        <w:rPr>
          <w:rFonts w:ascii="Times New Roman" w:hAnsi="Times New Roman" w:cs="Times New Roman"/>
          <w:szCs w:val="24"/>
          <w:vertAlign w:val="superscript"/>
        </w:rPr>
        <w:t>1</w:t>
      </w:r>
      <w:r>
        <w:rPr>
          <w:rFonts w:ascii="Times New Roman" w:hAnsi="Times New Roman" w:cs="Times New Roman"/>
        </w:rPr>
        <w:fldChar w:fldCharType="end"/>
      </w:r>
      <w:r>
        <w:rPr>
          <w:rFonts w:ascii="Times New Roman" w:hAnsi="Times New Roman" w:cs="Times New Roman"/>
        </w:rPr>
        <w:t xml:space="preserve"> </w:t>
      </w:r>
      <w:r w:rsidR="00A5111B">
        <w:rPr>
          <w:rFonts w:ascii="Times New Roman" w:hAnsi="Times New Roman" w:cs="Times New Roman"/>
        </w:rPr>
        <w:t>to</w:t>
      </w:r>
      <w:r w:rsidR="00874560">
        <w:rPr>
          <w:rFonts w:ascii="Times New Roman" w:hAnsi="Times New Roman" w:cs="Times New Roman"/>
        </w:rPr>
        <w:t xml:space="preserve"> evaluate</w:t>
      </w:r>
      <w:r w:rsidR="00663CB8">
        <w:rPr>
          <w:rFonts w:ascii="Times New Roman" w:hAnsi="Times New Roman" w:cs="Times New Roman"/>
        </w:rPr>
        <w:t xml:space="preserve"> the convergence of </w:t>
      </w:r>
      <w:r w:rsidR="007466DE">
        <w:rPr>
          <w:rFonts w:ascii="Times New Roman" w:hAnsi="Times New Roman" w:cs="Times New Roman"/>
        </w:rPr>
        <w:t xml:space="preserve">the </w:t>
      </w:r>
      <w:r>
        <w:rPr>
          <w:rFonts w:ascii="Times New Roman" w:hAnsi="Times New Roman" w:cs="Times New Roman"/>
        </w:rPr>
        <w:t>two different</w:t>
      </w:r>
      <w:r w:rsidR="00663CB8">
        <w:rPr>
          <w:rFonts w:ascii="Times New Roman" w:hAnsi="Times New Roman" w:cs="Times New Roman"/>
        </w:rPr>
        <w:t xml:space="preserve"> approaches. In the two-step procedure, </w:t>
      </w:r>
      <w:r w:rsidR="00CB73CB">
        <w:rPr>
          <w:rFonts w:ascii="Times New Roman" w:hAnsi="Times New Roman" w:cs="Times New Roman"/>
        </w:rPr>
        <w:t>i</w:t>
      </w:r>
      <w:r w:rsidR="00095CE8" w:rsidRPr="00DF3C33">
        <w:rPr>
          <w:rFonts w:ascii="Times New Roman" w:hAnsi="Times New Roman" w:cs="Times New Roman"/>
        </w:rPr>
        <w:t>nitial set of E</w:t>
      </w:r>
      <w:r w:rsidR="00AD1FC0" w:rsidRPr="00DF3C33">
        <w:rPr>
          <w:rFonts w:ascii="Times New Roman" w:hAnsi="Times New Roman" w:cs="Times New Roman"/>
        </w:rPr>
        <w:t>uropean</w:t>
      </w:r>
      <w:r w:rsidR="0075705C" w:rsidRPr="00DF3C33">
        <w:rPr>
          <w:rFonts w:ascii="Times New Roman" w:hAnsi="Times New Roman" w:cs="Times New Roman"/>
        </w:rPr>
        <w:t xml:space="preserve"> genomes </w:t>
      </w:r>
      <w:r w:rsidR="00095CE8" w:rsidRPr="00DF3C33">
        <w:rPr>
          <w:rFonts w:ascii="Times New Roman" w:hAnsi="Times New Roman" w:cs="Times New Roman"/>
        </w:rPr>
        <w:t xml:space="preserve">were selected </w:t>
      </w:r>
      <w:r w:rsidR="00A03174" w:rsidRPr="00DF3C33">
        <w:rPr>
          <w:rFonts w:ascii="Times New Roman" w:hAnsi="Times New Roman" w:cs="Times New Roman"/>
        </w:rPr>
        <w:t>by</w:t>
      </w:r>
      <w:r w:rsidR="00095CE8" w:rsidRPr="00DF3C33">
        <w:rPr>
          <w:rFonts w:ascii="Times New Roman" w:hAnsi="Times New Roman" w:cs="Times New Roman"/>
        </w:rPr>
        <w:t xml:space="preserve"> projecting 1000</w:t>
      </w:r>
      <w:r w:rsidR="00A5111B">
        <w:rPr>
          <w:rFonts w:ascii="Times New Roman" w:hAnsi="Times New Roman" w:cs="Times New Roman"/>
        </w:rPr>
        <w:t xml:space="preserve"> </w:t>
      </w:r>
      <w:r w:rsidR="00095CE8" w:rsidRPr="00DF3C33">
        <w:rPr>
          <w:rFonts w:ascii="Times New Roman" w:hAnsi="Times New Roman" w:cs="Times New Roman"/>
        </w:rPr>
        <w:t>G</w:t>
      </w:r>
      <w:r w:rsidR="00A5111B">
        <w:rPr>
          <w:rFonts w:ascii="Times New Roman" w:hAnsi="Times New Roman" w:cs="Times New Roman"/>
        </w:rPr>
        <w:t>enome</w:t>
      </w:r>
      <w:r w:rsidR="00095CE8" w:rsidRPr="00DF3C33">
        <w:rPr>
          <w:rFonts w:ascii="Times New Roman" w:hAnsi="Times New Roman" w:cs="Times New Roman"/>
        </w:rPr>
        <w:t xml:space="preserve"> </w:t>
      </w:r>
      <w:r w:rsidR="00A5111B">
        <w:rPr>
          <w:rFonts w:ascii="Times New Roman" w:hAnsi="Times New Roman" w:cs="Times New Roman"/>
        </w:rPr>
        <w:t xml:space="preserve">(1000G) </w:t>
      </w:r>
      <w:r w:rsidR="00A03174" w:rsidRPr="00DF3C33">
        <w:rPr>
          <w:rFonts w:ascii="Times New Roman" w:hAnsi="Times New Roman" w:cs="Times New Roman"/>
        </w:rPr>
        <w:t>PC</w:t>
      </w:r>
      <w:r w:rsidR="00095CE8" w:rsidRPr="00DF3C33">
        <w:rPr>
          <w:rFonts w:ascii="Times New Roman" w:hAnsi="Times New Roman" w:cs="Times New Roman"/>
        </w:rPr>
        <w:t xml:space="preserve"> loadings onto </w:t>
      </w:r>
      <w:proofErr w:type="spellStart"/>
      <w:r w:rsidR="00095CE8" w:rsidRPr="00DF3C33">
        <w:rPr>
          <w:rFonts w:ascii="Times New Roman" w:hAnsi="Times New Roman" w:cs="Times New Roman"/>
        </w:rPr>
        <w:t>TOPMed</w:t>
      </w:r>
      <w:proofErr w:type="spellEnd"/>
      <w:r w:rsidR="00095CE8" w:rsidRPr="00DF3C33">
        <w:rPr>
          <w:rFonts w:ascii="Times New Roman" w:hAnsi="Times New Roman" w:cs="Times New Roman"/>
        </w:rPr>
        <w:t xml:space="preserve"> genotypes</w:t>
      </w:r>
      <w:r w:rsidR="00EC6B8C">
        <w:rPr>
          <w:rFonts w:ascii="Times New Roman" w:hAnsi="Times New Roman" w:cs="Times New Roman"/>
        </w:rPr>
        <w:t xml:space="preserve"> (freeze 8</w:t>
      </w:r>
      <w:r w:rsidR="00874560">
        <w:rPr>
          <w:rFonts w:ascii="Times New Roman" w:hAnsi="Times New Roman" w:cs="Times New Roman"/>
        </w:rPr>
        <w:t>; autosomes only</w:t>
      </w:r>
      <w:r w:rsidR="00EC6B8C">
        <w:rPr>
          <w:rFonts w:ascii="Times New Roman" w:hAnsi="Times New Roman" w:cs="Times New Roman"/>
        </w:rPr>
        <w:t>)</w:t>
      </w:r>
      <w:r w:rsidR="00D458C1">
        <w:rPr>
          <w:rFonts w:ascii="Times New Roman" w:hAnsi="Times New Roman" w:cs="Times New Roman"/>
        </w:rPr>
        <w:t xml:space="preserve"> and applying K-nearest neighbors</w:t>
      </w:r>
      <w:r w:rsidR="00B75D03">
        <w:rPr>
          <w:rFonts w:ascii="Times New Roman" w:hAnsi="Times New Roman" w:cs="Times New Roman"/>
        </w:rPr>
        <w:t xml:space="preserve"> </w:t>
      </w:r>
      <w:r w:rsidR="00E96BDA">
        <w:rPr>
          <w:rFonts w:ascii="Times New Roman" w:hAnsi="Times New Roman" w:cs="Times New Roman"/>
        </w:rPr>
        <w:t>classification</w:t>
      </w:r>
      <w:r w:rsidR="00D458C1">
        <w:rPr>
          <w:rFonts w:ascii="Times New Roman" w:hAnsi="Times New Roman" w:cs="Times New Roman"/>
        </w:rPr>
        <w:t xml:space="preserve"> on </w:t>
      </w:r>
      <w:r w:rsidR="00706632">
        <w:rPr>
          <w:rFonts w:ascii="Times New Roman" w:hAnsi="Times New Roman" w:cs="Times New Roman"/>
        </w:rPr>
        <w:t xml:space="preserve">20 </w:t>
      </w:r>
      <w:r w:rsidR="00D458C1">
        <w:rPr>
          <w:rFonts w:ascii="Times New Roman" w:hAnsi="Times New Roman" w:cs="Times New Roman"/>
        </w:rPr>
        <w:t>projected PCs</w:t>
      </w:r>
      <w:r w:rsidR="00706632">
        <w:rPr>
          <w:rFonts w:ascii="Times New Roman" w:hAnsi="Times New Roman" w:cs="Times New Roman"/>
        </w:rPr>
        <w:t xml:space="preserve"> </w:t>
      </w:r>
      <w:r w:rsidR="00D458C1">
        <w:rPr>
          <w:rFonts w:ascii="Times New Roman" w:hAnsi="Times New Roman" w:cs="Times New Roman"/>
        </w:rPr>
        <w:t xml:space="preserve">using </w:t>
      </w:r>
      <w:r w:rsidR="00706632">
        <w:rPr>
          <w:rFonts w:ascii="Times New Roman" w:hAnsi="Times New Roman" w:cs="Times New Roman"/>
        </w:rPr>
        <w:t xml:space="preserve">open source </w:t>
      </w:r>
      <w:r w:rsidR="00D458C1">
        <w:rPr>
          <w:rFonts w:ascii="Times New Roman" w:hAnsi="Times New Roman" w:cs="Times New Roman"/>
        </w:rPr>
        <w:t xml:space="preserve">software </w:t>
      </w:r>
      <w:r w:rsidR="00D458C1" w:rsidRPr="00F77257">
        <w:rPr>
          <w:rFonts w:ascii="Courier New" w:hAnsi="Courier New" w:cs="Courier New"/>
        </w:rPr>
        <w:t>FRAPOSA</w:t>
      </w:r>
      <w:r w:rsidR="005B3A37">
        <w:rPr>
          <w:rFonts w:ascii="Courier New" w:hAnsi="Courier New" w:cs="Courier New"/>
        </w:rPr>
        <w:fldChar w:fldCharType="begin"/>
      </w:r>
      <w:r w:rsidR="005B3A37">
        <w:rPr>
          <w:rFonts w:ascii="Courier New" w:hAnsi="Courier New" w:cs="Courier New"/>
        </w:rPr>
        <w:instrText xml:space="preserve"> ADDIN ZOTERO_ITEM CSL_CITATION {"citationID":"i6z0tBye","properties":{"formattedCitation":"\\super 2\\nosupersub{}","plainCitation":"2","noteIndex":0},"citationItems":[{"id":"6kaeXqMg/uBXstvml","uris":["http://zotero.org/users/local/ndgvmCG4/items/SP6I55XT"],"uri":["http://zotero.org/users/local/ndgvmCG4/items/SP6I55XT"],"itemData":{"id":"6kaeXqMg/uBXstvml","type":"article-journal","abstract":"Population stratification (PS) is a major confounder in genome-wide association studies (GWAS) and can lead to false-positive associations. To adjust for PS, principal component analysis (PCA)-based ancestry prediction has been widely used. Simple projection (SP) based on principal component loadings and the recently developed data augmentation, decomposition and Procrustes (ADP) transformation, such as LASER and TRACE, are popular methods for predicting PC scores. However, the predicted PC scores from SP can be biased toward NULL. On the other hand, ADP has a high computation cost because it requires running PCA separately for each study sample on the augmented dataset.We develop and propose two alternative approaches: bias-adjusted projection (AP) and online ADP (OADP). Using random matrix theory, AP asymptotically estimates and adjusts for the bias of SP. OADP uses a computationally efficient online singular value decomposition algorithm, which can greatly reduce the computation cost of ADP. We carried out extensive simulation studies to show that these alternative approaches are unbiased and the computation speed can be 16–16 000 times faster than ADP. We applied our approaches to the UK Biobank data of 488 366 study samples with 2492 samples from the 1000 Genomes data as the reference. AP and OADP required 0.82 and 21 CPU hours, respectively, while the projected computation time of ADP was 1628 CPU hours. Furthermore, when inferring sub-European ancestry, SP clearly showed bias, unlike the proposed approaches.The OADP and AP methods, as well as SP and ADP, have been implemented in the open-source Python software FRAPOSA, available at github.com/daviddaiweizhang/fraposa.leeshawn@umich.eduSupplementary data are available at Bioinformatics online.","container-title":"Bioinformatics","DOI":"10.1093/bioinformatics/btaa152","ISSN":"1367-4803","issue":"11","journalAbbreviation":"Bioinformatics","page":"3439-3446","source":"Silverchair","title":"Fast and robust ancestry prediction using principal component analysis","volume":"36","author":[{"family":"Zhang","given":"Daiwei"},{"family":"Dey","given":"Rounak"},{"family":"Lee","given":"Seunggeun"}],"issued":{"date-parts":[["2020",6,1]]}}}],"schema":"https://github.com/citation-style-language/schema/raw/master/csl-citation.json"} </w:instrText>
      </w:r>
      <w:r w:rsidR="005B3A37">
        <w:rPr>
          <w:rFonts w:ascii="Courier New" w:hAnsi="Courier New" w:cs="Courier New"/>
        </w:rPr>
        <w:fldChar w:fldCharType="separate"/>
      </w:r>
      <w:r w:rsidR="005B3A37" w:rsidRPr="005B3A37">
        <w:rPr>
          <w:rFonts w:ascii="Courier New" w:hAnsi="Courier New" w:cs="Courier New"/>
          <w:szCs w:val="24"/>
          <w:vertAlign w:val="superscript"/>
        </w:rPr>
        <w:t>2</w:t>
      </w:r>
      <w:r w:rsidR="005B3A37">
        <w:rPr>
          <w:rFonts w:ascii="Courier New" w:hAnsi="Courier New" w:cs="Courier New"/>
        </w:rPr>
        <w:fldChar w:fldCharType="end"/>
      </w:r>
      <w:r w:rsidR="00095CE8" w:rsidRPr="00DF3C33">
        <w:rPr>
          <w:rFonts w:ascii="Times New Roman" w:hAnsi="Times New Roman" w:cs="Times New Roman"/>
        </w:rPr>
        <w:t xml:space="preserve">. </w:t>
      </w:r>
      <w:r w:rsidR="00875735">
        <w:rPr>
          <w:rFonts w:ascii="Times New Roman" w:hAnsi="Times New Roman" w:cs="Times New Roman"/>
        </w:rPr>
        <w:t>This software uses o</w:t>
      </w:r>
      <w:r w:rsidR="00AD1FC0" w:rsidRPr="00DF3C33">
        <w:rPr>
          <w:rFonts w:ascii="Times New Roman" w:hAnsi="Times New Roman" w:cs="Times New Roman"/>
        </w:rPr>
        <w:t xml:space="preserve">nline </w:t>
      </w:r>
      <w:r w:rsidR="00875735">
        <w:rPr>
          <w:rFonts w:ascii="Times New Roman" w:hAnsi="Times New Roman" w:cs="Times New Roman"/>
        </w:rPr>
        <w:t>a</w:t>
      </w:r>
      <w:r w:rsidR="00AD1FC0" w:rsidRPr="00DF3C33">
        <w:rPr>
          <w:rFonts w:ascii="Times New Roman" w:hAnsi="Times New Roman" w:cs="Times New Roman"/>
        </w:rPr>
        <w:t>ugmentation-</w:t>
      </w:r>
      <w:r w:rsidR="00875735">
        <w:rPr>
          <w:rFonts w:ascii="Times New Roman" w:hAnsi="Times New Roman" w:cs="Times New Roman"/>
        </w:rPr>
        <w:t>d</w:t>
      </w:r>
      <w:r w:rsidR="00AD1FC0" w:rsidRPr="00DF3C33">
        <w:rPr>
          <w:rFonts w:ascii="Times New Roman" w:hAnsi="Times New Roman" w:cs="Times New Roman"/>
        </w:rPr>
        <w:t>ecomposition-</w:t>
      </w:r>
      <w:r w:rsidR="00875735">
        <w:rPr>
          <w:rFonts w:ascii="Times New Roman" w:hAnsi="Times New Roman" w:cs="Times New Roman"/>
        </w:rPr>
        <w:t>t</w:t>
      </w:r>
      <w:r w:rsidR="00AD1FC0" w:rsidRPr="00DF3C33">
        <w:rPr>
          <w:rFonts w:ascii="Times New Roman" w:hAnsi="Times New Roman" w:cs="Times New Roman"/>
        </w:rPr>
        <w:t>ransformation (OADP</w:t>
      </w:r>
      <w:r w:rsidR="00CF311E" w:rsidRPr="00DF3C33">
        <w:rPr>
          <w:rFonts w:ascii="Times New Roman" w:hAnsi="Times New Roman" w:cs="Times New Roman"/>
        </w:rPr>
        <w:t>)</w:t>
      </w:r>
      <w:r w:rsidR="0075705C" w:rsidRPr="00DF3C33">
        <w:rPr>
          <w:rFonts w:ascii="Times New Roman" w:hAnsi="Times New Roman" w:cs="Times New Roman"/>
        </w:rPr>
        <w:t xml:space="preserve"> </w:t>
      </w:r>
      <w:r w:rsidR="00874560">
        <w:rPr>
          <w:rFonts w:ascii="Times New Roman" w:hAnsi="Times New Roman" w:cs="Times New Roman"/>
        </w:rPr>
        <w:t xml:space="preserve">for projection </w:t>
      </w:r>
      <w:r w:rsidR="003F0774" w:rsidRPr="00DF3C33">
        <w:rPr>
          <w:rFonts w:ascii="Times New Roman" w:hAnsi="Times New Roman" w:cs="Times New Roman"/>
        </w:rPr>
        <w:t>to</w:t>
      </w:r>
      <w:r w:rsidR="00776F92" w:rsidRPr="00DF3C33">
        <w:rPr>
          <w:rFonts w:ascii="Times New Roman" w:hAnsi="Times New Roman" w:cs="Times New Roman"/>
        </w:rPr>
        <w:t xml:space="preserve"> </w:t>
      </w:r>
      <w:r w:rsidR="00095CE8" w:rsidRPr="00DF3C33">
        <w:rPr>
          <w:rFonts w:ascii="Times New Roman" w:hAnsi="Times New Roman" w:cs="Times New Roman"/>
        </w:rPr>
        <w:t>avoid</w:t>
      </w:r>
      <w:r w:rsidR="00A85817" w:rsidRPr="00DF3C33">
        <w:rPr>
          <w:rFonts w:ascii="Times New Roman" w:hAnsi="Times New Roman" w:cs="Times New Roman"/>
        </w:rPr>
        <w:t xml:space="preserve"> </w:t>
      </w:r>
      <w:r w:rsidR="00EC6B8C">
        <w:rPr>
          <w:rFonts w:ascii="Times New Roman" w:hAnsi="Times New Roman" w:cs="Times New Roman"/>
        </w:rPr>
        <w:t xml:space="preserve">potential </w:t>
      </w:r>
      <w:r w:rsidR="00CC0136" w:rsidRPr="00DF3C33">
        <w:rPr>
          <w:rFonts w:ascii="Times New Roman" w:hAnsi="Times New Roman" w:cs="Times New Roman"/>
        </w:rPr>
        <w:t xml:space="preserve">misalignment and </w:t>
      </w:r>
      <w:r w:rsidR="00EC6B8C">
        <w:rPr>
          <w:rFonts w:ascii="Times New Roman" w:hAnsi="Times New Roman" w:cs="Times New Roman"/>
        </w:rPr>
        <w:t xml:space="preserve">shrinkage </w:t>
      </w:r>
      <w:r w:rsidR="00A85817" w:rsidRPr="00DF3C33">
        <w:rPr>
          <w:rFonts w:ascii="Times New Roman" w:hAnsi="Times New Roman" w:cs="Times New Roman"/>
        </w:rPr>
        <w:t>bias</w:t>
      </w:r>
      <w:r w:rsidR="00095CE8" w:rsidRPr="00DF3C33">
        <w:rPr>
          <w:rFonts w:ascii="Times New Roman" w:hAnsi="Times New Roman" w:cs="Times New Roman"/>
        </w:rPr>
        <w:t xml:space="preserve">. </w:t>
      </w:r>
      <w:r w:rsidR="00A5111B">
        <w:rPr>
          <w:rFonts w:ascii="Times New Roman" w:hAnsi="Times New Roman" w:cs="Times New Roman"/>
        </w:rPr>
        <w:t>To calculate 1000G PC loadings,</w:t>
      </w:r>
      <w:r w:rsidR="00095CE8" w:rsidRPr="00DF3C33">
        <w:rPr>
          <w:rFonts w:ascii="Times New Roman" w:hAnsi="Times New Roman" w:cs="Times New Roman"/>
        </w:rPr>
        <w:t xml:space="preserve"> SNPs common in both 1000G and </w:t>
      </w:r>
      <w:proofErr w:type="spellStart"/>
      <w:r w:rsidR="00095CE8" w:rsidRPr="00DF3C33">
        <w:rPr>
          <w:rFonts w:ascii="Times New Roman" w:hAnsi="Times New Roman" w:cs="Times New Roman"/>
        </w:rPr>
        <w:t>TOPMed</w:t>
      </w:r>
      <w:proofErr w:type="spellEnd"/>
      <w:r w:rsidR="00095CE8" w:rsidRPr="00DF3C33">
        <w:rPr>
          <w:rFonts w:ascii="Times New Roman" w:hAnsi="Times New Roman" w:cs="Times New Roman"/>
        </w:rPr>
        <w:t xml:space="preserve"> were extracted and pruned for LD</w:t>
      </w:r>
      <w:r w:rsidR="00F20C7E" w:rsidRPr="00DF3C33">
        <w:rPr>
          <w:rFonts w:ascii="Times New Roman" w:hAnsi="Times New Roman" w:cs="Times New Roman"/>
        </w:rPr>
        <w:t xml:space="preserve"> </w:t>
      </w:r>
      <w:r w:rsidR="00D458C1">
        <w:rPr>
          <w:rFonts w:ascii="Times New Roman" w:hAnsi="Times New Roman" w:cs="Times New Roman"/>
        </w:rPr>
        <w:t xml:space="preserve">using plink 1.9 </w:t>
      </w:r>
      <w:r w:rsidR="00F20C7E" w:rsidRPr="00DF3C33">
        <w:rPr>
          <w:rFonts w:ascii="Times New Roman" w:hAnsi="Times New Roman" w:cs="Times New Roman"/>
        </w:rPr>
        <w:t>(</w:t>
      </w:r>
      <w:r w:rsidR="00D458C1">
        <w:rPr>
          <w:rFonts w:ascii="Times New Roman" w:hAnsi="Times New Roman" w:cs="Times New Roman"/>
        </w:rPr>
        <w:t>--</w:t>
      </w:r>
      <w:proofErr w:type="spellStart"/>
      <w:r w:rsidR="00F20C7E" w:rsidRPr="00DF3C33">
        <w:rPr>
          <w:rFonts w:ascii="Times New Roman" w:hAnsi="Times New Roman" w:cs="Times New Roman"/>
        </w:rPr>
        <w:t>indep</w:t>
      </w:r>
      <w:proofErr w:type="spellEnd"/>
      <w:r w:rsidR="00F20C7E" w:rsidRPr="00DF3C33">
        <w:rPr>
          <w:rFonts w:ascii="Times New Roman" w:hAnsi="Times New Roman" w:cs="Times New Roman"/>
        </w:rPr>
        <w:t>-pairwise 100kb</w:t>
      </w:r>
      <w:r w:rsidR="00874560">
        <w:rPr>
          <w:rFonts w:ascii="Times New Roman" w:hAnsi="Times New Roman" w:cs="Times New Roman"/>
        </w:rPr>
        <w:t xml:space="preserve"> </w:t>
      </w:r>
      <w:r w:rsidR="00F20C7E" w:rsidRPr="00DF3C33">
        <w:rPr>
          <w:rFonts w:ascii="Times New Roman" w:hAnsi="Times New Roman" w:cs="Times New Roman"/>
        </w:rPr>
        <w:t>5 0.1) and</w:t>
      </w:r>
      <w:r w:rsidR="00706632">
        <w:rPr>
          <w:rFonts w:ascii="Times New Roman" w:hAnsi="Times New Roman" w:cs="Times New Roman"/>
        </w:rPr>
        <w:t xml:space="preserve"> went through</w:t>
      </w:r>
      <w:r w:rsidR="00095CE8" w:rsidRPr="00DF3C33">
        <w:rPr>
          <w:rFonts w:ascii="Times New Roman" w:hAnsi="Times New Roman" w:cs="Times New Roman"/>
        </w:rPr>
        <w:t xml:space="preserve"> </w:t>
      </w:r>
      <w:r w:rsidR="00706632">
        <w:rPr>
          <w:rFonts w:ascii="Times New Roman" w:hAnsi="Times New Roman" w:cs="Times New Roman"/>
        </w:rPr>
        <w:t>ot</w:t>
      </w:r>
      <w:r w:rsidR="00095CE8" w:rsidRPr="00DF3C33">
        <w:rPr>
          <w:rFonts w:ascii="Times New Roman" w:hAnsi="Times New Roman" w:cs="Times New Roman"/>
        </w:rPr>
        <w:t>her quality control filters</w:t>
      </w:r>
      <w:r w:rsidR="00F20C7E" w:rsidRPr="00DF3C33">
        <w:rPr>
          <w:rFonts w:ascii="Times New Roman" w:hAnsi="Times New Roman" w:cs="Times New Roman"/>
        </w:rPr>
        <w:t xml:space="preserve"> (</w:t>
      </w:r>
      <w:r w:rsidR="0075705C" w:rsidRPr="00DF3C33">
        <w:rPr>
          <w:rFonts w:ascii="Times New Roman" w:hAnsi="Times New Roman" w:cs="Times New Roman"/>
        </w:rPr>
        <w:t>--</w:t>
      </w:r>
      <w:proofErr w:type="spellStart"/>
      <w:r w:rsidR="00F20C7E" w:rsidRPr="00DF3C33">
        <w:rPr>
          <w:rFonts w:ascii="Times New Roman" w:hAnsi="Times New Roman" w:cs="Times New Roman"/>
        </w:rPr>
        <w:t>geno</w:t>
      </w:r>
      <w:proofErr w:type="spellEnd"/>
      <w:r w:rsidR="00F20C7E" w:rsidRPr="00DF3C33">
        <w:rPr>
          <w:rFonts w:ascii="Times New Roman" w:hAnsi="Times New Roman" w:cs="Times New Roman"/>
        </w:rPr>
        <w:t xml:space="preserve"> 0.01</w:t>
      </w:r>
      <w:r w:rsidR="00776F92" w:rsidRPr="00DF3C33">
        <w:rPr>
          <w:rFonts w:ascii="Times New Roman" w:hAnsi="Times New Roman" w:cs="Times New Roman"/>
        </w:rPr>
        <w:t>,</w:t>
      </w:r>
      <w:r w:rsidR="00F20C7E" w:rsidRPr="00DF3C33">
        <w:rPr>
          <w:rFonts w:ascii="Times New Roman" w:hAnsi="Times New Roman" w:cs="Times New Roman"/>
        </w:rPr>
        <w:t xml:space="preserve"> </w:t>
      </w:r>
      <w:r w:rsidR="0075705C" w:rsidRPr="00DF3C33">
        <w:rPr>
          <w:rFonts w:ascii="Times New Roman" w:hAnsi="Times New Roman" w:cs="Times New Roman"/>
        </w:rPr>
        <w:t>--mind</w:t>
      </w:r>
      <w:r w:rsidR="00F20C7E" w:rsidRPr="00DF3C33">
        <w:rPr>
          <w:rFonts w:ascii="Times New Roman" w:hAnsi="Times New Roman" w:cs="Times New Roman"/>
        </w:rPr>
        <w:t xml:space="preserve"> 0.01)</w:t>
      </w:r>
      <w:r w:rsidR="00095CE8" w:rsidRPr="00DF3C33">
        <w:rPr>
          <w:rFonts w:ascii="Times New Roman" w:hAnsi="Times New Roman" w:cs="Times New Roman"/>
        </w:rPr>
        <w:t>, resulting</w:t>
      </w:r>
      <w:r w:rsidR="00F20C7E" w:rsidRPr="00DF3C33">
        <w:rPr>
          <w:rFonts w:ascii="Times New Roman" w:hAnsi="Times New Roman" w:cs="Times New Roman"/>
        </w:rPr>
        <w:t xml:space="preserve"> </w:t>
      </w:r>
      <w:r w:rsidR="00095CE8" w:rsidRPr="00DF3C33">
        <w:rPr>
          <w:rFonts w:ascii="Times New Roman" w:hAnsi="Times New Roman" w:cs="Times New Roman"/>
        </w:rPr>
        <w:t xml:space="preserve">in </w:t>
      </w:r>
      <w:r w:rsidR="00F20C7E" w:rsidRPr="00DF3C33">
        <w:rPr>
          <w:rFonts w:ascii="Times New Roman" w:hAnsi="Times New Roman" w:cs="Times New Roman"/>
        </w:rPr>
        <w:t xml:space="preserve">a total of </w:t>
      </w:r>
      <w:r w:rsidR="00AC3AE8" w:rsidRPr="00DF3C33">
        <w:rPr>
          <w:rFonts w:ascii="Times New Roman" w:hAnsi="Times New Roman" w:cs="Times New Roman"/>
        </w:rPr>
        <w:t>103,646 variants</w:t>
      </w:r>
      <w:r w:rsidR="00095CE8" w:rsidRPr="00DF3C33">
        <w:rPr>
          <w:rFonts w:ascii="Times New Roman" w:hAnsi="Times New Roman" w:cs="Times New Roman"/>
        </w:rPr>
        <w:t xml:space="preserve">. </w:t>
      </w:r>
      <w:r w:rsidR="00F82DED">
        <w:rPr>
          <w:rFonts w:ascii="Times New Roman" w:hAnsi="Times New Roman" w:cs="Times New Roman"/>
        </w:rPr>
        <w:t xml:space="preserve">Then, genetic </w:t>
      </w:r>
      <w:r w:rsidR="00CE0FFD">
        <w:rPr>
          <w:rFonts w:ascii="Times New Roman" w:hAnsi="Times New Roman" w:cs="Times New Roman"/>
        </w:rPr>
        <w:t xml:space="preserve">PCs for </w:t>
      </w:r>
      <w:proofErr w:type="spellStart"/>
      <w:r w:rsidR="00CE0FFD">
        <w:rPr>
          <w:rFonts w:ascii="Times New Roman" w:hAnsi="Times New Roman" w:cs="Times New Roman"/>
        </w:rPr>
        <w:t>TOPMed</w:t>
      </w:r>
      <w:proofErr w:type="spellEnd"/>
      <w:r w:rsidR="00CE0FFD">
        <w:rPr>
          <w:rFonts w:ascii="Times New Roman" w:hAnsi="Times New Roman" w:cs="Times New Roman"/>
        </w:rPr>
        <w:t xml:space="preserve"> sample were calculated using plink 1.9 (--score). Ancestry of </w:t>
      </w:r>
      <w:proofErr w:type="spellStart"/>
      <w:r w:rsidR="00CE0FFD">
        <w:rPr>
          <w:rFonts w:ascii="Times New Roman" w:hAnsi="Times New Roman" w:cs="Times New Roman"/>
        </w:rPr>
        <w:t>TOPMed</w:t>
      </w:r>
      <w:proofErr w:type="spellEnd"/>
      <w:r w:rsidR="00CE0FFD">
        <w:rPr>
          <w:rFonts w:ascii="Times New Roman" w:hAnsi="Times New Roman" w:cs="Times New Roman"/>
        </w:rPr>
        <w:t xml:space="preserve"> individuals was assigned</w:t>
      </w:r>
      <w:r w:rsidR="00874560">
        <w:rPr>
          <w:rFonts w:ascii="Times New Roman" w:hAnsi="Times New Roman" w:cs="Times New Roman"/>
        </w:rPr>
        <w:t xml:space="preserve"> </w:t>
      </w:r>
      <w:r w:rsidR="00CE0FFD">
        <w:rPr>
          <w:rFonts w:ascii="Times New Roman" w:hAnsi="Times New Roman" w:cs="Times New Roman"/>
        </w:rPr>
        <w:t>based on “votes” of top 20 closest neighbors (uniformly weighted) in 1000G dataset in terms of PC 1-20 scores.</w:t>
      </w:r>
      <w:r w:rsidR="00095CE8" w:rsidRPr="00DF3C33">
        <w:rPr>
          <w:rFonts w:ascii="Times New Roman" w:hAnsi="Times New Roman" w:cs="Times New Roman"/>
        </w:rPr>
        <w:t xml:space="preserve"> </w:t>
      </w:r>
      <w:r w:rsidR="00A5111B">
        <w:rPr>
          <w:rFonts w:ascii="Times New Roman" w:hAnsi="Times New Roman" w:cs="Times New Roman"/>
        </w:rPr>
        <w:t>As in</w:t>
      </w:r>
      <w:r w:rsidR="0031766A">
        <w:rPr>
          <w:rFonts w:ascii="Times New Roman" w:hAnsi="Times New Roman" w:cs="Times New Roman"/>
        </w:rPr>
        <w:t xml:space="preserve"> the original paper</w:t>
      </w:r>
      <w:r w:rsidR="00D00262">
        <w:rPr>
          <w:rFonts w:ascii="Times New Roman" w:hAnsi="Times New Roman" w:cs="Times New Roman"/>
        </w:rPr>
        <w:fldChar w:fldCharType="begin"/>
      </w:r>
      <w:r w:rsidR="005B3A37">
        <w:rPr>
          <w:rFonts w:ascii="Times New Roman" w:hAnsi="Times New Roman" w:cs="Times New Roman"/>
        </w:rPr>
        <w:instrText xml:space="preserve"> ADDIN ZOTERO_ITEM CSL_CITATION {"citationID":"uE5RuGad","properties":{"formattedCitation":"\\super 2\\nosupersub{}","plainCitation":"2","noteIndex":0},"citationItems":[{"id":"6kaeXqMg/uBXstvml","uris":["http://zotero.org/users/local/ndgvmCG4/items/SP6I55XT"],"uri":["http://zotero.org/users/local/ndgvmCG4/items/SP6I55XT"],"itemData":{"id":994,"type":"article-journal","abstract":"Population stratification (PS) is a major confounder in genome-wide association studies (GWAS) and can lead to false-positive associations. To adjust for PS, principal component analysis (PCA)-based ancestry prediction has been widely used. Simple projection (SP) based on principal component loadings and the recently developed data augmentation, decomposition and Procrustes (ADP) transformation, such as LASER and TRACE, are popular methods for predicting PC scores. However, the predicted PC scores from SP can be biased toward NULL. On the other hand, ADP has a high computation cost because it requires running PCA separately for each study sample on the augmented dataset.We develop and propose two alternative approaches: bias-adjusted projection (AP) and online ADP (OADP). Using random matrix theory, AP asymptotically estimates and adjusts for the bias of SP. OADP uses a computationally efficient online singular value decomposition algorithm, which can greatly reduce the computation cost of ADP. We carried out extensive simulation studies to show that these alternative approaches are unbiased and the computation speed can be 16–16 000 times faster than ADP. We applied our approaches to the UK Biobank data of 488 366 study samples with 2492 samples from the 1000 Genomes data as the reference. AP and OADP required 0.82 and 21 CPU hours, respectively, while the projected computation time of ADP was 1628 CPU hours. Furthermore, when inferring sub-European ancestry, SP clearly showed bias, unlike the proposed approaches.The OADP and AP methods, as well as SP and ADP, have been implemented in the open-source Python software FRAPOSA, available at github.com/daviddaiweizhang/fraposa.leeshawn@umich.eduSupplementary data are available at Bioinformatics online.","container-title":"Bioinformatics","DOI":"10.1093/bioinformatics/btaa152","ISSN":"1367-4803","issue":"11","journalAbbreviation":"Bioinformatics","page":"3439-3446","source":"Silverchair","title":"Fast and robust ancestry prediction using principal component analysis","volume":"36","author":[{"family":"Zhang","given":"Daiwei"},{"family":"Dey","given":"Rounak"},{"family":"Lee","given":"Seunggeun"}],"issued":{"date-parts":[["2020",6,1]]}}}],"schema":"https://github.com/citation-style-language/schema/raw/master/csl-citation.json"} </w:instrText>
      </w:r>
      <w:r w:rsidR="00D00262">
        <w:rPr>
          <w:rFonts w:ascii="Times New Roman" w:hAnsi="Times New Roman" w:cs="Times New Roman"/>
        </w:rPr>
        <w:fldChar w:fldCharType="separate"/>
      </w:r>
      <w:r w:rsidR="005B3A37" w:rsidRPr="005B3A37">
        <w:rPr>
          <w:rFonts w:ascii="Times New Roman" w:hAnsi="Times New Roman" w:cs="Times New Roman"/>
          <w:szCs w:val="24"/>
          <w:vertAlign w:val="superscript"/>
        </w:rPr>
        <w:t>2</w:t>
      </w:r>
      <w:r w:rsidR="00D00262">
        <w:rPr>
          <w:rFonts w:ascii="Times New Roman" w:hAnsi="Times New Roman" w:cs="Times New Roman"/>
        </w:rPr>
        <w:fldChar w:fldCharType="end"/>
      </w:r>
      <w:r w:rsidR="0031766A">
        <w:rPr>
          <w:rFonts w:ascii="Times New Roman" w:hAnsi="Times New Roman" w:cs="Times New Roman"/>
        </w:rPr>
        <w:t>, t</w:t>
      </w:r>
      <w:r w:rsidR="00095CE8" w:rsidRPr="00DF3C33">
        <w:rPr>
          <w:rFonts w:ascii="Times New Roman" w:hAnsi="Times New Roman" w:cs="Times New Roman"/>
        </w:rPr>
        <w:t>h</w:t>
      </w:r>
      <w:r w:rsidR="0031766A">
        <w:rPr>
          <w:rFonts w:ascii="Times New Roman" w:hAnsi="Times New Roman" w:cs="Times New Roman"/>
        </w:rPr>
        <w:t>ose assigned probability of being European</w:t>
      </w:r>
      <w:r w:rsidR="00F82DED">
        <w:rPr>
          <w:rFonts w:ascii="Times New Roman" w:hAnsi="Times New Roman" w:cs="Times New Roman"/>
        </w:rPr>
        <w:t xml:space="preserve"> ancestry</w:t>
      </w:r>
      <w:r w:rsidR="0031766A">
        <w:rPr>
          <w:rFonts w:ascii="Times New Roman" w:hAnsi="Times New Roman" w:cs="Times New Roman"/>
        </w:rPr>
        <w:t xml:space="preserve"> greater than</w:t>
      </w:r>
      <w:r w:rsidR="00B34566" w:rsidRPr="00DF3C33">
        <w:rPr>
          <w:rFonts w:ascii="Times New Roman" w:hAnsi="Times New Roman" w:cs="Times New Roman"/>
        </w:rPr>
        <w:t xml:space="preserve"> .875</w:t>
      </w:r>
      <w:r w:rsidR="00663CB8">
        <w:rPr>
          <w:rFonts w:ascii="Times New Roman" w:hAnsi="Times New Roman" w:cs="Times New Roman"/>
        </w:rPr>
        <w:t xml:space="preserve"> </w:t>
      </w:r>
      <w:r w:rsidR="00F82DED">
        <w:rPr>
          <w:rFonts w:ascii="Times New Roman" w:hAnsi="Times New Roman" w:cs="Times New Roman"/>
        </w:rPr>
        <w:t>made</w:t>
      </w:r>
      <w:r w:rsidR="0031766A">
        <w:rPr>
          <w:rFonts w:ascii="Times New Roman" w:hAnsi="Times New Roman" w:cs="Times New Roman"/>
        </w:rPr>
        <w:t xml:space="preserve"> an initial set of European</w:t>
      </w:r>
      <w:r w:rsidR="00F82DED">
        <w:rPr>
          <w:rFonts w:ascii="Times New Roman" w:hAnsi="Times New Roman" w:cs="Times New Roman"/>
        </w:rPr>
        <w:t xml:space="preserve"> ancestry</w:t>
      </w:r>
      <w:r w:rsidR="0031766A">
        <w:rPr>
          <w:rFonts w:ascii="Times New Roman" w:hAnsi="Times New Roman" w:cs="Times New Roman"/>
        </w:rPr>
        <w:t xml:space="preserve"> (</w:t>
      </w:r>
      <w:r w:rsidR="00F82DED">
        <w:rPr>
          <w:rFonts w:ascii="Times New Roman" w:hAnsi="Times New Roman" w:cs="Times New Roman"/>
        </w:rPr>
        <w:t xml:space="preserve">EUR sample; </w:t>
      </w:r>
      <w:r w:rsidR="0031766A">
        <w:rPr>
          <w:rFonts w:ascii="Times New Roman" w:hAnsi="Times New Roman" w:cs="Times New Roman"/>
        </w:rPr>
        <w:t>N=</w:t>
      </w:r>
      <w:r w:rsidR="00095CE8" w:rsidRPr="00DF3C33">
        <w:rPr>
          <w:rFonts w:ascii="Times New Roman" w:hAnsi="Times New Roman" w:cs="Times New Roman"/>
        </w:rPr>
        <w:t>61,112</w:t>
      </w:r>
      <w:r w:rsidR="00F82DED">
        <w:rPr>
          <w:rFonts w:ascii="Times New Roman" w:hAnsi="Times New Roman" w:cs="Times New Roman"/>
        </w:rPr>
        <w:t xml:space="preserve"> for whole EUR sample</w:t>
      </w:r>
      <w:r w:rsidR="0031766A">
        <w:rPr>
          <w:rFonts w:ascii="Times New Roman" w:hAnsi="Times New Roman" w:cs="Times New Roman"/>
        </w:rPr>
        <w:t>; N=38,915</w:t>
      </w:r>
      <w:r w:rsidR="00F82DED">
        <w:rPr>
          <w:rFonts w:ascii="Times New Roman" w:hAnsi="Times New Roman" w:cs="Times New Roman"/>
        </w:rPr>
        <w:t xml:space="preserve"> for EUR sample having at least one smoking phenotypes</w:t>
      </w:r>
      <w:r w:rsidR="0031766A">
        <w:rPr>
          <w:rFonts w:ascii="Times New Roman" w:hAnsi="Times New Roman" w:cs="Times New Roman"/>
        </w:rPr>
        <w:t>)</w:t>
      </w:r>
      <w:r w:rsidR="00095CE8" w:rsidRPr="00DF3C33">
        <w:rPr>
          <w:rFonts w:ascii="Times New Roman" w:hAnsi="Times New Roman" w:cs="Times New Roman"/>
        </w:rPr>
        <w:t xml:space="preserve">. </w:t>
      </w:r>
      <w:r w:rsidR="0083798D">
        <w:rPr>
          <w:rFonts w:ascii="Times New Roman" w:hAnsi="Times New Roman" w:cs="Times New Roman"/>
        </w:rPr>
        <w:t xml:space="preserve">Visual inspection of the PC 1-4 plots </w:t>
      </w:r>
      <w:r w:rsidR="00173268">
        <w:rPr>
          <w:rFonts w:ascii="Times New Roman" w:hAnsi="Times New Roman" w:cs="Times New Roman"/>
        </w:rPr>
        <w:t xml:space="preserve">of this initial sample </w:t>
      </w:r>
      <w:r w:rsidR="0083798D">
        <w:rPr>
          <w:rFonts w:ascii="Times New Roman" w:hAnsi="Times New Roman" w:cs="Times New Roman"/>
        </w:rPr>
        <w:t>suggested</w:t>
      </w:r>
      <w:r w:rsidR="00CE0FFD">
        <w:rPr>
          <w:rFonts w:ascii="Times New Roman" w:hAnsi="Times New Roman" w:cs="Times New Roman"/>
        </w:rPr>
        <w:t xml:space="preserve"> possibility of</w:t>
      </w:r>
      <w:r w:rsidR="0083798D">
        <w:rPr>
          <w:rFonts w:ascii="Times New Roman" w:hAnsi="Times New Roman" w:cs="Times New Roman"/>
        </w:rPr>
        <w:t xml:space="preserve"> </w:t>
      </w:r>
      <w:r w:rsidR="00663CB8">
        <w:rPr>
          <w:rFonts w:ascii="Times New Roman" w:hAnsi="Times New Roman" w:cs="Times New Roman"/>
        </w:rPr>
        <w:t xml:space="preserve">residual </w:t>
      </w:r>
      <w:r w:rsidR="0083798D">
        <w:rPr>
          <w:rFonts w:ascii="Times New Roman" w:hAnsi="Times New Roman" w:cs="Times New Roman"/>
        </w:rPr>
        <w:t xml:space="preserve">heterogeneity within European </w:t>
      </w:r>
      <w:r w:rsidR="00F82DED">
        <w:rPr>
          <w:rFonts w:ascii="Times New Roman" w:hAnsi="Times New Roman" w:cs="Times New Roman"/>
        </w:rPr>
        <w:t xml:space="preserve">ancestry </w:t>
      </w:r>
      <w:r w:rsidR="0083798D">
        <w:rPr>
          <w:rFonts w:ascii="Times New Roman" w:hAnsi="Times New Roman" w:cs="Times New Roman"/>
        </w:rPr>
        <w:t>sample</w:t>
      </w:r>
      <w:r w:rsidR="00173268">
        <w:rPr>
          <w:rFonts w:ascii="Times New Roman" w:hAnsi="Times New Roman" w:cs="Times New Roman"/>
        </w:rPr>
        <w:t xml:space="preserve">, </w:t>
      </w:r>
      <w:r w:rsidR="0083798D">
        <w:rPr>
          <w:rFonts w:ascii="Times New Roman" w:hAnsi="Times New Roman" w:cs="Times New Roman"/>
        </w:rPr>
        <w:t>thus</w:t>
      </w:r>
      <w:r w:rsidR="00095CE8" w:rsidRPr="00DF3C33">
        <w:rPr>
          <w:rFonts w:ascii="Times New Roman" w:hAnsi="Times New Roman" w:cs="Times New Roman"/>
        </w:rPr>
        <w:t xml:space="preserve"> </w:t>
      </w:r>
      <w:r w:rsidR="00B97F6C" w:rsidRPr="00DF3C33">
        <w:rPr>
          <w:rFonts w:ascii="Times New Roman" w:hAnsi="Times New Roman" w:cs="Times New Roman"/>
        </w:rPr>
        <w:t xml:space="preserve">we </w:t>
      </w:r>
      <w:r w:rsidR="00A32457" w:rsidRPr="00DF3C33">
        <w:rPr>
          <w:rFonts w:ascii="Times New Roman" w:hAnsi="Times New Roman" w:cs="Times New Roman"/>
        </w:rPr>
        <w:t>further restricted sample via</w:t>
      </w:r>
      <w:r w:rsidR="0083798D">
        <w:rPr>
          <w:rFonts w:ascii="Times New Roman" w:hAnsi="Times New Roman" w:cs="Times New Roman"/>
        </w:rPr>
        <w:t xml:space="preserve"> following way: 1)</w:t>
      </w:r>
      <w:r w:rsidR="00095CE8" w:rsidRPr="00DF3C33">
        <w:rPr>
          <w:rFonts w:ascii="Times New Roman" w:hAnsi="Times New Roman" w:cs="Times New Roman"/>
        </w:rPr>
        <w:t xml:space="preserve">, we created </w:t>
      </w:r>
      <w:r w:rsidR="006226A5">
        <w:rPr>
          <w:rFonts w:ascii="Times New Roman" w:hAnsi="Times New Roman" w:cs="Times New Roman"/>
        </w:rPr>
        <w:t>four</w:t>
      </w:r>
      <w:r w:rsidR="007A5DD7" w:rsidRPr="00DF3C33">
        <w:rPr>
          <w:rFonts w:ascii="Times New Roman" w:hAnsi="Times New Roman" w:cs="Times New Roman"/>
        </w:rPr>
        <w:t xml:space="preserve"> increasingly</w:t>
      </w:r>
      <w:r w:rsidR="00F82DED">
        <w:rPr>
          <w:rFonts w:ascii="Times New Roman" w:hAnsi="Times New Roman" w:cs="Times New Roman"/>
        </w:rPr>
        <w:t xml:space="preserve"> restrictive</w:t>
      </w:r>
      <w:r w:rsidR="007A5DD7" w:rsidRPr="00DF3C33">
        <w:rPr>
          <w:rFonts w:ascii="Times New Roman" w:hAnsi="Times New Roman" w:cs="Times New Roman"/>
        </w:rPr>
        <w:t xml:space="preserve"> sample</w:t>
      </w:r>
      <w:r w:rsidR="00095CE8" w:rsidRPr="00DF3C33">
        <w:rPr>
          <w:rFonts w:ascii="Times New Roman" w:hAnsi="Times New Roman" w:cs="Times New Roman"/>
        </w:rPr>
        <w:t>s based on</w:t>
      </w:r>
      <w:r w:rsidR="00F82DED">
        <w:rPr>
          <w:rFonts w:ascii="Times New Roman" w:hAnsi="Times New Roman" w:cs="Times New Roman"/>
        </w:rPr>
        <w:t xml:space="preserve"> </w:t>
      </w:r>
      <w:r w:rsidR="00095CE8" w:rsidRPr="00DF3C33">
        <w:rPr>
          <w:rFonts w:ascii="Times New Roman" w:hAnsi="Times New Roman" w:cs="Times New Roman"/>
        </w:rPr>
        <w:t xml:space="preserve">Euclidean distance of PC 1-4 </w:t>
      </w:r>
      <w:r w:rsidR="0083798D">
        <w:rPr>
          <w:rFonts w:ascii="Times New Roman" w:hAnsi="Times New Roman" w:cs="Times New Roman"/>
        </w:rPr>
        <w:t>from the vertex (</w:t>
      </w:r>
      <w:r w:rsidR="007A5DD7" w:rsidRPr="00DF3C33">
        <w:rPr>
          <w:rFonts w:ascii="Times New Roman" w:hAnsi="Times New Roman" w:cs="Times New Roman"/>
        </w:rPr>
        <w:t>maximum of PC1, minimum of PC2, and PC3</w:t>
      </w:r>
      <w:r w:rsidR="0083798D">
        <w:rPr>
          <w:rFonts w:ascii="Times New Roman" w:hAnsi="Times New Roman" w:cs="Times New Roman"/>
        </w:rPr>
        <w:t>-</w:t>
      </w:r>
      <w:r w:rsidR="007A5DD7" w:rsidRPr="00DF3C33">
        <w:rPr>
          <w:rFonts w:ascii="Times New Roman" w:hAnsi="Times New Roman" w:cs="Times New Roman"/>
        </w:rPr>
        <w:t>4 va</w:t>
      </w:r>
      <w:r w:rsidR="0083798D">
        <w:rPr>
          <w:rFonts w:ascii="Times New Roman" w:hAnsi="Times New Roman" w:cs="Times New Roman"/>
        </w:rPr>
        <w:t>lu</w:t>
      </w:r>
      <w:r w:rsidR="007A5DD7" w:rsidRPr="00DF3C33">
        <w:rPr>
          <w:rFonts w:ascii="Times New Roman" w:hAnsi="Times New Roman" w:cs="Times New Roman"/>
        </w:rPr>
        <w:t xml:space="preserve">es </w:t>
      </w:r>
      <w:r w:rsidR="00B543E8" w:rsidRPr="00DF3C33">
        <w:rPr>
          <w:rFonts w:ascii="Times New Roman" w:hAnsi="Times New Roman" w:cs="Times New Roman"/>
        </w:rPr>
        <w:t xml:space="preserve">evaluated </w:t>
      </w:r>
      <w:r w:rsidR="007A5DD7" w:rsidRPr="00DF3C33">
        <w:rPr>
          <w:rFonts w:ascii="Times New Roman" w:hAnsi="Times New Roman" w:cs="Times New Roman"/>
        </w:rPr>
        <w:t>at</w:t>
      </w:r>
      <w:r w:rsidR="00B543E8" w:rsidRPr="00DF3C33">
        <w:rPr>
          <w:rFonts w:ascii="Times New Roman" w:hAnsi="Times New Roman" w:cs="Times New Roman"/>
        </w:rPr>
        <w:t xml:space="preserve"> the</w:t>
      </w:r>
      <w:r w:rsidR="007A5DD7" w:rsidRPr="00DF3C33">
        <w:rPr>
          <w:rFonts w:ascii="Times New Roman" w:hAnsi="Times New Roman" w:cs="Times New Roman"/>
        </w:rPr>
        <w:t xml:space="preserve"> maximum </w:t>
      </w:r>
      <w:r w:rsidR="00B543E8" w:rsidRPr="00DF3C33">
        <w:rPr>
          <w:rFonts w:ascii="Times New Roman" w:hAnsi="Times New Roman" w:cs="Times New Roman"/>
        </w:rPr>
        <w:t xml:space="preserve">value </w:t>
      </w:r>
      <w:r w:rsidR="007A5DD7" w:rsidRPr="00DF3C33">
        <w:rPr>
          <w:rFonts w:ascii="Times New Roman" w:hAnsi="Times New Roman" w:cs="Times New Roman"/>
        </w:rPr>
        <w:t>of PC1</w:t>
      </w:r>
      <w:r w:rsidR="0083798D">
        <w:rPr>
          <w:rFonts w:ascii="Times New Roman" w:hAnsi="Times New Roman" w:cs="Times New Roman"/>
        </w:rPr>
        <w:t>)</w:t>
      </w:r>
      <w:r w:rsidR="00095CE8" w:rsidRPr="00DF3C33">
        <w:rPr>
          <w:rFonts w:ascii="Times New Roman" w:hAnsi="Times New Roman" w:cs="Times New Roman"/>
        </w:rPr>
        <w:t>. Then, we calcul</w:t>
      </w:r>
      <w:r w:rsidR="00B543E8" w:rsidRPr="00DF3C33">
        <w:rPr>
          <w:rFonts w:ascii="Times New Roman" w:hAnsi="Times New Roman" w:cs="Times New Roman"/>
        </w:rPr>
        <w:t>ated</w:t>
      </w:r>
      <w:r w:rsidR="00865B5E" w:rsidRPr="00DF3C33">
        <w:rPr>
          <w:rFonts w:ascii="Times New Roman" w:hAnsi="Times New Roman" w:cs="Times New Roman"/>
        </w:rPr>
        <w:t xml:space="preserve"> </w:t>
      </w:r>
      <w:r w:rsidR="00A5111B">
        <w:rPr>
          <w:rFonts w:ascii="Times New Roman" w:hAnsi="Times New Roman" w:cs="Times New Roman"/>
        </w:rPr>
        <w:t>Euclidean</w:t>
      </w:r>
      <w:r w:rsidR="00B543E8" w:rsidRPr="00DF3C33">
        <w:rPr>
          <w:rFonts w:ascii="Times New Roman" w:hAnsi="Times New Roman" w:cs="Times New Roman"/>
        </w:rPr>
        <w:t xml:space="preserve"> distance </w:t>
      </w:r>
      <w:r w:rsidR="00874560">
        <w:rPr>
          <w:rFonts w:ascii="Times New Roman" w:hAnsi="Times New Roman" w:cs="Times New Roman"/>
        </w:rPr>
        <w:t xml:space="preserve">from this vertex for each individual </w:t>
      </w:r>
      <w:r w:rsidR="00095CE8" w:rsidRPr="00DF3C33">
        <w:rPr>
          <w:rFonts w:ascii="Times New Roman" w:hAnsi="Times New Roman" w:cs="Times New Roman"/>
        </w:rPr>
        <w:t xml:space="preserve">and removed outliers </w:t>
      </w:r>
      <w:r w:rsidR="00F77257">
        <w:rPr>
          <w:rFonts w:ascii="Times New Roman" w:hAnsi="Times New Roman" w:cs="Times New Roman"/>
        </w:rPr>
        <w:t>having distance greater than</w:t>
      </w:r>
      <w:r w:rsidR="00095CE8" w:rsidRPr="00DF3C33">
        <w:rPr>
          <w:rFonts w:ascii="Times New Roman" w:hAnsi="Times New Roman" w:cs="Times New Roman"/>
        </w:rPr>
        <w:t xml:space="preserve"> </w:t>
      </w:r>
      <w:r w:rsidR="00865B5E" w:rsidRPr="00DF3C33">
        <w:rPr>
          <w:rFonts w:ascii="Times New Roman" w:hAnsi="Times New Roman" w:cs="Times New Roman"/>
        </w:rPr>
        <w:t>3</w:t>
      </w:r>
      <w:r w:rsidR="00E27A34">
        <w:rPr>
          <w:rFonts w:ascii="Times New Roman" w:hAnsi="Times New Roman" w:cs="Times New Roman"/>
        </w:rPr>
        <w:t>, 2, 1.5, and 1 times Inter-Quartile Range (IQR), each</w:t>
      </w:r>
      <w:r w:rsidR="00F82DED">
        <w:rPr>
          <w:rFonts w:ascii="Times New Roman" w:hAnsi="Times New Roman" w:cs="Times New Roman"/>
        </w:rPr>
        <w:t xml:space="preserve"> c</w:t>
      </w:r>
      <w:r w:rsidR="00E27A34">
        <w:rPr>
          <w:rFonts w:ascii="Times New Roman" w:hAnsi="Times New Roman" w:cs="Times New Roman"/>
        </w:rPr>
        <w:t>omprising four</w:t>
      </w:r>
      <w:r w:rsidR="00095CE8" w:rsidRPr="00DF3C33">
        <w:rPr>
          <w:rFonts w:ascii="Times New Roman" w:hAnsi="Times New Roman" w:cs="Times New Roman"/>
        </w:rPr>
        <w:t xml:space="preserve"> increasingly </w:t>
      </w:r>
      <w:r w:rsidR="00F82DED">
        <w:rPr>
          <w:rFonts w:ascii="Times New Roman" w:hAnsi="Times New Roman" w:cs="Times New Roman"/>
        </w:rPr>
        <w:t>restrictive</w:t>
      </w:r>
      <w:r w:rsidR="00095CE8" w:rsidRPr="00DF3C33">
        <w:rPr>
          <w:rFonts w:ascii="Times New Roman" w:hAnsi="Times New Roman" w:cs="Times New Roman"/>
        </w:rPr>
        <w:t xml:space="preserve"> sample</w:t>
      </w:r>
      <w:r w:rsidR="00E27A34">
        <w:rPr>
          <w:rFonts w:ascii="Times New Roman" w:hAnsi="Times New Roman" w:cs="Times New Roman"/>
        </w:rPr>
        <w:t xml:space="preserve"> sets</w:t>
      </w:r>
      <w:r w:rsidR="00095CE8" w:rsidRPr="00DF3C33">
        <w:rPr>
          <w:rFonts w:ascii="Times New Roman" w:hAnsi="Times New Roman" w:cs="Times New Roman"/>
        </w:rPr>
        <w:t>.</w:t>
      </w:r>
      <w:r w:rsidR="00A5111B">
        <w:rPr>
          <w:rFonts w:ascii="Times New Roman" w:hAnsi="Times New Roman" w:cs="Times New Roman"/>
        </w:rPr>
        <w:t xml:space="preserve"> </w:t>
      </w:r>
      <w:r w:rsidR="00A32457" w:rsidRPr="00DF3C33">
        <w:rPr>
          <w:rFonts w:ascii="Times New Roman" w:hAnsi="Times New Roman" w:cs="Times New Roman"/>
        </w:rPr>
        <w:t xml:space="preserve">The </w:t>
      </w:r>
      <w:r w:rsidR="00BA7136">
        <w:rPr>
          <w:rFonts w:ascii="Times New Roman" w:hAnsi="Times New Roman" w:cs="Times New Roman"/>
        </w:rPr>
        <w:t>1 IQR</w:t>
      </w:r>
      <w:r w:rsidR="00A32457" w:rsidRPr="00DF3C33">
        <w:rPr>
          <w:rFonts w:ascii="Times New Roman" w:hAnsi="Times New Roman" w:cs="Times New Roman"/>
        </w:rPr>
        <w:t xml:space="preserve"> sample (</w:t>
      </w:r>
      <w:r w:rsidR="00E27A34">
        <w:rPr>
          <w:rFonts w:ascii="Times New Roman" w:hAnsi="Times New Roman" w:cs="Times New Roman"/>
        </w:rPr>
        <w:t xml:space="preserve">i.e., </w:t>
      </w:r>
      <w:r w:rsidR="00A32457" w:rsidRPr="00DF3C33">
        <w:rPr>
          <w:rFonts w:ascii="Times New Roman" w:hAnsi="Times New Roman" w:cs="Times New Roman"/>
        </w:rPr>
        <w:t xml:space="preserve">most </w:t>
      </w:r>
      <w:r w:rsidR="00362A44">
        <w:rPr>
          <w:rFonts w:ascii="Times New Roman" w:hAnsi="Times New Roman" w:cs="Times New Roman"/>
        </w:rPr>
        <w:t>conservative with respect to</w:t>
      </w:r>
      <w:r w:rsidR="00E27A34">
        <w:rPr>
          <w:rFonts w:ascii="Times New Roman" w:hAnsi="Times New Roman" w:cs="Times New Roman"/>
        </w:rPr>
        <w:t xml:space="preserve"> population</w:t>
      </w:r>
      <w:r w:rsidR="00362A44">
        <w:rPr>
          <w:rFonts w:ascii="Times New Roman" w:hAnsi="Times New Roman" w:cs="Times New Roman"/>
        </w:rPr>
        <w:t xml:space="preserve"> s</w:t>
      </w:r>
      <w:r w:rsidR="007F1D6E">
        <w:rPr>
          <w:rFonts w:ascii="Times New Roman" w:hAnsi="Times New Roman" w:cs="Times New Roman"/>
        </w:rPr>
        <w:t>tructure</w:t>
      </w:r>
      <w:r w:rsidR="00362A44">
        <w:rPr>
          <w:rFonts w:ascii="Times New Roman" w:hAnsi="Times New Roman" w:cs="Times New Roman"/>
        </w:rPr>
        <w:t>)</w:t>
      </w:r>
      <w:r w:rsidR="00A32457" w:rsidRPr="00DF3C33">
        <w:rPr>
          <w:rFonts w:ascii="Times New Roman" w:hAnsi="Times New Roman" w:cs="Times New Roman"/>
        </w:rPr>
        <w:t xml:space="preserve"> </w:t>
      </w:r>
      <w:r w:rsidR="00F77257">
        <w:rPr>
          <w:rFonts w:ascii="Times New Roman" w:hAnsi="Times New Roman" w:cs="Times New Roman"/>
        </w:rPr>
        <w:t xml:space="preserve">was </w:t>
      </w:r>
      <w:r w:rsidR="00A32457" w:rsidRPr="00DF3C33">
        <w:rPr>
          <w:rFonts w:ascii="Times New Roman" w:hAnsi="Times New Roman" w:cs="Times New Roman"/>
        </w:rPr>
        <w:t xml:space="preserve">used for our main analyses with the remaining samples </w:t>
      </w:r>
      <w:r w:rsidR="00E27A34">
        <w:rPr>
          <w:rFonts w:ascii="Times New Roman" w:hAnsi="Times New Roman" w:cs="Times New Roman"/>
        </w:rPr>
        <w:t>reserved</w:t>
      </w:r>
      <w:r w:rsidR="00A32457" w:rsidRPr="00DF3C33">
        <w:rPr>
          <w:rFonts w:ascii="Times New Roman" w:hAnsi="Times New Roman" w:cs="Times New Roman"/>
        </w:rPr>
        <w:t xml:space="preserve"> for sensitivity analysis.</w:t>
      </w:r>
      <w:r w:rsidR="00E05424">
        <w:rPr>
          <w:rFonts w:ascii="Times New Roman" w:hAnsi="Times New Roman" w:cs="Times New Roman"/>
        </w:rPr>
        <w:t xml:space="preserve"> </w:t>
      </w:r>
    </w:p>
    <w:p w14:paraId="6195FEAB" w14:textId="0BDE88A3" w:rsidR="00456A71" w:rsidRDefault="00095CE8" w:rsidP="00456A71">
      <w:pPr>
        <w:spacing w:line="480" w:lineRule="auto"/>
        <w:ind w:firstLine="720"/>
        <w:rPr>
          <w:rFonts w:ascii="Times New Roman" w:hAnsi="Times New Roman" w:cs="Times New Roman"/>
        </w:rPr>
      </w:pPr>
      <w:r w:rsidRPr="00DF3C33">
        <w:rPr>
          <w:rFonts w:ascii="Times New Roman" w:hAnsi="Times New Roman" w:cs="Times New Roman"/>
        </w:rPr>
        <w:br w:type="page"/>
      </w:r>
      <w:r w:rsidR="00E27A34">
        <w:rPr>
          <w:rFonts w:ascii="Times New Roman" w:hAnsi="Times New Roman" w:cs="Times New Roman"/>
        </w:rPr>
        <w:lastRenderedPageBreak/>
        <w:t xml:space="preserve">In </w:t>
      </w:r>
      <w:r w:rsidR="00F82DED">
        <w:rPr>
          <w:rFonts w:ascii="Times New Roman" w:hAnsi="Times New Roman" w:cs="Times New Roman"/>
        </w:rPr>
        <w:t xml:space="preserve">an </w:t>
      </w:r>
      <w:r w:rsidR="00E27A34">
        <w:rPr>
          <w:rFonts w:ascii="Times New Roman" w:hAnsi="Times New Roman" w:cs="Times New Roman"/>
        </w:rPr>
        <w:t>a</w:t>
      </w:r>
      <w:r w:rsidR="00B716C5">
        <w:rPr>
          <w:rFonts w:ascii="Times New Roman" w:hAnsi="Times New Roman" w:cs="Times New Roman"/>
        </w:rPr>
        <w:t>lternative ascertainment s</w:t>
      </w:r>
      <w:r w:rsidR="00E27A34">
        <w:rPr>
          <w:rFonts w:ascii="Times New Roman" w:hAnsi="Times New Roman" w:cs="Times New Roman"/>
        </w:rPr>
        <w:t>cheme, we</w:t>
      </w:r>
      <w:r w:rsidR="00B716C5">
        <w:rPr>
          <w:rFonts w:ascii="Times New Roman" w:hAnsi="Times New Roman" w:cs="Times New Roman"/>
        </w:rPr>
        <w:t xml:space="preserve"> categorize</w:t>
      </w:r>
      <w:r w:rsidR="00E27A34">
        <w:rPr>
          <w:rFonts w:ascii="Times New Roman" w:hAnsi="Times New Roman" w:cs="Times New Roman"/>
        </w:rPr>
        <w:t>d</w:t>
      </w:r>
      <w:r w:rsidR="00B716C5">
        <w:rPr>
          <w:rFonts w:ascii="Times New Roman" w:hAnsi="Times New Roman" w:cs="Times New Roman"/>
        </w:rPr>
        <w:t xml:space="preserve"> </w:t>
      </w:r>
      <w:r w:rsidR="00166A98">
        <w:rPr>
          <w:rFonts w:ascii="Times New Roman" w:hAnsi="Times New Roman" w:cs="Times New Roman"/>
        </w:rPr>
        <w:t xml:space="preserve">those </w:t>
      </w:r>
      <w:r w:rsidR="00776F92" w:rsidRPr="00DF3C33">
        <w:rPr>
          <w:rFonts w:ascii="Times New Roman" w:hAnsi="Times New Roman" w:cs="Times New Roman"/>
        </w:rPr>
        <w:t xml:space="preserve">whose 1000G projected PC1 and PC2 scores fall within 6 </w:t>
      </w:r>
      <w:r w:rsidR="008174D0">
        <w:rPr>
          <w:rFonts w:ascii="Times New Roman" w:hAnsi="Times New Roman" w:cs="Times New Roman"/>
        </w:rPr>
        <w:t>SD</w:t>
      </w:r>
      <w:r w:rsidR="00776F92" w:rsidRPr="00DF3C33">
        <w:rPr>
          <w:rFonts w:ascii="Times New Roman" w:hAnsi="Times New Roman" w:cs="Times New Roman"/>
        </w:rPr>
        <w:t xml:space="preserve"> of the mean of PC1 and PC2 of </w:t>
      </w:r>
      <w:r w:rsidR="00B716C5" w:rsidRPr="00B716C5">
        <w:rPr>
          <w:rFonts w:ascii="Times New Roman" w:hAnsi="Times New Roman" w:cs="Times New Roman"/>
        </w:rPr>
        <w:t xml:space="preserve">Utah residents with Northern and Western European </w:t>
      </w:r>
      <w:r w:rsidR="00776F92" w:rsidRPr="00DF3C33">
        <w:rPr>
          <w:rFonts w:ascii="Times New Roman" w:hAnsi="Times New Roman" w:cs="Times New Roman"/>
        </w:rPr>
        <w:t>samples</w:t>
      </w:r>
      <w:r w:rsidR="006D0E1F">
        <w:rPr>
          <w:rFonts w:ascii="Times New Roman" w:hAnsi="Times New Roman" w:cs="Times New Roman"/>
        </w:rPr>
        <w:t xml:space="preserve"> (CEU 6SD)</w:t>
      </w:r>
      <w:r w:rsidR="00E27A34">
        <w:rPr>
          <w:rFonts w:ascii="Times New Roman" w:hAnsi="Times New Roman" w:cs="Times New Roman"/>
        </w:rPr>
        <w:t xml:space="preserve"> in 1000G as European</w:t>
      </w:r>
      <w:r w:rsidR="00CE1ADF">
        <w:rPr>
          <w:rFonts w:ascii="Times New Roman" w:hAnsi="Times New Roman" w:cs="Times New Roman"/>
        </w:rPr>
        <w:t xml:space="preserve"> ancestry</w:t>
      </w:r>
      <w:r w:rsidR="00E05424">
        <w:rPr>
          <w:rFonts w:ascii="Times New Roman" w:hAnsi="Times New Roman" w:cs="Times New Roman"/>
        </w:rPr>
        <w:t xml:space="preserve">. </w:t>
      </w:r>
      <w:r w:rsidR="00E27A34">
        <w:rPr>
          <w:rFonts w:ascii="Times New Roman" w:hAnsi="Times New Roman" w:cs="Times New Roman"/>
        </w:rPr>
        <w:t xml:space="preserve">Sample size and PC1-4 plots of the resulting samples are presented in </w:t>
      </w:r>
      <w:r w:rsidR="00E27A34" w:rsidRPr="00DF3C33">
        <w:rPr>
          <w:rFonts w:ascii="Times New Roman" w:hAnsi="Times New Roman" w:cs="Times New Roman"/>
        </w:rPr>
        <w:t xml:space="preserve">Table </w:t>
      </w:r>
      <w:r w:rsidR="007F1D6E">
        <w:rPr>
          <w:rFonts w:ascii="Times New Roman" w:hAnsi="Times New Roman" w:cs="Times New Roman"/>
        </w:rPr>
        <w:t>S</w:t>
      </w:r>
      <w:r w:rsidR="00E27A34" w:rsidRPr="00DF3C33">
        <w:rPr>
          <w:rFonts w:ascii="Times New Roman" w:hAnsi="Times New Roman" w:cs="Times New Roman"/>
        </w:rPr>
        <w:t>1</w:t>
      </w:r>
      <w:r w:rsidR="00E27A34">
        <w:rPr>
          <w:rFonts w:ascii="Times New Roman" w:hAnsi="Times New Roman" w:cs="Times New Roman"/>
        </w:rPr>
        <w:t xml:space="preserve"> and Figure S5-6.</w:t>
      </w:r>
    </w:p>
    <w:p w14:paraId="683E5F8C" w14:textId="77777777" w:rsidR="006661E9" w:rsidRDefault="006661E9" w:rsidP="007352E0">
      <w:pPr>
        <w:spacing w:line="480" w:lineRule="auto"/>
        <w:rPr>
          <w:rFonts w:ascii="Times New Roman" w:hAnsi="Times New Roman" w:cs="Times New Roman"/>
          <w:i/>
          <w:iCs/>
        </w:rPr>
      </w:pPr>
    </w:p>
    <w:p w14:paraId="4C28E820" w14:textId="7DD82633" w:rsidR="007352E0" w:rsidRPr="002E1AA1" w:rsidRDefault="007352E0" w:rsidP="007352E0">
      <w:pPr>
        <w:spacing w:line="480" w:lineRule="auto"/>
        <w:rPr>
          <w:rFonts w:ascii="Times New Roman" w:hAnsi="Times New Roman" w:cs="Times New Roman"/>
          <w:i/>
          <w:iCs/>
        </w:rPr>
      </w:pPr>
      <w:r w:rsidRPr="002E1AA1">
        <w:rPr>
          <w:rFonts w:ascii="Times New Roman" w:hAnsi="Times New Roman" w:cs="Times New Roman"/>
          <w:i/>
          <w:iCs/>
        </w:rPr>
        <w:t>Phenotypes</w:t>
      </w:r>
    </w:p>
    <w:p w14:paraId="585DF34F" w14:textId="24B9123D" w:rsidR="007352E0" w:rsidRDefault="007352E0" w:rsidP="00BA7136">
      <w:pPr>
        <w:spacing w:line="480" w:lineRule="auto"/>
        <w:ind w:firstLine="720"/>
        <w:rPr>
          <w:rFonts w:ascii="Times New Roman" w:hAnsi="Times New Roman" w:cs="Times New Roman"/>
        </w:rPr>
      </w:pPr>
      <w:r>
        <w:rPr>
          <w:rFonts w:ascii="Times New Roman" w:hAnsi="Times New Roman" w:cs="Times New Roman"/>
        </w:rPr>
        <w:t>We applied the same definition for phenotypes as used in recent GWAS of tobacco use</w:t>
      </w:r>
      <w:r>
        <w:rPr>
          <w:rFonts w:ascii="Times New Roman" w:hAnsi="Times New Roman" w:cs="Times New Roman"/>
        </w:rPr>
        <w:fldChar w:fldCharType="begin"/>
      </w:r>
      <w:r w:rsidR="005B3A37">
        <w:rPr>
          <w:rFonts w:ascii="Times New Roman" w:hAnsi="Times New Roman" w:cs="Times New Roman"/>
        </w:rPr>
        <w:instrText xml:space="preserve"> ADDIN ZOTERO_ITEM CSL_CITATION {"citationID":"ny6zOGIF","properties":{"formattedCitation":"\\super 3\\nosupersub{}","plainCitation":"3","noteIndex":0},"citationItems":[{"id":558,"uris":["http://zotero.org/users/local/ndgvmCG4/items/ANC5IRD3"],"uri":["http://zotero.org/users/local/ndgvmCG4/items/ANC5IRD3"],"itemData":{"id":558,"type":"article-journal","abstract":"Tobacco and alcohol use are leading causes of mortality that influence risk for many complex diseases and disorders1. They are heritable2,3 and etiologically related4,5 behaviors that have been resistant to gene discovery efforts6-11. In sample sizes up to 1.2 million individuals, we discovered 566 genetic variants in 406 loci associated with multiple stages of tobacco use (initiation, cessation, and heaviness) as well as alcohol use, with 150 loci evidencing pleiotropic association. Smoking phenotypes were positively genetically correlated with many health conditions, whereas alcohol use was negatively correlated with these conditions, such that increased genetic risk for alcohol use is associated with lower disease risk. We report evidence for the involvement of many systems in tobacco and alcohol use, including genes involved in nicotinic, dopaminergic, and glutamatergic neurotransmission. The results provide a solid starting point to evaluate the effects of these loci in model organisms and more precise substance use measures.","container-title":"Nature Genetics","DOI":"10.1038/s41588-018-0307-5","ISSN":"1546-1718","issue":"2","journalAbbreviation":"Nature Genetics","language":"eng","note":"PMID: 30643251\nPMCID: PMC6358542","page":"237-244","source":"PubMed","title":"Association studies of up to 1.2 million individuals yield new insights into the genetic etiology of tobacco and alcohol use","volume":"51","author":[{"family":"Liu","given":"Mengzhen"},{"family":"Jiang","given":"Yu"},{"family":"Wedow","given":"Robbee"},{"family":"Li","given":"Yue"},{"family":"Brazel","given":"David M."},{"family":"Chen","given":"Fang"},{"family":"Datta","given":"Gargi"},{"family":"Davila-Velderrain","given":"Jose"},{"family":"McGuire","given":"Daniel"},{"family":"Tian","given":"Chao"},{"family":"Zhan","given":"Xiaowei"},{"literal":"23andMe Research Team"},{"literal":"HUNT All-In Psychiatry"},{"family":"Choquet","given":"Hélène"},{"family":"Docherty","given":"Anna R."},{"family":"Faul","given":"Jessica D."},{"family":"Foerster","given":"Johanna R."},{"family":"Fritsche","given":"Lars G."},{"family":"Gabrielsen","given":"Maiken Elvestad"},{"family":"Gordon","given":"Scott D."},{"family":"Haessler","given":"Jeffrey"},{"family":"Hottenga","given":"Jouke-Jan"},{"family":"Huang","given":"Hongyan"},{"family":"Jang","given":"Seon-Kyeong"},{"family":"Jansen","given":"Philip R."},{"family":"Ling","given":"Yueh"},{"family":"Mägi","given":"Reedik"},{"family":"Matoba","given":"Nana"},{"family":"McMahon","given":"George"},{"family":"Mulas","given":"Antonella"},{"family":"Orrù","given":"Valeria"},{"family":"Palviainen","given":"Teemu"},{"family":"Pandit","given":"Anita"},{"family":"Reginsson","given":"Gunnar W."},{"family":"Skogholt","given":"Anne Heidi"},{"family":"Smith","given":"Jennifer A."},{"family":"Taylor","given":"Amy E."},{"family":"Turman","given":"Constance"},{"family":"Willemsen","given":"Gonneke"},{"family":"Young","given":"Hannah"},{"family":"Young","given":"Kendra A."},{"family":"Zajac","given":"Gregory J. M."},{"family":"Zhao","given":"Wei"},{"family":"Zhou","given":"Wei"},{"family":"Bjornsdottir","given":"Gyda"},{"family":"Boardman","given":"Jason D."},{"family":"Boehnke","given":"Michael"},{"family":"Boomsma","given":"Dorret I."},{"family":"Chen","given":"Chu"},{"family":"Cucca","given":"Francesco"},{"family":"Davies","given":"Gareth E."},{"family":"Eaton","given":"Charles B."},{"family":"Ehringer","given":"Marissa A."},{"family":"Esko","given":"Tõnu"},{"family":"Fiorillo","given":"Edoardo"},{"family":"Gillespie","given":"Nathan A."},{"family":"Gudbjartsson","given":"Daniel F."},{"family":"Haller","given":"Toomas"},{"family":"Harris","given":"Kathleen Mullan"},{"family":"Heath","given":"Andrew C."},{"family":"Hewitt","given":"John K."},{"family":"Hickie","given":"Ian B."},{"family":"Hokanson","given":"John E."},{"family":"Hopfer","given":"Christian J."},{"family":"Hunter","given":"David J."},{"family":"Iacono","given":"William G."},{"family":"Johnson","given":"Eric O."},{"family":"Kamatani","given":"Yoichiro"},{"family":"Kardia","given":"Sharon L. R."},{"family":"Keller","given":"Matthew C."},{"family":"Kellis","given":"Manolis"},{"family":"Kooperberg","given":"Charles"},{"family":"Kraft","given":"Peter"},{"family":"Krauter","given":"Kenneth S."},{"family":"Laakso","given":"Markku"},{"family":"Lind","given":"Penelope A."},{"family":"Loukola","given":"Anu"},{"family":"Lutz","given":"Sharon M."},{"family":"Madden","given":"Pamela A. F."},{"family":"Martin","given":"Nicholas G."},{"family":"McGue","given":"Matt"},{"family":"McQueen","given":"Matthew B."},{"family":"Medland","given":"Sarah E."},{"family":"Metspalu","given":"Andres"},{"family":"Mohlke","given":"Karen L."},{"family":"Nielsen","given":"Jonas B."},{"family":"Okada","given":"Yukinori"},{"family":"Peters","given":"Ulrike"},{"family":"Polderman","given":"Tinca J. C."},{"family":"Posthuma","given":"Danielle"},{"family":"Reiner","given":"Alexander P."},{"family":"Rice","given":"John P."},{"family":"Rimm","given":"Eric"},{"family":"Rose","given":"Richard J."},{"family":"Runarsdottir","given":"Valgerdur"},{"family":"Stallings","given":"Michael C."},{"family":"Stančáková","given":"Alena"},{"family":"Stefansson","given":"Hreinn"},{"family":"Thai","given":"Khanh K."},{"family":"Tindle","given":"Hilary A."},{"family":"Tyrfingsson","given":"Thorarinn"},{"family":"Wall","given":"Tamara L."},{"family":"Weir","given":"David R."},{"family":"Weisner","given":"Constance"},{"family":"Whitfield","given":"John B."},{"family":"Winsvold","given":"Bendik Slagsvold"},{"family":"Yin","given":"Jie"},{"family":"Zuccolo","given":"Luisa"},{"family":"Bierut","given":"Laura J."},{"family":"Hveem","given":"Kristian"},{"family":"Lee","given":"James J."},{"family":"Munafò","given":"Marcus R."},{"family":"Saccone","given":"Nancy L."},{"family":"Willer","given":"Cristen J."},{"family":"Cornelis","given":"Marilyn C."},{"family":"David","given":"Sean P."},{"family":"Hinds","given":"David A."},{"family":"Jorgenson","given":"Eric"},{"family":"Kaprio","given":"Jaakko"},{"family":"Stitzel","given":"Jerry A."},{"family":"Stefansson","given":"Kari"},{"family":"Thorgeirsson","given":"Thorgeir E."},{"family":"Abecasis","given":"Gonçalo"},{"family":"Liu","given":"Dajiang J."},{"family":"Vrieze","given":"Scott"}],"issued":{"date-parts":[["2019"]]}}}],"schema":"https://github.com/citation-style-language/schema/raw/master/csl-citation.json"} </w:instrText>
      </w:r>
      <w:r>
        <w:rPr>
          <w:rFonts w:ascii="Times New Roman" w:hAnsi="Times New Roman" w:cs="Times New Roman"/>
        </w:rPr>
        <w:fldChar w:fldCharType="separate"/>
      </w:r>
      <w:r w:rsidR="005B3A37" w:rsidRPr="005B3A37">
        <w:rPr>
          <w:rFonts w:ascii="Times New Roman" w:hAnsi="Times New Roman" w:cs="Times New Roman"/>
          <w:szCs w:val="24"/>
          <w:vertAlign w:val="superscript"/>
        </w:rPr>
        <w:t>3</w:t>
      </w:r>
      <w:r>
        <w:rPr>
          <w:rFonts w:ascii="Times New Roman" w:hAnsi="Times New Roman" w:cs="Times New Roman"/>
        </w:rPr>
        <w:fldChar w:fldCharType="end"/>
      </w:r>
      <w:r>
        <w:rPr>
          <w:rFonts w:ascii="Times New Roman" w:hAnsi="Times New Roman" w:cs="Times New Roman"/>
        </w:rPr>
        <w:t>. A</w:t>
      </w:r>
      <w:r w:rsidRPr="00DF3C33">
        <w:rPr>
          <w:rFonts w:ascii="Times New Roman" w:hAnsi="Times New Roman" w:cs="Times New Roman"/>
        </w:rPr>
        <w:t xml:space="preserve">ge of smoking initiation </w:t>
      </w:r>
      <w:r w:rsidR="00373717">
        <w:rPr>
          <w:rFonts w:ascii="Times New Roman" w:hAnsi="Times New Roman" w:cs="Times New Roman"/>
        </w:rPr>
        <w:t>(</w:t>
      </w:r>
      <w:proofErr w:type="spellStart"/>
      <w:r w:rsidR="00373717">
        <w:rPr>
          <w:rFonts w:ascii="Times New Roman" w:hAnsi="Times New Roman" w:cs="Times New Roman"/>
        </w:rPr>
        <w:t>AgeSmk</w:t>
      </w:r>
      <w:proofErr w:type="spellEnd"/>
      <w:r w:rsidR="00373717">
        <w:rPr>
          <w:rFonts w:ascii="Times New Roman" w:hAnsi="Times New Roman" w:cs="Times New Roman"/>
        </w:rPr>
        <w:t xml:space="preserve">) </w:t>
      </w:r>
      <w:r w:rsidRPr="00DF3C33">
        <w:rPr>
          <w:rFonts w:ascii="Times New Roman" w:hAnsi="Times New Roman" w:cs="Times New Roman"/>
        </w:rPr>
        <w:t>is a continuous variable indicating age at which an individual started smoking regularly. Cigarettes per day</w:t>
      </w:r>
      <w:r w:rsidR="00373717">
        <w:rPr>
          <w:rFonts w:ascii="Times New Roman" w:hAnsi="Times New Roman" w:cs="Times New Roman"/>
        </w:rPr>
        <w:t xml:space="preserve"> (</w:t>
      </w:r>
      <w:proofErr w:type="spellStart"/>
      <w:r w:rsidR="00373717">
        <w:rPr>
          <w:rFonts w:ascii="Times New Roman" w:hAnsi="Times New Roman" w:cs="Times New Roman"/>
        </w:rPr>
        <w:t>CigDay</w:t>
      </w:r>
      <w:proofErr w:type="spellEnd"/>
      <w:r w:rsidR="00373717">
        <w:rPr>
          <w:rFonts w:ascii="Times New Roman" w:hAnsi="Times New Roman" w:cs="Times New Roman"/>
        </w:rPr>
        <w:t>)</w:t>
      </w:r>
      <w:r w:rsidRPr="00DF3C33">
        <w:rPr>
          <w:rFonts w:ascii="Times New Roman" w:hAnsi="Times New Roman" w:cs="Times New Roman"/>
        </w:rPr>
        <w:t xml:space="preserve"> is an ordina</w:t>
      </w:r>
      <w:r>
        <w:rPr>
          <w:rFonts w:ascii="Times New Roman" w:hAnsi="Times New Roman" w:cs="Times New Roman"/>
        </w:rPr>
        <w:t>l</w:t>
      </w:r>
      <w:r w:rsidRPr="00DF3C33">
        <w:rPr>
          <w:rFonts w:ascii="Times New Roman" w:hAnsi="Times New Roman" w:cs="Times New Roman"/>
        </w:rPr>
        <w:t xml:space="preserve"> variable </w:t>
      </w:r>
      <w:r>
        <w:rPr>
          <w:rFonts w:ascii="Times New Roman" w:hAnsi="Times New Roman" w:cs="Times New Roman"/>
        </w:rPr>
        <w:t>with 5 bins (1-5)</w:t>
      </w:r>
      <w:r w:rsidRPr="00DF3C33">
        <w:rPr>
          <w:rFonts w:ascii="Times New Roman" w:hAnsi="Times New Roman" w:cs="Times New Roman"/>
        </w:rPr>
        <w:t xml:space="preserve"> with higher number</w:t>
      </w:r>
      <w:r>
        <w:rPr>
          <w:rFonts w:ascii="Times New Roman" w:hAnsi="Times New Roman" w:cs="Times New Roman"/>
        </w:rPr>
        <w:t>s</w:t>
      </w:r>
      <w:r w:rsidRPr="00DF3C33">
        <w:rPr>
          <w:rFonts w:ascii="Times New Roman" w:hAnsi="Times New Roman" w:cs="Times New Roman"/>
        </w:rPr>
        <w:t xml:space="preserve"> indicating higher average number of cigarettes smoked per day, either as a current smoker or former smoker.</w:t>
      </w:r>
      <w:r>
        <w:rPr>
          <w:rFonts w:ascii="Times New Roman" w:hAnsi="Times New Roman" w:cs="Times New Roman"/>
        </w:rPr>
        <w:t xml:space="preserve"> Specifically, each bin indicates following quantity: bin1 (1~5), bin2 (6~15), bin3 (16~25), bin4 (26~35), bin5 (36+). Individuals who never smoked was set to missing. </w:t>
      </w:r>
      <w:r w:rsidRPr="00DF3C33">
        <w:rPr>
          <w:rFonts w:ascii="Times New Roman" w:hAnsi="Times New Roman" w:cs="Times New Roman"/>
        </w:rPr>
        <w:t>Smoking cessation</w:t>
      </w:r>
      <w:r w:rsidR="00373717">
        <w:rPr>
          <w:rFonts w:ascii="Times New Roman" w:hAnsi="Times New Roman" w:cs="Times New Roman"/>
        </w:rPr>
        <w:t xml:space="preserve"> (</w:t>
      </w:r>
      <w:proofErr w:type="spellStart"/>
      <w:r w:rsidR="00373717">
        <w:rPr>
          <w:rFonts w:ascii="Times New Roman" w:hAnsi="Times New Roman" w:cs="Times New Roman"/>
        </w:rPr>
        <w:t>SmkCes</w:t>
      </w:r>
      <w:proofErr w:type="spellEnd"/>
      <w:r w:rsidR="00373717">
        <w:rPr>
          <w:rFonts w:ascii="Times New Roman" w:hAnsi="Times New Roman" w:cs="Times New Roman"/>
        </w:rPr>
        <w:t>)</w:t>
      </w:r>
      <w:r>
        <w:rPr>
          <w:rFonts w:ascii="Times New Roman" w:hAnsi="Times New Roman" w:cs="Times New Roman"/>
        </w:rPr>
        <w:t xml:space="preserve"> is a binary phenotyp</w:t>
      </w:r>
      <w:r w:rsidR="00CE1ADF">
        <w:rPr>
          <w:rFonts w:ascii="Times New Roman" w:hAnsi="Times New Roman" w:cs="Times New Roman"/>
        </w:rPr>
        <w:t xml:space="preserve">e: </w:t>
      </w:r>
      <w:r>
        <w:rPr>
          <w:rFonts w:ascii="Times New Roman" w:hAnsi="Times New Roman" w:cs="Times New Roman"/>
        </w:rPr>
        <w:t>current (case=1) versus former smoker (control=0). Smoking initiation</w:t>
      </w:r>
      <w:r w:rsidR="00C05F17">
        <w:rPr>
          <w:rFonts w:ascii="Times New Roman" w:hAnsi="Times New Roman" w:cs="Times New Roman"/>
        </w:rPr>
        <w:t xml:space="preserve"> </w:t>
      </w:r>
      <w:r w:rsidR="00373717">
        <w:rPr>
          <w:rFonts w:ascii="Times New Roman" w:hAnsi="Times New Roman" w:cs="Times New Roman"/>
        </w:rPr>
        <w:t>(</w:t>
      </w:r>
      <w:proofErr w:type="spellStart"/>
      <w:r w:rsidR="00373717">
        <w:rPr>
          <w:rFonts w:ascii="Times New Roman" w:hAnsi="Times New Roman" w:cs="Times New Roman"/>
        </w:rPr>
        <w:t>SmkInit</w:t>
      </w:r>
      <w:proofErr w:type="spellEnd"/>
      <w:r w:rsidR="00373717">
        <w:rPr>
          <w:rFonts w:ascii="Times New Roman" w:hAnsi="Times New Roman" w:cs="Times New Roman"/>
        </w:rPr>
        <w:t>)</w:t>
      </w:r>
      <w:r>
        <w:rPr>
          <w:rFonts w:ascii="Times New Roman" w:hAnsi="Times New Roman" w:cs="Times New Roman"/>
        </w:rPr>
        <w:t xml:space="preserve"> is also a binary variable measuring whether one reports ever being a regular smoker in their life versus (case=1) never smoker (control=0). </w:t>
      </w:r>
      <w:r w:rsidR="00BA362C">
        <w:rPr>
          <w:rFonts w:ascii="Times New Roman" w:hAnsi="Times New Roman" w:cs="Times New Roman"/>
        </w:rPr>
        <w:t>Table S</w:t>
      </w:r>
      <w:r w:rsidR="00386BA6">
        <w:rPr>
          <w:rFonts w:ascii="Times New Roman" w:hAnsi="Times New Roman" w:cs="Times New Roman"/>
        </w:rPr>
        <w:t>2</w:t>
      </w:r>
      <w:r w:rsidRPr="00DF3C33">
        <w:rPr>
          <w:rFonts w:ascii="Times New Roman" w:hAnsi="Times New Roman" w:cs="Times New Roman"/>
        </w:rPr>
        <w:t xml:space="preserve"> shows cohort-wide and cohort-level descriptive statistics of four smoking phenotypes. For quantitative traits, i.e., </w:t>
      </w:r>
      <w:proofErr w:type="spellStart"/>
      <w:r w:rsidR="00373717">
        <w:rPr>
          <w:rFonts w:ascii="Times New Roman" w:hAnsi="Times New Roman" w:cs="Times New Roman"/>
        </w:rPr>
        <w:t>AgeSmk</w:t>
      </w:r>
      <w:proofErr w:type="spellEnd"/>
      <w:r w:rsidRPr="00DF3C33">
        <w:rPr>
          <w:rFonts w:ascii="Times New Roman" w:hAnsi="Times New Roman" w:cs="Times New Roman"/>
        </w:rPr>
        <w:t xml:space="preserve"> and </w:t>
      </w:r>
      <w:proofErr w:type="spellStart"/>
      <w:r w:rsidR="00373717">
        <w:rPr>
          <w:rFonts w:ascii="Times New Roman" w:hAnsi="Times New Roman" w:cs="Times New Roman"/>
        </w:rPr>
        <w:t>CigDay</w:t>
      </w:r>
      <w:proofErr w:type="spellEnd"/>
      <w:r w:rsidRPr="00DF3C33">
        <w:rPr>
          <w:rFonts w:ascii="Times New Roman" w:hAnsi="Times New Roman" w:cs="Times New Roman"/>
        </w:rPr>
        <w:t xml:space="preserve">, rank-based inverse normalization was applied to </w:t>
      </w:r>
      <w:r>
        <w:rPr>
          <w:rFonts w:ascii="Times New Roman" w:hAnsi="Times New Roman" w:cs="Times New Roman"/>
        </w:rPr>
        <w:t xml:space="preserve">the </w:t>
      </w:r>
      <w:r w:rsidRPr="00DF3C33">
        <w:rPr>
          <w:rFonts w:ascii="Times New Roman" w:hAnsi="Times New Roman" w:cs="Times New Roman"/>
        </w:rPr>
        <w:t xml:space="preserve">residuals taken after regressing out age, age^2, sex, and their interaction terms. </w:t>
      </w:r>
      <w:r w:rsidR="00071AB8">
        <w:rPr>
          <w:rFonts w:ascii="Times New Roman" w:hAnsi="Times New Roman" w:cs="Times New Roman"/>
        </w:rPr>
        <w:t>Figure S7</w:t>
      </w:r>
      <w:r w:rsidRPr="00D46E00">
        <w:rPr>
          <w:rFonts w:ascii="Times New Roman" w:hAnsi="Times New Roman" w:cs="Times New Roman"/>
        </w:rPr>
        <w:t xml:space="preserve"> shows the</w:t>
      </w:r>
      <w:r w:rsidRPr="00DF3C33">
        <w:rPr>
          <w:rFonts w:ascii="Times New Roman" w:hAnsi="Times New Roman" w:cs="Times New Roman"/>
        </w:rPr>
        <w:t xml:space="preserve"> distribution of </w:t>
      </w:r>
      <w:proofErr w:type="spellStart"/>
      <w:r w:rsidR="00373717">
        <w:rPr>
          <w:rFonts w:ascii="Times New Roman" w:hAnsi="Times New Roman" w:cs="Times New Roman"/>
        </w:rPr>
        <w:t>AgeSmk</w:t>
      </w:r>
      <w:proofErr w:type="spellEnd"/>
      <w:r w:rsidRPr="00DF3C33">
        <w:rPr>
          <w:rFonts w:ascii="Times New Roman" w:hAnsi="Times New Roman" w:cs="Times New Roman"/>
        </w:rPr>
        <w:t xml:space="preserve"> and </w:t>
      </w:r>
      <w:proofErr w:type="spellStart"/>
      <w:r w:rsidR="00373717">
        <w:rPr>
          <w:rFonts w:ascii="Times New Roman" w:hAnsi="Times New Roman" w:cs="Times New Roman"/>
        </w:rPr>
        <w:t>CigDay</w:t>
      </w:r>
      <w:proofErr w:type="spellEnd"/>
      <w:r w:rsidRPr="00DF3C33">
        <w:rPr>
          <w:rFonts w:ascii="Times New Roman" w:hAnsi="Times New Roman" w:cs="Times New Roman"/>
        </w:rPr>
        <w:t xml:space="preserve"> after such inverse-rank-based normalization.</w:t>
      </w:r>
      <w:r>
        <w:rPr>
          <w:rFonts w:ascii="Times New Roman" w:hAnsi="Times New Roman" w:cs="Times New Roman"/>
        </w:rPr>
        <w:t xml:space="preserve"> </w:t>
      </w:r>
    </w:p>
    <w:p w14:paraId="274BF5D1" w14:textId="644EFB9E" w:rsidR="007352E0" w:rsidRDefault="007352E0" w:rsidP="007352E0">
      <w:pPr>
        <w:spacing w:line="480" w:lineRule="auto"/>
        <w:ind w:firstLine="720"/>
        <w:rPr>
          <w:rFonts w:ascii="Times New Roman" w:hAnsi="Times New Roman" w:cs="Times New Roman"/>
        </w:rPr>
      </w:pPr>
      <w:r>
        <w:rPr>
          <w:rFonts w:ascii="Times New Roman" w:hAnsi="Times New Roman" w:cs="Times New Roman"/>
        </w:rPr>
        <w:t xml:space="preserve">The relationship </w:t>
      </w:r>
      <w:r w:rsidR="00373717">
        <w:rPr>
          <w:rFonts w:ascii="Times New Roman" w:hAnsi="Times New Roman" w:cs="Times New Roman"/>
        </w:rPr>
        <w:t>among four</w:t>
      </w:r>
      <w:r>
        <w:rPr>
          <w:rFonts w:ascii="Times New Roman" w:hAnsi="Times New Roman" w:cs="Times New Roman"/>
        </w:rPr>
        <w:t xml:space="preserve"> smoking phenotype</w:t>
      </w:r>
      <w:r w:rsidR="00373717">
        <w:rPr>
          <w:rFonts w:ascii="Times New Roman" w:hAnsi="Times New Roman" w:cs="Times New Roman"/>
        </w:rPr>
        <w:t>s was</w:t>
      </w:r>
      <w:r>
        <w:rPr>
          <w:rFonts w:ascii="Times New Roman" w:hAnsi="Times New Roman" w:cs="Times New Roman"/>
        </w:rPr>
        <w:t xml:space="preserve"> explored using linear mixed-effects regression </w:t>
      </w:r>
      <w:r w:rsidR="00071AB8">
        <w:rPr>
          <w:rFonts w:ascii="Times New Roman" w:hAnsi="Times New Roman" w:cs="Times New Roman"/>
        </w:rPr>
        <w:t>(</w:t>
      </w:r>
      <w:r>
        <w:rPr>
          <w:rFonts w:ascii="Times New Roman" w:hAnsi="Times New Roman" w:cs="Times New Roman"/>
        </w:rPr>
        <w:t xml:space="preserve">Table </w:t>
      </w:r>
      <w:r w:rsidR="00071AB8">
        <w:rPr>
          <w:rFonts w:ascii="Times New Roman" w:hAnsi="Times New Roman" w:cs="Times New Roman"/>
        </w:rPr>
        <w:t>S</w:t>
      </w:r>
      <w:r w:rsidR="00386BA6">
        <w:rPr>
          <w:rFonts w:ascii="Times New Roman" w:hAnsi="Times New Roman" w:cs="Times New Roman"/>
        </w:rPr>
        <w:t>1</w:t>
      </w:r>
      <w:r>
        <w:rPr>
          <w:rFonts w:ascii="Times New Roman" w:hAnsi="Times New Roman" w:cs="Times New Roman"/>
        </w:rPr>
        <w:t>).</w:t>
      </w:r>
      <w:r w:rsidR="00373717">
        <w:rPr>
          <w:rFonts w:ascii="Times New Roman" w:hAnsi="Times New Roman" w:cs="Times New Roman"/>
        </w:rPr>
        <w:t xml:space="preserve"> For each phenotype, they were</w:t>
      </w:r>
      <w:r>
        <w:rPr>
          <w:rFonts w:ascii="Times New Roman" w:hAnsi="Times New Roman" w:cs="Times New Roman"/>
        </w:rPr>
        <w:t xml:space="preserve"> regressed on age, sex, and the two </w:t>
      </w:r>
      <w:r w:rsidR="00373717">
        <w:rPr>
          <w:rFonts w:ascii="Times New Roman" w:hAnsi="Times New Roman" w:cs="Times New Roman"/>
        </w:rPr>
        <w:t>remaining</w:t>
      </w:r>
      <w:r>
        <w:rPr>
          <w:rFonts w:ascii="Times New Roman" w:hAnsi="Times New Roman" w:cs="Times New Roman"/>
        </w:rPr>
        <w:t xml:space="preserve"> smoking phenotypes</w:t>
      </w:r>
      <w:r w:rsidR="00373717">
        <w:rPr>
          <w:rFonts w:ascii="Times New Roman" w:hAnsi="Times New Roman" w:cs="Times New Roman"/>
        </w:rPr>
        <w:t xml:space="preserve"> (except for </w:t>
      </w:r>
      <w:proofErr w:type="spellStart"/>
      <w:r w:rsidR="00373717">
        <w:rPr>
          <w:rFonts w:ascii="Times New Roman" w:hAnsi="Times New Roman" w:cs="Times New Roman"/>
        </w:rPr>
        <w:t>SmkInit</w:t>
      </w:r>
      <w:proofErr w:type="spellEnd"/>
      <w:r w:rsidR="00373717">
        <w:rPr>
          <w:rFonts w:ascii="Times New Roman" w:hAnsi="Times New Roman" w:cs="Times New Roman"/>
        </w:rPr>
        <w:t>)</w:t>
      </w:r>
      <w:r>
        <w:rPr>
          <w:rFonts w:ascii="Times New Roman" w:hAnsi="Times New Roman" w:cs="Times New Roman"/>
        </w:rPr>
        <w:t xml:space="preserve"> as fixed covariates and cohort as a random </w:t>
      </w:r>
      <w:r w:rsidR="00373717">
        <w:rPr>
          <w:rFonts w:ascii="Times New Roman" w:hAnsi="Times New Roman" w:cs="Times New Roman"/>
        </w:rPr>
        <w:t>intercept</w:t>
      </w:r>
      <w:r>
        <w:rPr>
          <w:rFonts w:ascii="Times New Roman" w:hAnsi="Times New Roman" w:cs="Times New Roman"/>
        </w:rPr>
        <w:t xml:space="preserve">. Note that the relation between </w:t>
      </w:r>
      <w:proofErr w:type="spellStart"/>
      <w:r>
        <w:rPr>
          <w:rFonts w:ascii="Times New Roman" w:hAnsi="Times New Roman" w:cs="Times New Roman"/>
        </w:rPr>
        <w:t>SmkInit</w:t>
      </w:r>
      <w:proofErr w:type="spellEnd"/>
      <w:r>
        <w:rPr>
          <w:rFonts w:ascii="Times New Roman" w:hAnsi="Times New Roman" w:cs="Times New Roman"/>
        </w:rPr>
        <w:t xml:space="preserve"> and other </w:t>
      </w:r>
      <w:r w:rsidR="00714168">
        <w:rPr>
          <w:rFonts w:ascii="Times New Roman" w:hAnsi="Times New Roman" w:cs="Times New Roman"/>
        </w:rPr>
        <w:t>variables could not be estimated</w:t>
      </w:r>
      <w:r>
        <w:rPr>
          <w:rFonts w:ascii="Times New Roman" w:hAnsi="Times New Roman" w:cs="Times New Roman"/>
        </w:rPr>
        <w:t xml:space="preserve"> because every individual </w:t>
      </w:r>
      <w:r>
        <w:rPr>
          <w:rFonts w:ascii="Times New Roman" w:hAnsi="Times New Roman" w:cs="Times New Roman"/>
        </w:rPr>
        <w:lastRenderedPageBreak/>
        <w:t xml:space="preserve">reporting </w:t>
      </w:r>
      <w:proofErr w:type="spellStart"/>
      <w:r w:rsidR="00714168">
        <w:rPr>
          <w:rFonts w:ascii="Times New Roman" w:hAnsi="Times New Roman" w:cs="Times New Roman"/>
        </w:rPr>
        <w:t>AgeSmk</w:t>
      </w:r>
      <w:proofErr w:type="spellEnd"/>
      <w:r w:rsidR="00714168">
        <w:rPr>
          <w:rFonts w:ascii="Times New Roman" w:hAnsi="Times New Roman" w:cs="Times New Roman"/>
        </w:rPr>
        <w:t xml:space="preserve">, </w:t>
      </w:r>
      <w:proofErr w:type="spellStart"/>
      <w:r w:rsidR="00714168">
        <w:rPr>
          <w:rFonts w:ascii="Times New Roman" w:hAnsi="Times New Roman" w:cs="Times New Roman"/>
        </w:rPr>
        <w:t>CigDay</w:t>
      </w:r>
      <w:proofErr w:type="spellEnd"/>
      <w:r w:rsidR="00714168">
        <w:rPr>
          <w:rFonts w:ascii="Times New Roman" w:hAnsi="Times New Roman" w:cs="Times New Roman"/>
        </w:rPr>
        <w:t xml:space="preserve">, and </w:t>
      </w:r>
      <w:proofErr w:type="spellStart"/>
      <w:r w:rsidR="00714168">
        <w:rPr>
          <w:rFonts w:ascii="Times New Roman" w:hAnsi="Times New Roman" w:cs="Times New Roman"/>
        </w:rPr>
        <w:t>SmkCes</w:t>
      </w:r>
      <w:proofErr w:type="spellEnd"/>
      <w:r w:rsidR="00714168">
        <w:rPr>
          <w:rFonts w:ascii="Times New Roman" w:hAnsi="Times New Roman" w:cs="Times New Roman"/>
        </w:rPr>
        <w:t>, were lifetime smokers</w:t>
      </w:r>
      <w:r>
        <w:rPr>
          <w:rFonts w:ascii="Times New Roman" w:hAnsi="Times New Roman" w:cs="Times New Roman"/>
        </w:rPr>
        <w:t xml:space="preserve">. </w:t>
      </w:r>
      <w:r w:rsidR="00373717">
        <w:rPr>
          <w:rFonts w:ascii="Times New Roman" w:hAnsi="Times New Roman" w:cs="Times New Roman"/>
        </w:rPr>
        <w:t xml:space="preserve">In </w:t>
      </w:r>
      <w:r w:rsidR="00373717" w:rsidRPr="00574A2C">
        <w:rPr>
          <w:rFonts w:ascii="Courier New" w:hAnsi="Courier New" w:cs="Courier New"/>
        </w:rPr>
        <w:t>R</w:t>
      </w:r>
      <w:r w:rsidR="00373717">
        <w:rPr>
          <w:rFonts w:ascii="Courier New" w:hAnsi="Courier New" w:cs="Courier New"/>
        </w:rPr>
        <w:t>(v</w:t>
      </w:r>
      <w:r w:rsidR="00373717" w:rsidRPr="00574A2C">
        <w:rPr>
          <w:rFonts w:ascii="Courier New" w:hAnsi="Courier New" w:cs="Courier New"/>
        </w:rPr>
        <w:t>3.63</w:t>
      </w:r>
      <w:r w:rsidR="00373717">
        <w:rPr>
          <w:rFonts w:ascii="Courier New" w:hAnsi="Courier New" w:cs="Courier New"/>
        </w:rPr>
        <w:t>),</w:t>
      </w:r>
      <w:r w:rsidR="00CE1ADF" w:rsidRPr="00CE1ADF">
        <w:rPr>
          <w:rFonts w:ascii="Times New Roman" w:hAnsi="Times New Roman" w:cs="Times New Roman"/>
        </w:rPr>
        <w:t xml:space="preserve"> </w:t>
      </w:r>
      <w:r w:rsidR="00CE1ADF">
        <w:rPr>
          <w:rFonts w:ascii="Times New Roman" w:hAnsi="Times New Roman" w:cs="Times New Roman"/>
        </w:rPr>
        <w:t xml:space="preserve">we used </w:t>
      </w:r>
      <w:proofErr w:type="spellStart"/>
      <w:r w:rsidRPr="00B179AE">
        <w:rPr>
          <w:rFonts w:ascii="Courier New" w:hAnsi="Courier New" w:cs="Courier New"/>
        </w:rPr>
        <w:t>lme</w:t>
      </w:r>
      <w:proofErr w:type="spellEnd"/>
      <w:r>
        <w:rPr>
          <w:rFonts w:ascii="Times New Roman" w:hAnsi="Times New Roman" w:cs="Times New Roman"/>
        </w:rPr>
        <w:t xml:space="preserve"> function in </w:t>
      </w:r>
      <w:proofErr w:type="spellStart"/>
      <w:r w:rsidRPr="00B179AE">
        <w:rPr>
          <w:rFonts w:ascii="Courier New" w:hAnsi="Courier New" w:cs="Courier New"/>
        </w:rPr>
        <w:t>nlme</w:t>
      </w:r>
      <w:proofErr w:type="spellEnd"/>
      <w:r>
        <w:rPr>
          <w:rFonts w:ascii="Courier New" w:hAnsi="Courier New" w:cs="Courier New"/>
        </w:rPr>
        <w:t>(v3.1)</w:t>
      </w:r>
      <w:r>
        <w:rPr>
          <w:rFonts w:ascii="Times New Roman" w:hAnsi="Times New Roman" w:cs="Times New Roman"/>
        </w:rPr>
        <w:t xml:space="preserve">and </w:t>
      </w:r>
      <w:proofErr w:type="spellStart"/>
      <w:r w:rsidRPr="00B179AE">
        <w:rPr>
          <w:rFonts w:ascii="Courier New" w:hAnsi="Courier New" w:cs="Courier New"/>
        </w:rPr>
        <w:t>glmer</w:t>
      </w:r>
      <w:proofErr w:type="spellEnd"/>
      <w:r>
        <w:rPr>
          <w:rFonts w:ascii="Times New Roman" w:hAnsi="Times New Roman" w:cs="Times New Roman"/>
        </w:rPr>
        <w:t xml:space="preserve"> function in </w:t>
      </w:r>
      <w:r w:rsidRPr="00B179AE">
        <w:rPr>
          <w:rFonts w:ascii="Courier New" w:hAnsi="Courier New" w:cs="Courier New"/>
        </w:rPr>
        <w:t>lme4</w:t>
      </w:r>
      <w:r>
        <w:rPr>
          <w:rFonts w:ascii="Courier New" w:hAnsi="Courier New" w:cs="Courier New"/>
        </w:rPr>
        <w:t>(v1.1</w:t>
      </w:r>
      <w:r w:rsidR="00CE1ADF">
        <w:rPr>
          <w:rFonts w:ascii="Courier New" w:hAnsi="Courier New" w:cs="Courier New"/>
        </w:rPr>
        <w:t>)</w:t>
      </w:r>
      <w:r w:rsidR="00373717">
        <w:rPr>
          <w:rFonts w:ascii="Times New Roman" w:hAnsi="Times New Roman" w:cs="Times New Roman"/>
        </w:rPr>
        <w:t>.</w:t>
      </w:r>
    </w:p>
    <w:p w14:paraId="43AEAC8F" w14:textId="77777777" w:rsidR="006661E9" w:rsidRPr="00DF3C33" w:rsidRDefault="006661E9" w:rsidP="007352E0">
      <w:pPr>
        <w:spacing w:line="480" w:lineRule="auto"/>
        <w:ind w:firstLine="720"/>
        <w:rPr>
          <w:rFonts w:ascii="Times New Roman" w:hAnsi="Times New Roman" w:cs="Times New Roman"/>
        </w:rPr>
      </w:pPr>
    </w:p>
    <w:p w14:paraId="68338C35" w14:textId="7709F441" w:rsidR="00731F06" w:rsidRPr="00373717" w:rsidRDefault="00731F06" w:rsidP="00CB31A0">
      <w:pPr>
        <w:rPr>
          <w:rFonts w:ascii="Times New Roman" w:hAnsi="Times New Roman" w:cs="Times New Roman"/>
          <w:i/>
          <w:iCs/>
        </w:rPr>
      </w:pPr>
      <w:r w:rsidRPr="00373717">
        <w:rPr>
          <w:rFonts w:ascii="Times New Roman" w:hAnsi="Times New Roman" w:cs="Times New Roman"/>
          <w:i/>
          <w:iCs/>
        </w:rPr>
        <w:t>Genetic Relat</w:t>
      </w:r>
      <w:r w:rsidR="00CC5FA8" w:rsidRPr="00373717">
        <w:rPr>
          <w:rFonts w:ascii="Times New Roman" w:hAnsi="Times New Roman" w:cs="Times New Roman"/>
          <w:i/>
          <w:iCs/>
        </w:rPr>
        <w:t>edness</w:t>
      </w:r>
      <w:r w:rsidRPr="00373717">
        <w:rPr>
          <w:rFonts w:ascii="Times New Roman" w:hAnsi="Times New Roman" w:cs="Times New Roman"/>
          <w:i/>
          <w:iCs/>
        </w:rPr>
        <w:t xml:space="preserve"> Matrix (GRM)</w:t>
      </w:r>
      <w:r w:rsidR="00CB31A0" w:rsidRPr="00373717">
        <w:rPr>
          <w:rFonts w:ascii="Times New Roman" w:hAnsi="Times New Roman" w:cs="Times New Roman"/>
          <w:i/>
          <w:iCs/>
        </w:rPr>
        <w:t xml:space="preserve"> and LD scores</w:t>
      </w:r>
    </w:p>
    <w:p w14:paraId="5B6CFFCC" w14:textId="1895057C" w:rsidR="00CB31A0" w:rsidRPr="00DF3C33" w:rsidRDefault="00CE1ADF" w:rsidP="00CB31A0">
      <w:pPr>
        <w:spacing w:line="480" w:lineRule="auto"/>
        <w:ind w:firstLine="720"/>
        <w:rPr>
          <w:rFonts w:ascii="Times New Roman" w:hAnsi="Times New Roman" w:cs="Times New Roman"/>
        </w:rPr>
      </w:pPr>
      <w:r>
        <w:rPr>
          <w:rFonts w:ascii="Times New Roman" w:hAnsi="Times New Roman" w:cs="Times New Roman"/>
        </w:rPr>
        <w:t>We created s</w:t>
      </w:r>
      <w:r w:rsidR="00705882" w:rsidRPr="00DF3C33">
        <w:rPr>
          <w:rFonts w:ascii="Times New Roman" w:hAnsi="Times New Roman" w:cs="Times New Roman"/>
        </w:rPr>
        <w:t>ix G</w:t>
      </w:r>
      <w:r w:rsidR="00A03174" w:rsidRPr="00DF3C33">
        <w:rPr>
          <w:rFonts w:ascii="Times New Roman" w:hAnsi="Times New Roman" w:cs="Times New Roman"/>
        </w:rPr>
        <w:t xml:space="preserve">RMs </w:t>
      </w:r>
      <w:r w:rsidR="00033EB2">
        <w:rPr>
          <w:rFonts w:ascii="Times New Roman" w:hAnsi="Times New Roman" w:cs="Times New Roman"/>
        </w:rPr>
        <w:t xml:space="preserve">using </w:t>
      </w:r>
      <w:r w:rsidR="00033EB2" w:rsidRPr="00F26BB5">
        <w:rPr>
          <w:rFonts w:ascii="Courier New" w:hAnsi="Courier New" w:cs="Courier New"/>
        </w:rPr>
        <w:t>GCTAv1.9</w:t>
      </w:r>
      <w:r w:rsidR="00033EB2">
        <w:rPr>
          <w:rFonts w:ascii="Courier New" w:hAnsi="Courier New" w:cs="Courier New"/>
        </w:rPr>
        <w:t>2</w:t>
      </w:r>
      <w:r w:rsidR="00033EB2" w:rsidRPr="008C6BB6">
        <w:rPr>
          <w:rFonts w:ascii="Times New Roman" w:hAnsi="Times New Roman" w:cs="Times New Roman"/>
        </w:rPr>
        <w:t xml:space="preserve"> </w:t>
      </w:r>
      <w:r w:rsidR="00A03174" w:rsidRPr="00DF3C33">
        <w:rPr>
          <w:rFonts w:ascii="Times New Roman" w:hAnsi="Times New Roman" w:cs="Times New Roman"/>
        </w:rPr>
        <w:t>fo</w:t>
      </w:r>
      <w:r w:rsidR="003F0774" w:rsidRPr="00DF3C33">
        <w:rPr>
          <w:rFonts w:ascii="Times New Roman" w:hAnsi="Times New Roman" w:cs="Times New Roman"/>
        </w:rPr>
        <w:t>r</w:t>
      </w:r>
      <w:r w:rsidR="00A03174" w:rsidRPr="00DF3C33">
        <w:rPr>
          <w:rFonts w:ascii="Times New Roman" w:hAnsi="Times New Roman" w:cs="Times New Roman"/>
        </w:rPr>
        <w:t xml:space="preserve"> each </w:t>
      </w:r>
      <w:r w:rsidR="00705882" w:rsidRPr="00DF3C33">
        <w:rPr>
          <w:rFonts w:ascii="Times New Roman" w:hAnsi="Times New Roman" w:cs="Times New Roman"/>
        </w:rPr>
        <w:t>phenotype</w:t>
      </w:r>
      <w:r w:rsidR="003F0774" w:rsidRPr="00DF3C33">
        <w:rPr>
          <w:rFonts w:ascii="Times New Roman" w:hAnsi="Times New Roman" w:cs="Times New Roman"/>
        </w:rPr>
        <w:t xml:space="preserve">. Variants were assigned to </w:t>
      </w:r>
      <w:r w:rsidR="001F5FF2" w:rsidRPr="00DF3C33">
        <w:rPr>
          <w:rFonts w:ascii="Times New Roman" w:hAnsi="Times New Roman" w:cs="Times New Roman"/>
        </w:rPr>
        <w:t xml:space="preserve">following </w:t>
      </w:r>
      <w:r w:rsidR="00CC5FA8">
        <w:rPr>
          <w:rFonts w:ascii="Times New Roman" w:hAnsi="Times New Roman" w:cs="Times New Roman"/>
        </w:rPr>
        <w:t>six</w:t>
      </w:r>
      <w:r w:rsidR="003F0774" w:rsidRPr="00DF3C33">
        <w:rPr>
          <w:rFonts w:ascii="Times New Roman" w:hAnsi="Times New Roman" w:cs="Times New Roman"/>
        </w:rPr>
        <w:t xml:space="preserve"> bins based on the</w:t>
      </w:r>
      <w:r w:rsidR="00BA7136">
        <w:rPr>
          <w:rFonts w:ascii="Times New Roman" w:hAnsi="Times New Roman" w:cs="Times New Roman"/>
        </w:rPr>
        <w:t xml:space="preserve">ir </w:t>
      </w:r>
      <w:r w:rsidR="00714168">
        <w:rPr>
          <w:rFonts w:ascii="Times New Roman" w:hAnsi="Times New Roman" w:cs="Times New Roman"/>
        </w:rPr>
        <w:t>MAF</w:t>
      </w:r>
      <w:r w:rsidR="0053372B" w:rsidRPr="00DF3C33">
        <w:rPr>
          <w:rFonts w:ascii="Times New Roman" w:hAnsi="Times New Roman" w:cs="Times New Roman"/>
        </w:rPr>
        <w:t xml:space="preserve"> </w:t>
      </w:r>
      <w:r w:rsidR="00BA7136">
        <w:rPr>
          <w:rFonts w:ascii="Times New Roman" w:hAnsi="Times New Roman" w:cs="Times New Roman"/>
        </w:rPr>
        <w:t xml:space="preserve">and </w:t>
      </w:r>
      <w:r w:rsidR="00714168">
        <w:rPr>
          <w:rFonts w:ascii="Times New Roman" w:hAnsi="Times New Roman" w:cs="Times New Roman"/>
        </w:rPr>
        <w:t>LD score</w:t>
      </w:r>
      <w:r w:rsidR="00BA7136">
        <w:rPr>
          <w:rFonts w:ascii="Times New Roman" w:hAnsi="Times New Roman" w:cs="Times New Roman"/>
        </w:rPr>
        <w:t>s</w:t>
      </w:r>
      <w:r w:rsidR="003F0774" w:rsidRPr="00DF3C33">
        <w:rPr>
          <w:rFonts w:ascii="Times New Roman" w:hAnsi="Times New Roman" w:cs="Times New Roman"/>
        </w:rPr>
        <w:t>: high LD variants with MAF .</w:t>
      </w:r>
      <w:r w:rsidR="00FA2CA6">
        <w:rPr>
          <w:rFonts w:ascii="Times New Roman" w:hAnsi="Times New Roman" w:cs="Times New Roman"/>
        </w:rPr>
        <w:t>0</w:t>
      </w:r>
      <w:r w:rsidR="003F0774" w:rsidRPr="00DF3C33">
        <w:rPr>
          <w:rFonts w:ascii="Times New Roman" w:hAnsi="Times New Roman" w:cs="Times New Roman"/>
        </w:rPr>
        <w:t xml:space="preserve">5 ~ </w:t>
      </w:r>
      <w:r w:rsidR="00FA2CA6">
        <w:rPr>
          <w:rFonts w:ascii="Times New Roman" w:hAnsi="Times New Roman" w:cs="Times New Roman"/>
        </w:rPr>
        <w:t>.</w:t>
      </w:r>
      <w:r w:rsidR="003F0774" w:rsidRPr="00DF3C33">
        <w:rPr>
          <w:rFonts w:ascii="Times New Roman" w:hAnsi="Times New Roman" w:cs="Times New Roman"/>
        </w:rPr>
        <w:t>5</w:t>
      </w:r>
      <w:r w:rsidR="00FA2CA6">
        <w:rPr>
          <w:rFonts w:ascii="Times New Roman" w:hAnsi="Times New Roman" w:cs="Times New Roman"/>
        </w:rPr>
        <w:t xml:space="preserve"> (</w:t>
      </w:r>
      <w:r w:rsidR="00A1225B">
        <w:rPr>
          <w:rFonts w:ascii="Times New Roman" w:hAnsi="Times New Roman" w:cs="Times New Roman"/>
        </w:rPr>
        <w:t xml:space="preserve">MAF </w:t>
      </w:r>
      <w:r w:rsidR="00FA2CA6">
        <w:rPr>
          <w:rFonts w:ascii="Times New Roman" w:hAnsi="Times New Roman" w:cs="Times New Roman"/>
        </w:rPr>
        <w:t>5-50% HI),</w:t>
      </w:r>
      <w:r w:rsidR="003F0774" w:rsidRPr="00DF3C33">
        <w:rPr>
          <w:rFonts w:ascii="Times New Roman" w:hAnsi="Times New Roman" w:cs="Times New Roman"/>
        </w:rPr>
        <w:t xml:space="preserve"> low LD variants with MAF .</w:t>
      </w:r>
      <w:r w:rsidR="00FA2CA6">
        <w:rPr>
          <w:rFonts w:ascii="Times New Roman" w:hAnsi="Times New Roman" w:cs="Times New Roman"/>
        </w:rPr>
        <w:t>0</w:t>
      </w:r>
      <w:r w:rsidR="003F0774" w:rsidRPr="00DF3C33">
        <w:rPr>
          <w:rFonts w:ascii="Times New Roman" w:hAnsi="Times New Roman" w:cs="Times New Roman"/>
        </w:rPr>
        <w:t>5 ~</w:t>
      </w:r>
      <w:r>
        <w:rPr>
          <w:rFonts w:ascii="Times New Roman" w:hAnsi="Times New Roman" w:cs="Times New Roman"/>
        </w:rPr>
        <w:t xml:space="preserve"> </w:t>
      </w:r>
      <w:r w:rsidR="003F0774" w:rsidRPr="00DF3C33">
        <w:rPr>
          <w:rFonts w:ascii="Times New Roman" w:hAnsi="Times New Roman" w:cs="Times New Roman"/>
        </w:rPr>
        <w:t>.5</w:t>
      </w:r>
      <w:r w:rsidR="00FA2CA6">
        <w:rPr>
          <w:rFonts w:ascii="Times New Roman" w:hAnsi="Times New Roman" w:cs="Times New Roman"/>
        </w:rPr>
        <w:t xml:space="preserve"> (5-50% LO)</w:t>
      </w:r>
      <w:r w:rsidR="003F0774" w:rsidRPr="00DF3C33">
        <w:rPr>
          <w:rFonts w:ascii="Times New Roman" w:hAnsi="Times New Roman" w:cs="Times New Roman"/>
        </w:rPr>
        <w:t>, high LD variants with MAF .</w:t>
      </w:r>
      <w:r w:rsidR="00FA2CA6">
        <w:rPr>
          <w:rFonts w:ascii="Times New Roman" w:hAnsi="Times New Roman" w:cs="Times New Roman"/>
        </w:rPr>
        <w:t>0</w:t>
      </w:r>
      <w:r w:rsidR="003F0774" w:rsidRPr="00DF3C33">
        <w:rPr>
          <w:rFonts w:ascii="Times New Roman" w:hAnsi="Times New Roman" w:cs="Times New Roman"/>
        </w:rPr>
        <w:t>1 ~ .0</w:t>
      </w:r>
      <w:r w:rsidR="00FA2CA6">
        <w:rPr>
          <w:rFonts w:ascii="Times New Roman" w:hAnsi="Times New Roman" w:cs="Times New Roman"/>
        </w:rPr>
        <w:t>5 (1-5% HI)</w:t>
      </w:r>
      <w:r w:rsidR="003F0774" w:rsidRPr="00DF3C33">
        <w:rPr>
          <w:rFonts w:ascii="Times New Roman" w:hAnsi="Times New Roman" w:cs="Times New Roman"/>
        </w:rPr>
        <w:t>,</w:t>
      </w:r>
      <w:r w:rsidR="00FA2CA6">
        <w:rPr>
          <w:rFonts w:ascii="Times New Roman" w:hAnsi="Times New Roman" w:cs="Times New Roman"/>
        </w:rPr>
        <w:t xml:space="preserve"> </w:t>
      </w:r>
      <w:r w:rsidR="003F0774" w:rsidRPr="00DF3C33">
        <w:rPr>
          <w:rFonts w:ascii="Times New Roman" w:hAnsi="Times New Roman" w:cs="Times New Roman"/>
        </w:rPr>
        <w:t>low LD variants with MAF .</w:t>
      </w:r>
      <w:r w:rsidR="00FA2CA6">
        <w:rPr>
          <w:rFonts w:ascii="Times New Roman" w:hAnsi="Times New Roman" w:cs="Times New Roman"/>
        </w:rPr>
        <w:t>0</w:t>
      </w:r>
      <w:r w:rsidR="003F0774" w:rsidRPr="00DF3C33">
        <w:rPr>
          <w:rFonts w:ascii="Times New Roman" w:hAnsi="Times New Roman" w:cs="Times New Roman"/>
        </w:rPr>
        <w:t>1 ~ .0</w:t>
      </w:r>
      <w:r w:rsidR="00FA2CA6">
        <w:rPr>
          <w:rFonts w:ascii="Times New Roman" w:hAnsi="Times New Roman" w:cs="Times New Roman"/>
        </w:rPr>
        <w:t>5 (1-5% LO),</w:t>
      </w:r>
      <w:r w:rsidR="003F0774" w:rsidRPr="00DF3C33">
        <w:rPr>
          <w:rFonts w:ascii="Times New Roman" w:hAnsi="Times New Roman" w:cs="Times New Roman"/>
        </w:rPr>
        <w:t xml:space="preserve"> variants with MAF .01 ~ .001</w:t>
      </w:r>
      <w:r w:rsidR="00FA2CA6">
        <w:rPr>
          <w:rFonts w:ascii="Times New Roman" w:hAnsi="Times New Roman" w:cs="Times New Roman"/>
        </w:rPr>
        <w:t xml:space="preserve"> (0.1-1%)</w:t>
      </w:r>
      <w:r w:rsidR="003F0774" w:rsidRPr="00DF3C33">
        <w:rPr>
          <w:rFonts w:ascii="Times New Roman" w:hAnsi="Times New Roman" w:cs="Times New Roman"/>
        </w:rPr>
        <w:t>, variants with MAF .001 ~ .0001</w:t>
      </w:r>
      <w:r w:rsidR="00FA2CA6">
        <w:rPr>
          <w:rFonts w:ascii="Times New Roman" w:hAnsi="Times New Roman" w:cs="Times New Roman"/>
        </w:rPr>
        <w:t xml:space="preserve"> (</w:t>
      </w:r>
      <w:r>
        <w:rPr>
          <w:rFonts w:ascii="Times New Roman" w:hAnsi="Times New Roman" w:cs="Times New Roman"/>
        </w:rPr>
        <w:t>0</w:t>
      </w:r>
      <w:r w:rsidR="00FA2CA6">
        <w:rPr>
          <w:rFonts w:ascii="Times New Roman" w:hAnsi="Times New Roman" w:cs="Times New Roman"/>
        </w:rPr>
        <w:t>.01-</w:t>
      </w:r>
      <w:r>
        <w:rPr>
          <w:rFonts w:ascii="Times New Roman" w:hAnsi="Times New Roman" w:cs="Times New Roman"/>
        </w:rPr>
        <w:t>0</w:t>
      </w:r>
      <w:r w:rsidR="00FA2CA6">
        <w:rPr>
          <w:rFonts w:ascii="Times New Roman" w:hAnsi="Times New Roman" w:cs="Times New Roman"/>
        </w:rPr>
        <w:t>.1%)</w:t>
      </w:r>
      <w:r w:rsidR="003F0774" w:rsidRPr="00DF3C33">
        <w:rPr>
          <w:rFonts w:ascii="Times New Roman" w:hAnsi="Times New Roman" w:cs="Times New Roman"/>
        </w:rPr>
        <w:t>.</w:t>
      </w:r>
      <w:r w:rsidR="00BA7136">
        <w:rPr>
          <w:rFonts w:ascii="Times New Roman" w:hAnsi="Times New Roman" w:cs="Times New Roman"/>
        </w:rPr>
        <w:t xml:space="preserve"> </w:t>
      </w:r>
      <w:r w:rsidR="00A1225B">
        <w:rPr>
          <w:rFonts w:ascii="Times New Roman" w:hAnsi="Times New Roman" w:cs="Times New Roman"/>
        </w:rPr>
        <w:t xml:space="preserve">High/low LD variants were defined as being higher or lower than the median </w:t>
      </w:r>
      <w:r w:rsidR="000213CF" w:rsidRPr="00DF3C33">
        <w:rPr>
          <w:rFonts w:ascii="Times New Roman" w:hAnsi="Times New Roman" w:cs="Times New Roman"/>
        </w:rPr>
        <w:t xml:space="preserve">LD score of </w:t>
      </w:r>
      <w:r w:rsidR="00BA7136">
        <w:rPr>
          <w:rFonts w:ascii="Times New Roman" w:hAnsi="Times New Roman" w:cs="Times New Roman"/>
        </w:rPr>
        <w:t xml:space="preserve">variants belonging to </w:t>
      </w:r>
      <w:r w:rsidR="000213CF" w:rsidRPr="00DF3C33">
        <w:rPr>
          <w:rFonts w:ascii="Times New Roman" w:hAnsi="Times New Roman" w:cs="Times New Roman"/>
        </w:rPr>
        <w:t>the respective bin</w:t>
      </w:r>
      <w:r w:rsidR="00A1225B">
        <w:rPr>
          <w:rFonts w:ascii="Times New Roman" w:hAnsi="Times New Roman" w:cs="Times New Roman"/>
        </w:rPr>
        <w:t>.</w:t>
      </w:r>
      <w:r w:rsidR="00BA7136">
        <w:rPr>
          <w:rFonts w:ascii="Times New Roman" w:hAnsi="Times New Roman" w:cs="Times New Roman"/>
        </w:rPr>
        <w:t xml:space="preserve"> </w:t>
      </w:r>
      <w:r>
        <w:rPr>
          <w:rFonts w:ascii="Times New Roman" w:hAnsi="Times New Roman" w:cs="Times New Roman"/>
        </w:rPr>
        <w:t xml:space="preserve">We calculated </w:t>
      </w:r>
      <w:r w:rsidR="00CB31A0" w:rsidRPr="00DF3C33">
        <w:rPr>
          <w:rFonts w:ascii="Times New Roman" w:hAnsi="Times New Roman" w:cs="Times New Roman"/>
        </w:rPr>
        <w:t>LD score</w:t>
      </w:r>
      <w:r>
        <w:rPr>
          <w:rFonts w:ascii="Times New Roman" w:hAnsi="Times New Roman" w:cs="Times New Roman"/>
        </w:rPr>
        <w:t>s</w:t>
      </w:r>
      <w:r w:rsidR="00CB31A0" w:rsidRPr="00DF3C33">
        <w:rPr>
          <w:rFonts w:ascii="Times New Roman" w:hAnsi="Times New Roman" w:cs="Times New Roman"/>
        </w:rPr>
        <w:t xml:space="preserve"> within</w:t>
      </w:r>
      <w:r>
        <w:rPr>
          <w:rFonts w:ascii="Times New Roman" w:hAnsi="Times New Roman" w:cs="Times New Roman"/>
        </w:rPr>
        <w:t xml:space="preserve"> each</w:t>
      </w:r>
      <w:r w:rsidR="00CB31A0" w:rsidRPr="00DF3C33">
        <w:rPr>
          <w:rFonts w:ascii="Times New Roman" w:hAnsi="Times New Roman" w:cs="Times New Roman"/>
        </w:rPr>
        <w:t xml:space="preserve"> chromosome </w:t>
      </w:r>
      <w:r w:rsidR="00CB31A0">
        <w:rPr>
          <w:rFonts w:ascii="Times New Roman" w:hAnsi="Times New Roman" w:cs="Times New Roman"/>
        </w:rPr>
        <w:t>using</w:t>
      </w:r>
      <w:r w:rsidR="00CB31A0" w:rsidRPr="00DF3C33">
        <w:rPr>
          <w:rFonts w:ascii="Times New Roman" w:hAnsi="Times New Roman" w:cs="Times New Roman"/>
        </w:rPr>
        <w:t xml:space="preserve"> GCTA software (default </w:t>
      </w:r>
      <w:proofErr w:type="spellStart"/>
      <w:r w:rsidR="00CB31A0" w:rsidRPr="00DF3C33">
        <w:rPr>
          <w:rFonts w:ascii="Times New Roman" w:hAnsi="Times New Roman" w:cs="Times New Roman"/>
        </w:rPr>
        <w:t>ld</w:t>
      </w:r>
      <w:proofErr w:type="spellEnd"/>
      <w:r w:rsidR="00CB31A0" w:rsidRPr="00DF3C33">
        <w:rPr>
          <w:rFonts w:ascii="Times New Roman" w:hAnsi="Times New Roman" w:cs="Times New Roman"/>
        </w:rPr>
        <w:t xml:space="preserve">-wind 10,000kb) on a total of 47,600,816 variants </w:t>
      </w:r>
      <w:r w:rsidR="00BA7136">
        <w:rPr>
          <w:rFonts w:ascii="Times New Roman" w:hAnsi="Times New Roman" w:cs="Times New Roman"/>
        </w:rPr>
        <w:t>from</w:t>
      </w:r>
      <w:r w:rsidR="00CB31A0" w:rsidRPr="00DF3C33">
        <w:rPr>
          <w:rFonts w:ascii="Times New Roman" w:hAnsi="Times New Roman" w:cs="Times New Roman"/>
        </w:rPr>
        <w:t xml:space="preserve"> unrelated European sample</w:t>
      </w:r>
      <w:r w:rsidR="00BA7136">
        <w:rPr>
          <w:rFonts w:ascii="Times New Roman" w:hAnsi="Times New Roman" w:cs="Times New Roman"/>
        </w:rPr>
        <w:t>s</w:t>
      </w:r>
      <w:r w:rsidR="00CB31A0" w:rsidRPr="00DF3C33">
        <w:rPr>
          <w:rFonts w:ascii="Times New Roman" w:hAnsi="Times New Roman" w:cs="Times New Roman"/>
        </w:rPr>
        <w:t xml:space="preserve"> who were selected through abovementioned PC- and relatedness filtering procedures and combined across different </w:t>
      </w:r>
      <w:r w:rsidR="00CB31A0">
        <w:rPr>
          <w:rFonts w:ascii="Times New Roman" w:hAnsi="Times New Roman" w:cs="Times New Roman"/>
        </w:rPr>
        <w:t>phenotypes</w:t>
      </w:r>
      <w:r w:rsidR="00CB31A0" w:rsidRPr="00DF3C33">
        <w:rPr>
          <w:rFonts w:ascii="Times New Roman" w:hAnsi="Times New Roman" w:cs="Times New Roman"/>
        </w:rPr>
        <w:t>.</w:t>
      </w:r>
      <w:r w:rsidR="00CB31A0">
        <w:rPr>
          <w:rFonts w:ascii="Times New Roman" w:hAnsi="Times New Roman" w:cs="Times New Roman"/>
        </w:rPr>
        <w:t xml:space="preserve"> A </w:t>
      </w:r>
      <w:r w:rsidR="00CB31A0" w:rsidRPr="00DF3C33">
        <w:rPr>
          <w:rFonts w:ascii="Times New Roman" w:hAnsi="Times New Roman" w:cs="Times New Roman"/>
        </w:rPr>
        <w:t>summary of the LD score</w:t>
      </w:r>
      <w:r w:rsidR="00BA7136">
        <w:rPr>
          <w:rFonts w:ascii="Times New Roman" w:hAnsi="Times New Roman" w:cs="Times New Roman"/>
        </w:rPr>
        <w:t>s</w:t>
      </w:r>
      <w:r w:rsidR="00CB31A0" w:rsidRPr="00DF3C33">
        <w:rPr>
          <w:rFonts w:ascii="Times New Roman" w:hAnsi="Times New Roman" w:cs="Times New Roman"/>
        </w:rPr>
        <w:t xml:space="preserve"> for each bin</w:t>
      </w:r>
      <w:r w:rsidR="00CB31A0">
        <w:rPr>
          <w:rFonts w:ascii="Times New Roman" w:hAnsi="Times New Roman" w:cs="Times New Roman"/>
        </w:rPr>
        <w:t xml:space="preserve"> (smallest, </w:t>
      </w:r>
      <m:oMath>
        <m:acc>
          <m:accPr>
            <m:ctrlPr>
              <w:rPr>
                <w:rFonts w:ascii="Cambria Math" w:hAnsi="Cambria Math" w:cs="Times New Roman"/>
              </w:rPr>
            </m:ctrlPr>
          </m:accPr>
          <m:e>
            <m:r>
              <m:rPr>
                <m:sty m:val="p"/>
              </m:rPr>
              <w:rPr>
                <w:rFonts w:ascii="Cambria Math" w:hAnsi="Cambria Math" w:cs="Times New Roman"/>
              </w:rPr>
              <m:t>π</m:t>
            </m:r>
          </m:e>
        </m:acc>
        <m:r>
          <w:rPr>
            <w:rFonts w:ascii="Cambria Math" w:hAnsi="Cambria Math" w:cs="Times New Roman"/>
          </w:rPr>
          <m:t xml:space="preserve"> &lt; .025</m:t>
        </m:r>
      </m:oMath>
      <w:r w:rsidR="00CB31A0">
        <w:rPr>
          <w:rFonts w:ascii="Times New Roman" w:hAnsi="Times New Roman" w:cs="Times New Roman"/>
        </w:rPr>
        <w:t xml:space="preserve">) </w:t>
      </w:r>
      <w:r w:rsidR="00496F0D">
        <w:rPr>
          <w:rFonts w:ascii="Times New Roman" w:hAnsi="Times New Roman" w:cs="Times New Roman"/>
        </w:rPr>
        <w:t>is</w:t>
      </w:r>
      <w:r w:rsidR="00CB31A0">
        <w:rPr>
          <w:rFonts w:ascii="Times New Roman" w:hAnsi="Times New Roman" w:cs="Times New Roman"/>
        </w:rPr>
        <w:t xml:space="preserve"> presented in Table </w:t>
      </w:r>
      <w:r w:rsidR="00071AB8">
        <w:rPr>
          <w:rFonts w:ascii="Times New Roman" w:hAnsi="Times New Roman" w:cs="Times New Roman"/>
        </w:rPr>
        <w:t>S</w:t>
      </w:r>
      <w:r w:rsidR="00386BA6">
        <w:rPr>
          <w:rFonts w:ascii="Times New Roman" w:hAnsi="Times New Roman" w:cs="Times New Roman"/>
        </w:rPr>
        <w:t>3</w:t>
      </w:r>
      <w:r w:rsidR="00CB31A0">
        <w:rPr>
          <w:rFonts w:ascii="Times New Roman" w:hAnsi="Times New Roman" w:cs="Times New Roman"/>
        </w:rPr>
        <w:t>.</w:t>
      </w:r>
      <w:r w:rsidR="007876C0">
        <w:rPr>
          <w:rFonts w:ascii="Times New Roman" w:hAnsi="Times New Roman" w:cs="Times New Roman"/>
        </w:rPr>
        <w:t xml:space="preserve"> </w:t>
      </w:r>
      <w:r w:rsidR="00C74326">
        <w:rPr>
          <w:rFonts w:ascii="Times New Roman" w:hAnsi="Times New Roman" w:cs="Times New Roman"/>
        </w:rPr>
        <w:t>We estimated h</w:t>
      </w:r>
      <w:r w:rsidR="007876C0">
        <w:rPr>
          <w:rFonts w:ascii="Times New Roman" w:hAnsi="Times New Roman" w:cs="Times New Roman"/>
        </w:rPr>
        <w:t>eritability</w:t>
      </w:r>
      <w:r w:rsidR="00C74326">
        <w:rPr>
          <w:rFonts w:ascii="Times New Roman" w:hAnsi="Times New Roman" w:cs="Times New Roman"/>
        </w:rPr>
        <w:t xml:space="preserve"> without zero constraint to ob</w:t>
      </w:r>
      <w:r w:rsidR="007876C0">
        <w:rPr>
          <w:rFonts w:ascii="Times New Roman" w:hAnsi="Times New Roman" w:cs="Times New Roman"/>
        </w:rPr>
        <w:t>tain unbiased estimates.</w:t>
      </w:r>
    </w:p>
    <w:p w14:paraId="0362D58B" w14:textId="77777777" w:rsidR="00BA7136" w:rsidRDefault="00BA7136" w:rsidP="00BA7136">
      <w:pPr>
        <w:rPr>
          <w:rFonts w:ascii="Times New Roman" w:hAnsi="Times New Roman" w:cs="Times New Roman"/>
        </w:rPr>
      </w:pPr>
    </w:p>
    <w:p w14:paraId="151AC26D" w14:textId="78F8FF30" w:rsidR="0077041A" w:rsidRPr="00BA7136" w:rsidRDefault="00BA7136" w:rsidP="00BA7136">
      <w:pPr>
        <w:rPr>
          <w:rFonts w:ascii="Times New Roman" w:hAnsi="Times New Roman" w:cs="Times New Roman"/>
          <w:i/>
          <w:iCs/>
        </w:rPr>
      </w:pPr>
      <w:r w:rsidRPr="00BA7136">
        <w:rPr>
          <w:rFonts w:ascii="Times New Roman" w:hAnsi="Times New Roman" w:cs="Times New Roman"/>
          <w:i/>
          <w:iCs/>
        </w:rPr>
        <w:t>Sensitivity analysis</w:t>
      </w:r>
    </w:p>
    <w:p w14:paraId="45592C0C" w14:textId="38EEB5D5" w:rsidR="00C05F17" w:rsidRDefault="00751E26" w:rsidP="00C05F17">
      <w:pPr>
        <w:spacing w:line="480" w:lineRule="auto"/>
        <w:ind w:firstLine="720"/>
        <w:rPr>
          <w:rFonts w:ascii="Times New Roman" w:hAnsi="Times New Roman" w:cs="Times New Roman"/>
        </w:rPr>
      </w:pPr>
      <w:r>
        <w:rPr>
          <w:rFonts w:ascii="Times New Roman" w:hAnsi="Times New Roman" w:cs="Times New Roman"/>
        </w:rPr>
        <w:t xml:space="preserve">We tested sensitivity of our results </w:t>
      </w:r>
      <w:r w:rsidR="00BA7136">
        <w:rPr>
          <w:rFonts w:ascii="Times New Roman" w:hAnsi="Times New Roman" w:cs="Times New Roman"/>
        </w:rPr>
        <w:t>by comparing results across different combinations o</w:t>
      </w:r>
      <w:r w:rsidR="00C74326">
        <w:rPr>
          <w:rFonts w:ascii="Times New Roman" w:hAnsi="Times New Roman" w:cs="Times New Roman"/>
        </w:rPr>
        <w:t>f ancestry-filtering thresholds</w:t>
      </w:r>
      <w:r w:rsidR="007B57FA">
        <w:rPr>
          <w:rFonts w:ascii="Times New Roman" w:hAnsi="Times New Roman" w:cs="Times New Roman"/>
        </w:rPr>
        <w:t xml:space="preserve"> (</w:t>
      </w:r>
      <w:r w:rsidR="00BA7136">
        <w:rPr>
          <w:rFonts w:ascii="Times New Roman" w:hAnsi="Times New Roman" w:cs="Times New Roman"/>
        </w:rPr>
        <w:t>1 IQR</w:t>
      </w:r>
      <w:r w:rsidR="007B57FA">
        <w:rPr>
          <w:rFonts w:ascii="Times New Roman" w:hAnsi="Times New Roman" w:cs="Times New Roman"/>
        </w:rPr>
        <w:t>,</w:t>
      </w:r>
      <w:r w:rsidR="00BA7136">
        <w:rPr>
          <w:rFonts w:ascii="Times New Roman" w:hAnsi="Times New Roman" w:cs="Times New Roman"/>
        </w:rPr>
        <w:t xml:space="preserve"> 1.5 IQR, 2 IQR, 3 IQR</w:t>
      </w:r>
      <w:r w:rsidR="007B57FA">
        <w:rPr>
          <w:rFonts w:ascii="Times New Roman" w:hAnsi="Times New Roman" w:cs="Times New Roman"/>
        </w:rPr>
        <w:t>)</w:t>
      </w:r>
      <w:r w:rsidR="00C05F17">
        <w:rPr>
          <w:rStyle w:val="CommentReference"/>
        </w:rPr>
        <w:t xml:space="preserve">, </w:t>
      </w:r>
      <w:r>
        <w:rPr>
          <w:rFonts w:ascii="Times New Roman" w:hAnsi="Times New Roman" w:cs="Times New Roman"/>
        </w:rPr>
        <w:t>relatedness cut</w:t>
      </w:r>
      <w:r w:rsidR="007B57FA">
        <w:rPr>
          <w:rFonts w:ascii="Times New Roman" w:hAnsi="Times New Roman" w:cs="Times New Roman"/>
        </w:rPr>
        <w:t>-</w:t>
      </w:r>
      <w:r>
        <w:rPr>
          <w:rFonts w:ascii="Times New Roman" w:hAnsi="Times New Roman" w:cs="Times New Roman"/>
        </w:rPr>
        <w:t>off</w:t>
      </w:r>
      <w:r w:rsidR="002A3FD5">
        <w:rPr>
          <w:rFonts w:ascii="Times New Roman" w:hAnsi="Times New Roman" w:cs="Times New Roman"/>
        </w:rPr>
        <w:t>s</w:t>
      </w:r>
      <w:r w:rsidR="007B57FA">
        <w:rPr>
          <w:rFonts w:ascii="Times New Roman" w:hAnsi="Times New Roman" w:cs="Times New Roman"/>
        </w:rPr>
        <w:t xml:space="preserve"> (0.05, 0.025)</w:t>
      </w:r>
      <w:r w:rsidR="00BA7136">
        <w:rPr>
          <w:rFonts w:ascii="Times New Roman" w:hAnsi="Times New Roman" w:cs="Times New Roman"/>
        </w:rPr>
        <w:t xml:space="preserve"> and phenotype transformation methods</w:t>
      </w:r>
      <w:r w:rsidR="002A3FD5">
        <w:rPr>
          <w:rFonts w:ascii="Times New Roman" w:hAnsi="Times New Roman" w:cs="Times New Roman"/>
        </w:rPr>
        <w:t xml:space="preserve"> (for quantitative traits only)</w:t>
      </w:r>
      <w:r w:rsidR="00C05F17">
        <w:rPr>
          <w:rFonts w:ascii="Times New Roman" w:hAnsi="Times New Roman" w:cs="Times New Roman"/>
        </w:rPr>
        <w:t>. Details for how we created sample sets</w:t>
      </w:r>
      <w:r w:rsidR="006661E9">
        <w:rPr>
          <w:rFonts w:ascii="Times New Roman" w:hAnsi="Times New Roman" w:cs="Times New Roman"/>
        </w:rPr>
        <w:t xml:space="preserve"> with increasing ancestral variation</w:t>
      </w:r>
      <w:r w:rsidR="00C05F17">
        <w:rPr>
          <w:rFonts w:ascii="Times New Roman" w:hAnsi="Times New Roman" w:cs="Times New Roman"/>
        </w:rPr>
        <w:t xml:space="preserve"> was provided in </w:t>
      </w:r>
      <w:r w:rsidR="00C05F17" w:rsidRPr="002A3FD5">
        <w:rPr>
          <w:rFonts w:ascii="Times New Roman" w:hAnsi="Times New Roman" w:cs="Times New Roman"/>
          <w:i/>
          <w:iCs/>
        </w:rPr>
        <w:t>Phenotype</w:t>
      </w:r>
      <w:r w:rsidR="00C05F17">
        <w:rPr>
          <w:rFonts w:ascii="Times New Roman" w:hAnsi="Times New Roman" w:cs="Times New Roman"/>
        </w:rPr>
        <w:t xml:space="preserve"> section. </w:t>
      </w:r>
      <w:r w:rsidR="005C0D7D">
        <w:rPr>
          <w:rFonts w:ascii="Times New Roman" w:hAnsi="Times New Roman" w:cs="Times New Roman"/>
        </w:rPr>
        <w:t>W</w:t>
      </w:r>
      <w:r w:rsidR="007B57FA">
        <w:rPr>
          <w:rFonts w:ascii="Times New Roman" w:hAnsi="Times New Roman" w:cs="Times New Roman"/>
        </w:rPr>
        <w:t>e compared</w:t>
      </w:r>
      <w:r w:rsidR="005C0D7D">
        <w:rPr>
          <w:rFonts w:ascii="Times New Roman" w:hAnsi="Times New Roman" w:cs="Times New Roman"/>
        </w:rPr>
        <w:t xml:space="preserve"> three phenotype transformations for </w:t>
      </w:r>
      <w:proofErr w:type="spellStart"/>
      <w:r w:rsidR="00093F1F">
        <w:rPr>
          <w:rFonts w:ascii="Times New Roman" w:hAnsi="Times New Roman" w:cs="Times New Roman"/>
        </w:rPr>
        <w:t>AgeSmk</w:t>
      </w:r>
      <w:proofErr w:type="spellEnd"/>
      <w:r w:rsidR="005C0D7D">
        <w:rPr>
          <w:rFonts w:ascii="Times New Roman" w:hAnsi="Times New Roman" w:cs="Times New Roman"/>
        </w:rPr>
        <w:t>: 1)</w:t>
      </w:r>
      <w:r w:rsidR="007B57FA">
        <w:rPr>
          <w:rFonts w:ascii="Times New Roman" w:hAnsi="Times New Roman" w:cs="Times New Roman"/>
        </w:rPr>
        <w:t xml:space="preserve"> inverse rank-based transformation</w:t>
      </w:r>
      <w:r w:rsidR="005C0D7D">
        <w:rPr>
          <w:rFonts w:ascii="Times New Roman" w:hAnsi="Times New Roman" w:cs="Times New Roman"/>
        </w:rPr>
        <w:t xml:space="preserve"> </w:t>
      </w:r>
      <w:r w:rsidR="003D140C">
        <w:rPr>
          <w:rFonts w:ascii="Times New Roman" w:hAnsi="Times New Roman" w:cs="Times New Roman"/>
        </w:rPr>
        <w:t>of</w:t>
      </w:r>
      <w:r w:rsidR="005C0D7D">
        <w:rPr>
          <w:rFonts w:ascii="Times New Roman" w:hAnsi="Times New Roman" w:cs="Times New Roman"/>
        </w:rPr>
        <w:t xml:space="preserve"> the residuals after adjusting age, age^2, sex, and their interaction terms</w:t>
      </w:r>
      <w:r w:rsidR="003D140C">
        <w:rPr>
          <w:rFonts w:ascii="Times New Roman" w:hAnsi="Times New Roman" w:cs="Times New Roman"/>
        </w:rPr>
        <w:t xml:space="preserve"> </w:t>
      </w:r>
      <w:r w:rsidR="006D0E1F">
        <w:rPr>
          <w:rFonts w:ascii="Times New Roman" w:hAnsi="Times New Roman" w:cs="Times New Roman"/>
        </w:rPr>
        <w:t>for</w:t>
      </w:r>
      <w:r w:rsidR="003D140C">
        <w:rPr>
          <w:rFonts w:ascii="Times New Roman" w:hAnsi="Times New Roman" w:cs="Times New Roman"/>
        </w:rPr>
        <w:t xml:space="preserve"> phenotype in original scale</w:t>
      </w:r>
      <w:r w:rsidR="005C0D7D">
        <w:rPr>
          <w:rFonts w:ascii="Times New Roman" w:hAnsi="Times New Roman" w:cs="Times New Roman"/>
        </w:rPr>
        <w:t xml:space="preserve">, 2) </w:t>
      </w:r>
      <w:r w:rsidR="00461E3C">
        <w:rPr>
          <w:rFonts w:ascii="Times New Roman" w:hAnsi="Times New Roman" w:cs="Times New Roman"/>
        </w:rPr>
        <w:t xml:space="preserve">log-transforming phenotype and normalizing residuals </w:t>
      </w:r>
      <w:r w:rsidR="007521BD">
        <w:rPr>
          <w:rFonts w:ascii="Times New Roman" w:hAnsi="Times New Roman" w:cs="Times New Roman"/>
        </w:rPr>
        <w:t xml:space="preserve">with respect to mean and SD </w:t>
      </w:r>
      <w:r w:rsidR="005C0D7D">
        <w:rPr>
          <w:rFonts w:ascii="Times New Roman" w:hAnsi="Times New Roman" w:cs="Times New Roman"/>
        </w:rPr>
        <w:t xml:space="preserve">after </w:t>
      </w:r>
      <w:r w:rsidR="003C2AE3">
        <w:rPr>
          <w:rFonts w:ascii="Times New Roman" w:hAnsi="Times New Roman" w:cs="Times New Roman"/>
        </w:rPr>
        <w:t>regressing out</w:t>
      </w:r>
      <w:r w:rsidR="005C0D7D">
        <w:rPr>
          <w:rFonts w:ascii="Times New Roman" w:hAnsi="Times New Roman" w:cs="Times New Roman"/>
        </w:rPr>
        <w:t xml:space="preserve"> </w:t>
      </w:r>
      <w:r w:rsidR="00461E3C">
        <w:rPr>
          <w:rFonts w:ascii="Times New Roman" w:hAnsi="Times New Roman" w:cs="Times New Roman"/>
        </w:rPr>
        <w:t xml:space="preserve">the </w:t>
      </w:r>
      <w:r w:rsidR="005C0D7D">
        <w:rPr>
          <w:rFonts w:ascii="Times New Roman" w:hAnsi="Times New Roman" w:cs="Times New Roman"/>
        </w:rPr>
        <w:t xml:space="preserve">covariates mentioned above </w:t>
      </w:r>
      <w:r w:rsidR="006661E9">
        <w:rPr>
          <w:rFonts w:ascii="Times New Roman" w:hAnsi="Times New Roman" w:cs="Times New Roman"/>
        </w:rPr>
        <w:t>on</w:t>
      </w:r>
      <w:r w:rsidR="00461E3C">
        <w:rPr>
          <w:rFonts w:ascii="Times New Roman" w:hAnsi="Times New Roman" w:cs="Times New Roman"/>
        </w:rPr>
        <w:t xml:space="preserve"> the</w:t>
      </w:r>
      <w:r w:rsidR="003D140C">
        <w:rPr>
          <w:rFonts w:ascii="Times New Roman" w:hAnsi="Times New Roman" w:cs="Times New Roman"/>
        </w:rPr>
        <w:t xml:space="preserve"> </w:t>
      </w:r>
      <w:r w:rsidR="005C0D7D">
        <w:rPr>
          <w:rFonts w:ascii="Times New Roman" w:hAnsi="Times New Roman" w:cs="Times New Roman"/>
        </w:rPr>
        <w:t xml:space="preserve">log-transformed phenotype, 3) </w:t>
      </w:r>
      <w:r w:rsidR="007521BD">
        <w:rPr>
          <w:rFonts w:ascii="Times New Roman" w:hAnsi="Times New Roman" w:cs="Times New Roman"/>
        </w:rPr>
        <w:t xml:space="preserve">same as 2) except that we </w:t>
      </w:r>
      <w:r w:rsidR="005C0D7D">
        <w:rPr>
          <w:rFonts w:ascii="Times New Roman" w:hAnsi="Times New Roman" w:cs="Times New Roman"/>
        </w:rPr>
        <w:t>remov</w:t>
      </w:r>
      <w:r w:rsidR="007521BD">
        <w:rPr>
          <w:rFonts w:ascii="Times New Roman" w:hAnsi="Times New Roman" w:cs="Times New Roman"/>
        </w:rPr>
        <w:t>ed</w:t>
      </w:r>
      <w:r w:rsidR="005C0D7D">
        <w:rPr>
          <w:rFonts w:ascii="Times New Roman" w:hAnsi="Times New Roman" w:cs="Times New Roman"/>
        </w:rPr>
        <w:t xml:space="preserve"> outliers (outside 3SD range; N=189 </w:t>
      </w:r>
      <w:r w:rsidR="005C0D7D">
        <w:rPr>
          <w:rFonts w:ascii="Times New Roman" w:hAnsi="Times New Roman" w:cs="Times New Roman"/>
        </w:rPr>
        <w:lastRenderedPageBreak/>
        <w:t>removed)</w:t>
      </w:r>
      <w:r w:rsidR="003D140C">
        <w:rPr>
          <w:rFonts w:ascii="Times New Roman" w:hAnsi="Times New Roman" w:cs="Times New Roman"/>
        </w:rPr>
        <w:t xml:space="preserve"> </w:t>
      </w:r>
      <w:r w:rsidR="006D0E1F">
        <w:rPr>
          <w:rFonts w:ascii="Times New Roman" w:hAnsi="Times New Roman" w:cs="Times New Roman"/>
        </w:rPr>
        <w:t xml:space="preserve">before </w:t>
      </w:r>
      <w:r w:rsidR="006661E9">
        <w:rPr>
          <w:rFonts w:ascii="Times New Roman" w:hAnsi="Times New Roman" w:cs="Times New Roman"/>
        </w:rPr>
        <w:t xml:space="preserve">conducting </w:t>
      </w:r>
      <w:proofErr w:type="spellStart"/>
      <w:r w:rsidR="006661E9">
        <w:rPr>
          <w:rFonts w:ascii="Times New Roman" w:hAnsi="Times New Roman" w:cs="Times New Roman"/>
        </w:rPr>
        <w:t>nomarlization</w:t>
      </w:r>
      <w:proofErr w:type="spellEnd"/>
      <w:r w:rsidR="003D140C">
        <w:rPr>
          <w:rFonts w:ascii="Times New Roman" w:hAnsi="Times New Roman" w:cs="Times New Roman"/>
        </w:rPr>
        <w:t xml:space="preserve">. </w:t>
      </w:r>
      <w:r w:rsidR="002A3FD5">
        <w:rPr>
          <w:rFonts w:ascii="Times New Roman" w:hAnsi="Times New Roman" w:cs="Times New Roman"/>
        </w:rPr>
        <w:t>F</w:t>
      </w:r>
      <w:r w:rsidR="003D140C">
        <w:rPr>
          <w:rFonts w:ascii="Times New Roman" w:hAnsi="Times New Roman" w:cs="Times New Roman"/>
        </w:rPr>
        <w:t xml:space="preserve">or </w:t>
      </w:r>
      <w:proofErr w:type="spellStart"/>
      <w:r w:rsidR="00093F1F">
        <w:rPr>
          <w:rFonts w:ascii="Times New Roman" w:hAnsi="Times New Roman" w:cs="Times New Roman"/>
        </w:rPr>
        <w:t>CigDay</w:t>
      </w:r>
      <w:proofErr w:type="spellEnd"/>
      <w:r w:rsidR="003D140C">
        <w:rPr>
          <w:rFonts w:ascii="Times New Roman" w:hAnsi="Times New Roman" w:cs="Times New Roman"/>
        </w:rPr>
        <w:t xml:space="preserve">, </w:t>
      </w:r>
      <w:r w:rsidR="00093F1F">
        <w:rPr>
          <w:rFonts w:ascii="Times New Roman" w:hAnsi="Times New Roman" w:cs="Times New Roman"/>
        </w:rPr>
        <w:t xml:space="preserve">we applied </w:t>
      </w:r>
      <w:r w:rsidR="002A3FD5">
        <w:rPr>
          <w:rFonts w:ascii="Times New Roman" w:hAnsi="Times New Roman" w:cs="Times New Roman"/>
        </w:rPr>
        <w:t>the</w:t>
      </w:r>
      <w:r w:rsidR="00093F1F">
        <w:rPr>
          <w:rFonts w:ascii="Times New Roman" w:hAnsi="Times New Roman" w:cs="Times New Roman"/>
        </w:rPr>
        <w:t xml:space="preserve"> first two</w:t>
      </w:r>
      <w:r w:rsidR="002A3FD5">
        <w:rPr>
          <w:rFonts w:ascii="Times New Roman" w:hAnsi="Times New Roman" w:cs="Times New Roman"/>
        </w:rPr>
        <w:t xml:space="preserve"> transformation methods </w:t>
      </w:r>
      <w:r w:rsidR="00093F1F">
        <w:rPr>
          <w:rFonts w:ascii="Times New Roman" w:hAnsi="Times New Roman" w:cs="Times New Roman"/>
        </w:rPr>
        <w:t>described earlier. The third transformation was not applied</w:t>
      </w:r>
      <w:r w:rsidR="00C444F2">
        <w:rPr>
          <w:rFonts w:ascii="Times New Roman" w:hAnsi="Times New Roman" w:cs="Times New Roman"/>
        </w:rPr>
        <w:t xml:space="preserve"> </w:t>
      </w:r>
      <w:r w:rsidR="003D140C">
        <w:rPr>
          <w:rFonts w:ascii="Times New Roman" w:hAnsi="Times New Roman" w:cs="Times New Roman"/>
        </w:rPr>
        <w:t xml:space="preserve">since no outliers were </w:t>
      </w:r>
      <w:r w:rsidR="002A3FD5">
        <w:rPr>
          <w:rFonts w:ascii="Times New Roman" w:hAnsi="Times New Roman" w:cs="Times New Roman"/>
        </w:rPr>
        <w:t>found</w:t>
      </w:r>
      <w:r w:rsidR="00093F1F">
        <w:rPr>
          <w:rFonts w:ascii="Times New Roman" w:hAnsi="Times New Roman" w:cs="Times New Roman"/>
        </w:rPr>
        <w:t xml:space="preserve"> for </w:t>
      </w:r>
      <w:proofErr w:type="spellStart"/>
      <w:r w:rsidR="00093F1F">
        <w:rPr>
          <w:rFonts w:ascii="Times New Roman" w:hAnsi="Times New Roman" w:cs="Times New Roman"/>
        </w:rPr>
        <w:t>CigDay</w:t>
      </w:r>
      <w:proofErr w:type="spellEnd"/>
      <w:r w:rsidR="003D140C">
        <w:rPr>
          <w:rFonts w:ascii="Times New Roman" w:hAnsi="Times New Roman" w:cs="Times New Roman"/>
        </w:rPr>
        <w:t xml:space="preserve">. </w:t>
      </w:r>
      <w:r w:rsidR="003C2AE3">
        <w:rPr>
          <w:rFonts w:ascii="Times New Roman" w:hAnsi="Times New Roman" w:cs="Times New Roman"/>
        </w:rPr>
        <w:t>Finally, we</w:t>
      </w:r>
      <w:r w:rsidR="00CD4883">
        <w:rPr>
          <w:rFonts w:ascii="Times New Roman" w:hAnsi="Times New Roman" w:cs="Times New Roman"/>
        </w:rPr>
        <w:t xml:space="preserve"> compared </w:t>
      </w:r>
      <w:r w:rsidR="003C2AE3">
        <w:rPr>
          <w:rFonts w:ascii="Times New Roman" w:hAnsi="Times New Roman" w:cs="Times New Roman"/>
        </w:rPr>
        <w:t xml:space="preserve">our </w:t>
      </w:r>
      <w:r w:rsidR="00CD4883">
        <w:rPr>
          <w:rFonts w:ascii="Times New Roman" w:hAnsi="Times New Roman" w:cs="Times New Roman"/>
        </w:rPr>
        <w:t xml:space="preserve">heritability estimates from </w:t>
      </w:r>
      <w:r w:rsidR="003C2AE3">
        <w:rPr>
          <w:rFonts w:ascii="Times New Roman" w:hAnsi="Times New Roman" w:cs="Times New Roman"/>
        </w:rPr>
        <w:t>main analysis (</w:t>
      </w:r>
      <w:r w:rsidR="006D0E1F">
        <w:rPr>
          <w:rFonts w:ascii="Times New Roman" w:hAnsi="Times New Roman" w:cs="Times New Roman"/>
        </w:rPr>
        <w:t>1 IQR</w:t>
      </w:r>
      <w:r w:rsidR="00CD4883">
        <w:rPr>
          <w:rFonts w:ascii="Times New Roman" w:hAnsi="Times New Roman" w:cs="Times New Roman"/>
        </w:rPr>
        <w:t xml:space="preserve"> sample</w:t>
      </w:r>
      <w:r w:rsidR="003C2AE3">
        <w:rPr>
          <w:rFonts w:ascii="Times New Roman" w:hAnsi="Times New Roman" w:cs="Times New Roman"/>
        </w:rPr>
        <w:t>)</w:t>
      </w:r>
      <w:r w:rsidR="00CD4883">
        <w:rPr>
          <w:rFonts w:ascii="Times New Roman" w:hAnsi="Times New Roman" w:cs="Times New Roman"/>
        </w:rPr>
        <w:t xml:space="preserve"> with</w:t>
      </w:r>
      <w:r w:rsidR="006D0E1F">
        <w:rPr>
          <w:rFonts w:ascii="Times New Roman" w:hAnsi="Times New Roman" w:cs="Times New Roman"/>
        </w:rPr>
        <w:t xml:space="preserve"> those obtained from a</w:t>
      </w:r>
      <w:r w:rsidR="00CD4883">
        <w:rPr>
          <w:rFonts w:ascii="Times New Roman" w:hAnsi="Times New Roman" w:cs="Times New Roman"/>
        </w:rPr>
        <w:t xml:space="preserve">lternative sample </w:t>
      </w:r>
      <w:r w:rsidR="006D0E1F">
        <w:rPr>
          <w:rFonts w:ascii="Times New Roman" w:hAnsi="Times New Roman" w:cs="Times New Roman"/>
        </w:rPr>
        <w:t>set</w:t>
      </w:r>
      <w:r w:rsidR="00CD4883">
        <w:rPr>
          <w:rFonts w:ascii="Times New Roman" w:hAnsi="Times New Roman" w:cs="Times New Roman"/>
        </w:rPr>
        <w:t xml:space="preserve"> (</w:t>
      </w:r>
      <w:r w:rsidR="006D0E1F">
        <w:rPr>
          <w:rFonts w:ascii="Times New Roman" w:hAnsi="Times New Roman" w:cs="Times New Roman"/>
        </w:rPr>
        <w:t>C</w:t>
      </w:r>
      <w:r w:rsidR="00CD4883">
        <w:rPr>
          <w:rFonts w:ascii="Times New Roman" w:hAnsi="Times New Roman" w:cs="Times New Roman"/>
        </w:rPr>
        <w:t>EU</w:t>
      </w:r>
      <w:r w:rsidR="006D0E1F">
        <w:rPr>
          <w:rFonts w:ascii="Times New Roman" w:hAnsi="Times New Roman" w:cs="Times New Roman"/>
        </w:rPr>
        <w:t xml:space="preserve"> 6SD sample</w:t>
      </w:r>
      <w:r w:rsidR="00CD4883">
        <w:rPr>
          <w:rFonts w:ascii="Times New Roman" w:hAnsi="Times New Roman" w:cs="Times New Roman"/>
        </w:rPr>
        <w:t>).</w:t>
      </w:r>
      <w:r w:rsidR="007876C0">
        <w:rPr>
          <w:rFonts w:ascii="Times New Roman" w:hAnsi="Times New Roman" w:cs="Times New Roman"/>
        </w:rPr>
        <w:t xml:space="preserve"> W</w:t>
      </w:r>
      <w:r w:rsidR="00C05F17">
        <w:rPr>
          <w:rFonts w:ascii="Times New Roman" w:hAnsi="Times New Roman" w:cs="Times New Roman"/>
        </w:rPr>
        <w:t xml:space="preserve">e ran GREML-LDMS-I for </w:t>
      </w:r>
      <w:r w:rsidR="007876C0">
        <w:rPr>
          <w:rFonts w:ascii="Times New Roman" w:hAnsi="Times New Roman" w:cs="Times New Roman"/>
        </w:rPr>
        <w:t>each condition with the same set of covariates</w:t>
      </w:r>
      <w:r w:rsidR="00B317D7">
        <w:rPr>
          <w:rFonts w:ascii="Times New Roman" w:hAnsi="Times New Roman" w:cs="Times New Roman"/>
        </w:rPr>
        <w:t xml:space="preserve">, </w:t>
      </w:r>
      <w:r w:rsidR="003330A6">
        <w:rPr>
          <w:rFonts w:ascii="Times New Roman" w:hAnsi="Times New Roman" w:cs="Times New Roman"/>
        </w:rPr>
        <w:t>settings</w:t>
      </w:r>
      <w:r w:rsidR="00B317D7">
        <w:rPr>
          <w:rFonts w:ascii="Times New Roman" w:hAnsi="Times New Roman" w:cs="Times New Roman"/>
        </w:rPr>
        <w:t>, and procedures</w:t>
      </w:r>
      <w:r w:rsidR="003330A6">
        <w:rPr>
          <w:rFonts w:ascii="Times New Roman" w:hAnsi="Times New Roman" w:cs="Times New Roman"/>
        </w:rPr>
        <w:t>.</w:t>
      </w:r>
      <w:r w:rsidR="007876C0">
        <w:rPr>
          <w:rFonts w:ascii="Times New Roman" w:hAnsi="Times New Roman" w:cs="Times New Roman"/>
        </w:rPr>
        <w:t xml:space="preserve"> </w:t>
      </w:r>
    </w:p>
    <w:p w14:paraId="1E01FF99" w14:textId="77777777" w:rsidR="002A3FD5" w:rsidRDefault="002A3FD5" w:rsidP="00190982">
      <w:pPr>
        <w:spacing w:line="480" w:lineRule="auto"/>
        <w:rPr>
          <w:rFonts w:ascii="Times New Roman" w:hAnsi="Times New Roman" w:cs="Times New Roman"/>
        </w:rPr>
      </w:pPr>
    </w:p>
    <w:p w14:paraId="737F0DE3" w14:textId="5C5AAF40" w:rsidR="000D492E" w:rsidRPr="002A3FD5" w:rsidRDefault="00171AF4" w:rsidP="00190982">
      <w:pPr>
        <w:spacing w:line="480" w:lineRule="auto"/>
        <w:rPr>
          <w:rFonts w:ascii="Times New Roman" w:hAnsi="Times New Roman" w:cs="Times New Roman"/>
          <w:i/>
          <w:iCs/>
        </w:rPr>
      </w:pPr>
      <w:r w:rsidRPr="002A3FD5">
        <w:rPr>
          <w:rFonts w:ascii="Times New Roman" w:hAnsi="Times New Roman" w:cs="Times New Roman"/>
          <w:i/>
          <w:iCs/>
        </w:rPr>
        <w:t xml:space="preserve">Local </w:t>
      </w:r>
      <w:r w:rsidR="000D492E" w:rsidRPr="002A3FD5">
        <w:rPr>
          <w:rFonts w:ascii="Times New Roman" w:hAnsi="Times New Roman" w:cs="Times New Roman"/>
          <w:i/>
          <w:iCs/>
        </w:rPr>
        <w:t>Permutation</w:t>
      </w:r>
      <w:r w:rsidRPr="002A3FD5">
        <w:rPr>
          <w:rFonts w:ascii="Times New Roman" w:hAnsi="Times New Roman" w:cs="Times New Roman"/>
          <w:i/>
          <w:iCs/>
        </w:rPr>
        <w:t xml:space="preserve"> analysis</w:t>
      </w:r>
    </w:p>
    <w:p w14:paraId="7BE41B92" w14:textId="4F1A4E75" w:rsidR="00F04416" w:rsidRDefault="00273CE5" w:rsidP="002A3FD5">
      <w:pPr>
        <w:spacing w:line="480" w:lineRule="auto"/>
        <w:ind w:firstLine="720"/>
        <w:rPr>
          <w:rFonts w:ascii="Times New Roman" w:hAnsi="Times New Roman" w:cs="Times New Roman"/>
        </w:rPr>
      </w:pPr>
      <w:r>
        <w:rPr>
          <w:rFonts w:ascii="Times New Roman" w:hAnsi="Times New Roman" w:cs="Times New Roman"/>
        </w:rPr>
        <w:t xml:space="preserve">We estimated potential amount of </w:t>
      </w:r>
      <w:r w:rsidR="00F97C0E">
        <w:rPr>
          <w:rFonts w:ascii="Times New Roman" w:hAnsi="Times New Roman" w:cs="Times New Roman"/>
        </w:rPr>
        <w:t>residual population</w:t>
      </w:r>
      <w:r>
        <w:rPr>
          <w:rFonts w:ascii="Times New Roman" w:hAnsi="Times New Roman" w:cs="Times New Roman"/>
        </w:rPr>
        <w:t xml:space="preserve"> stratification using permutation method. </w:t>
      </w:r>
      <w:r w:rsidR="0018365C">
        <w:rPr>
          <w:rFonts w:ascii="Times New Roman" w:hAnsi="Times New Roman" w:cs="Times New Roman"/>
        </w:rPr>
        <w:t>First, we calculated genetic distance</w:t>
      </w:r>
      <w:r w:rsidR="00A355E2">
        <w:rPr>
          <w:rFonts w:ascii="Times New Roman" w:hAnsi="Times New Roman" w:cs="Times New Roman"/>
        </w:rPr>
        <w:t xml:space="preserve"> between </w:t>
      </w:r>
      <w:proofErr w:type="spellStart"/>
      <w:r w:rsidR="00A355E2">
        <w:rPr>
          <w:rFonts w:ascii="Times New Roman" w:hAnsi="Times New Roman" w:cs="Times New Roman"/>
        </w:rPr>
        <w:t>i-th</w:t>
      </w:r>
      <w:proofErr w:type="spellEnd"/>
      <w:r w:rsidR="00A355E2">
        <w:rPr>
          <w:rFonts w:ascii="Times New Roman" w:hAnsi="Times New Roman" w:cs="Times New Roman"/>
        </w:rPr>
        <w:t xml:space="preserve"> and j-</w:t>
      </w:r>
      <w:proofErr w:type="spellStart"/>
      <w:r w:rsidR="00A355E2">
        <w:rPr>
          <w:rFonts w:ascii="Times New Roman" w:hAnsi="Times New Roman" w:cs="Times New Roman"/>
        </w:rPr>
        <w:t>th</w:t>
      </w:r>
      <w:proofErr w:type="spellEnd"/>
      <w:r w:rsidR="00A355E2">
        <w:rPr>
          <w:rFonts w:ascii="Times New Roman" w:hAnsi="Times New Roman" w:cs="Times New Roman"/>
        </w:rPr>
        <w:t xml:space="preserve"> individual </w:t>
      </w:r>
      <w:r w:rsidR="00F97C0E">
        <w:rPr>
          <w:rFonts w:ascii="Times New Roman" w:hAnsi="Times New Roman" w:cs="Times New Roman"/>
        </w:rPr>
        <w:t>using following formula:</w:t>
      </w:r>
      <w:r w:rsidR="00A355E2">
        <w:rPr>
          <w:rFonts w:ascii="Times New Roman" w:hAnsi="Times New Roman" w:cs="Times New Roman"/>
        </w:rPr>
        <w:t xml:space="preserve"> </w:t>
      </w:r>
      <m:oMath>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11</m:t>
            </m:r>
          </m:sup>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k</m:t>
                </m:r>
              </m:sub>
            </m:sSub>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PC</m:t>
                        </m:r>
                      </m:e>
                      <m:sub>
                        <m:r>
                          <w:rPr>
                            <w:rFonts w:ascii="Cambria Math" w:hAnsi="Cambria Math" w:cs="Times New Roman"/>
                          </w:rPr>
                          <m:t>ki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PC</m:t>
                        </m:r>
                      </m:e>
                      <m:sub>
                        <m:r>
                          <w:rPr>
                            <w:rFonts w:ascii="Cambria Math" w:hAnsi="Cambria Math" w:cs="Times New Roman"/>
                          </w:rPr>
                          <m:t>kj</m:t>
                        </m:r>
                      </m:sub>
                    </m:sSub>
                  </m:e>
                </m:d>
              </m:e>
              <m:sup>
                <m:r>
                  <w:rPr>
                    <w:rFonts w:ascii="Cambria Math" w:hAnsi="Cambria Math" w:cs="Times New Roman"/>
                  </w:rPr>
                  <m:t>2</m:t>
                </m:r>
              </m:sup>
            </m:sSup>
          </m:e>
        </m:nary>
      </m:oMath>
      <w:r w:rsidR="00A355E2">
        <w:rPr>
          <w:rFonts w:ascii="Times New Roman" w:hAnsi="Times New Roman" w:cs="Times New Roman"/>
        </w:rPr>
        <w:t>, where PC</w:t>
      </w:r>
      <w:r w:rsidR="00F97C0E">
        <w:rPr>
          <w:rFonts w:ascii="Times New Roman" w:hAnsi="Times New Roman" w:cs="Times New Roman"/>
        </w:rPr>
        <w:t>s</w:t>
      </w:r>
      <w:r w:rsidR="00A355E2">
        <w:rPr>
          <w:rFonts w:ascii="Times New Roman" w:hAnsi="Times New Roman" w:cs="Times New Roman"/>
        </w:rPr>
        <w:t xml:space="preserve"> are principal components calculated </w:t>
      </w:r>
      <w:r w:rsidR="00F97C0E">
        <w:rPr>
          <w:rFonts w:ascii="Times New Roman" w:hAnsi="Times New Roman" w:cs="Times New Roman"/>
        </w:rPr>
        <w:t xml:space="preserve">with </w:t>
      </w:r>
      <w:r w:rsidR="00A355E2">
        <w:rPr>
          <w:rFonts w:ascii="Times New Roman" w:hAnsi="Times New Roman" w:cs="Times New Roman"/>
        </w:rPr>
        <w:t xml:space="preserve">common variants and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k</m:t>
            </m:r>
          </m:sub>
        </m:sSub>
      </m:oMath>
      <w:r w:rsidR="00F04416">
        <w:rPr>
          <w:rFonts w:ascii="Times New Roman" w:hAnsi="Times New Roman" w:cs="Times New Roman"/>
        </w:rPr>
        <w:t xml:space="preserve"> </w:t>
      </w:r>
      <w:r w:rsidR="00F97C0E">
        <w:rPr>
          <w:rFonts w:ascii="Times New Roman" w:hAnsi="Times New Roman" w:cs="Times New Roman"/>
        </w:rPr>
        <w:t>is</w:t>
      </w:r>
      <w:r w:rsidR="00F04416">
        <w:rPr>
          <w:rFonts w:ascii="Times New Roman" w:hAnsi="Times New Roman" w:cs="Times New Roman"/>
        </w:rPr>
        <w:t xml:space="preserve"> </w:t>
      </w:r>
      <w:r w:rsidR="00A355E2">
        <w:rPr>
          <w:rFonts w:ascii="Times New Roman" w:hAnsi="Times New Roman" w:cs="Times New Roman"/>
        </w:rPr>
        <w:t xml:space="preserve">eigenvalue corresponding to </w:t>
      </w:r>
      <w:r>
        <w:rPr>
          <w:rFonts w:ascii="Times New Roman" w:hAnsi="Times New Roman" w:cs="Times New Roman"/>
        </w:rPr>
        <w:t xml:space="preserve">the </w:t>
      </w:r>
      <w:r w:rsidR="00A355E2">
        <w:rPr>
          <w:rFonts w:ascii="Times New Roman" w:hAnsi="Times New Roman" w:cs="Times New Roman"/>
        </w:rPr>
        <w:t>k-</w:t>
      </w:r>
      <w:proofErr w:type="spellStart"/>
      <w:r w:rsidR="00A355E2">
        <w:rPr>
          <w:rFonts w:ascii="Times New Roman" w:hAnsi="Times New Roman" w:cs="Times New Roman"/>
        </w:rPr>
        <w:t>th</w:t>
      </w:r>
      <w:proofErr w:type="spellEnd"/>
      <w:r w:rsidR="00A355E2">
        <w:rPr>
          <w:rFonts w:ascii="Times New Roman" w:hAnsi="Times New Roman" w:cs="Times New Roman"/>
        </w:rPr>
        <w:t xml:space="preserve"> PCs. Then, we generated a list of permutations </w:t>
      </w:r>
      <w:r w:rsidR="00F04416">
        <w:rPr>
          <w:rFonts w:ascii="Times New Roman" w:hAnsi="Times New Roman" w:cs="Times New Roman"/>
        </w:rPr>
        <w:t xml:space="preserve">by randomly exchanging </w:t>
      </w:r>
      <w:proofErr w:type="spellStart"/>
      <w:r w:rsidR="00F97C0E">
        <w:rPr>
          <w:rFonts w:ascii="Times New Roman" w:hAnsi="Times New Roman" w:cs="Times New Roman"/>
        </w:rPr>
        <w:t>i-th</w:t>
      </w:r>
      <w:proofErr w:type="spellEnd"/>
      <w:r w:rsidR="00F97C0E">
        <w:rPr>
          <w:rFonts w:ascii="Times New Roman" w:hAnsi="Times New Roman" w:cs="Times New Roman"/>
        </w:rPr>
        <w:t xml:space="preserve"> </w:t>
      </w:r>
      <w:r w:rsidR="00F04416">
        <w:rPr>
          <w:rFonts w:ascii="Times New Roman" w:hAnsi="Times New Roman" w:cs="Times New Roman"/>
        </w:rPr>
        <w:t>individual with one of their</w:t>
      </w:r>
      <w:r w:rsidR="007521BD">
        <w:rPr>
          <w:rFonts w:ascii="Times New Roman" w:hAnsi="Times New Roman" w:cs="Times New Roman"/>
        </w:rPr>
        <w:t xml:space="preserve"> </w:t>
      </w:r>
      <w:r w:rsidR="00A355E2">
        <w:rPr>
          <w:rFonts w:ascii="Times New Roman" w:hAnsi="Times New Roman" w:cs="Times New Roman"/>
        </w:rPr>
        <w:t>100 nearest neighbors</w:t>
      </w:r>
      <w:r w:rsidR="00F04416">
        <w:rPr>
          <w:rFonts w:ascii="Times New Roman" w:hAnsi="Times New Roman" w:cs="Times New Roman"/>
        </w:rPr>
        <w:t xml:space="preserve"> which includes themselves. </w:t>
      </w:r>
      <w:r w:rsidR="007521BD">
        <w:rPr>
          <w:rFonts w:ascii="Times New Roman" w:hAnsi="Times New Roman" w:cs="Times New Roman"/>
        </w:rPr>
        <w:t>More d</w:t>
      </w:r>
      <w:r w:rsidR="00F04416">
        <w:rPr>
          <w:rFonts w:ascii="Times New Roman" w:hAnsi="Times New Roman" w:cs="Times New Roman"/>
        </w:rPr>
        <w:t xml:space="preserve">etailed procedure </w:t>
      </w:r>
      <w:r w:rsidR="00F97C0E">
        <w:rPr>
          <w:rFonts w:ascii="Times New Roman" w:hAnsi="Times New Roman" w:cs="Times New Roman"/>
        </w:rPr>
        <w:t>of</w:t>
      </w:r>
      <w:r w:rsidR="00F04416">
        <w:rPr>
          <w:rFonts w:ascii="Times New Roman" w:hAnsi="Times New Roman" w:cs="Times New Roman"/>
        </w:rPr>
        <w:t xml:space="preserve"> generating permutation is described </w:t>
      </w:r>
      <w:r w:rsidR="00093F1F">
        <w:rPr>
          <w:rFonts w:ascii="Times New Roman" w:hAnsi="Times New Roman" w:cs="Times New Roman"/>
        </w:rPr>
        <w:t>elsewh</w:t>
      </w:r>
      <w:r w:rsidR="007521BD">
        <w:rPr>
          <w:rFonts w:ascii="Times New Roman" w:hAnsi="Times New Roman" w:cs="Times New Roman"/>
        </w:rPr>
        <w:t>ere</w:t>
      </w:r>
      <w:r w:rsidR="00F04416">
        <w:rPr>
          <w:rFonts w:ascii="Times New Roman" w:hAnsi="Times New Roman" w:cs="Times New Roman"/>
        </w:rPr>
        <w:fldChar w:fldCharType="begin"/>
      </w:r>
      <w:r w:rsidR="005B3A37">
        <w:rPr>
          <w:rFonts w:ascii="Times New Roman" w:hAnsi="Times New Roman" w:cs="Times New Roman"/>
        </w:rPr>
        <w:instrText xml:space="preserve"> ADDIN ZOTERO_ITEM CSL_CITATION {"citationID":"Ry9APsMF","properties":{"formattedCitation":"\\super 4\\nosupersub{}","plainCitation":"4","noteIndex":0},"citationItems":[{"id":721,"uris":["http://zotero.org/users/local/ndgvmCG4/items/E34GQNCT"],"uri":["http://zotero.org/users/local/ndgvmCG4/items/E34GQNCT"],"itemData":{"id":721,"type":"webpage","title":"Taking population stratification into account by local permutations in rare-variant association studies on small samples | bioRxiv","URL":"https://www.biorxiv.org/content/10.1101/2020.01.29.924977v1","accessed":{"date-parts":[["2020",6,22]]}}}],"schema":"https://github.com/citation-style-language/schema/raw/master/csl-citation.json"} </w:instrText>
      </w:r>
      <w:r w:rsidR="00F04416">
        <w:rPr>
          <w:rFonts w:ascii="Times New Roman" w:hAnsi="Times New Roman" w:cs="Times New Roman"/>
        </w:rPr>
        <w:fldChar w:fldCharType="separate"/>
      </w:r>
      <w:r w:rsidR="005B3A37" w:rsidRPr="005B3A37">
        <w:rPr>
          <w:rFonts w:ascii="Times New Roman" w:hAnsi="Times New Roman" w:cs="Times New Roman"/>
          <w:szCs w:val="24"/>
          <w:vertAlign w:val="superscript"/>
        </w:rPr>
        <w:t>4</w:t>
      </w:r>
      <w:r w:rsidR="00F04416">
        <w:rPr>
          <w:rFonts w:ascii="Times New Roman" w:hAnsi="Times New Roman" w:cs="Times New Roman"/>
        </w:rPr>
        <w:fldChar w:fldCharType="end"/>
      </w:r>
      <w:r w:rsidR="00F04416">
        <w:rPr>
          <w:rFonts w:ascii="Times New Roman" w:hAnsi="Times New Roman" w:cs="Times New Roman"/>
        </w:rPr>
        <w:t xml:space="preserve">. </w:t>
      </w:r>
      <w:r w:rsidR="003767D8">
        <w:rPr>
          <w:rFonts w:ascii="Times New Roman" w:hAnsi="Times New Roman" w:cs="Times New Roman"/>
        </w:rPr>
        <w:t xml:space="preserve">Similar to this study, we dropped the first 50 permutations and sampled each permutation list with a step of 5 to ensure relative independence between the permutation lists. </w:t>
      </w:r>
      <w:r w:rsidR="00F04416">
        <w:rPr>
          <w:rFonts w:ascii="Times New Roman" w:hAnsi="Times New Roman" w:cs="Times New Roman"/>
        </w:rPr>
        <w:t>Taking semi-empirical approach,</w:t>
      </w:r>
      <w:r w:rsidR="00093F1F">
        <w:rPr>
          <w:rFonts w:ascii="Times New Roman" w:hAnsi="Times New Roman" w:cs="Times New Roman"/>
        </w:rPr>
        <w:t xml:space="preserve"> we calculated</w:t>
      </w:r>
      <w:r w:rsidR="00F04416">
        <w:rPr>
          <w:rFonts w:ascii="Times New Roman" w:hAnsi="Times New Roman" w:cs="Times New Roman"/>
        </w:rPr>
        <w:t xml:space="preserve"> mean and standard deviations of 200 permutation trials</w:t>
      </w:r>
      <w:r w:rsidR="00093F1F">
        <w:rPr>
          <w:rFonts w:ascii="Times New Roman" w:hAnsi="Times New Roman" w:cs="Times New Roman"/>
        </w:rPr>
        <w:t xml:space="preserve"> and used them to construct </w:t>
      </w:r>
      <w:r w:rsidR="00F04416">
        <w:rPr>
          <w:rFonts w:ascii="Times New Roman" w:hAnsi="Times New Roman" w:cs="Times New Roman"/>
        </w:rPr>
        <w:t>empirical null distribution</w:t>
      </w:r>
      <w:r w:rsidR="004C6E7B">
        <w:rPr>
          <w:rFonts w:ascii="Times New Roman" w:hAnsi="Times New Roman" w:cs="Times New Roman"/>
        </w:rPr>
        <w:t xml:space="preserve">, </w:t>
      </w:r>
      <m:oMath>
        <m:r>
          <m:rPr>
            <m:sty m:val="p"/>
          </m:rPr>
          <w:rPr>
            <w:rFonts w:ascii="Cambria Math" w:hAnsi="Cambria Math" w:cs="Times New Roman"/>
          </w:rPr>
          <m:t>Ν</m:t>
        </m:r>
        <m:r>
          <w:rPr>
            <w:rFonts w:ascii="Cambria Math" w:hAnsi="Cambria Math" w:cs="Times New Roman"/>
          </w:rPr>
          <m:t xml:space="preserve">(μ, </m:t>
        </m:r>
        <m:sSup>
          <m:sSupPr>
            <m:ctrlPr>
              <w:rPr>
                <w:rFonts w:ascii="Cambria Math" w:hAnsi="Cambria Math" w:cs="Times New Roman"/>
                <w:i/>
              </w:rPr>
            </m:ctrlPr>
          </m:sSupPr>
          <m:e>
            <m:r>
              <w:rPr>
                <w:rFonts w:ascii="Cambria Math" w:hAnsi="Cambria Math" w:cs="Times New Roman"/>
              </w:rPr>
              <m:t>σ</m:t>
            </m:r>
          </m:e>
          <m:sup>
            <m:r>
              <w:rPr>
                <w:rFonts w:ascii="Cambria Math" w:hAnsi="Cambria Math" w:cs="Times New Roman"/>
              </w:rPr>
              <m:t>2</m:t>
            </m:r>
          </m:sup>
        </m:sSup>
        <m:r>
          <w:rPr>
            <w:rFonts w:ascii="Cambria Math" w:hAnsi="Cambria Math" w:cs="Times New Roman"/>
          </w:rPr>
          <m:t>).</m:t>
        </m:r>
      </m:oMath>
      <w:r w:rsidR="00F04416">
        <w:rPr>
          <w:rFonts w:ascii="Times New Roman" w:hAnsi="Times New Roman" w:cs="Times New Roman"/>
        </w:rPr>
        <w:t xml:space="preserve"> Mean heritability </w:t>
      </w:r>
      <w:r w:rsidR="00F97C0E">
        <w:rPr>
          <w:rFonts w:ascii="Times New Roman" w:hAnsi="Times New Roman" w:cs="Times New Roman"/>
        </w:rPr>
        <w:t>departing from</w:t>
      </w:r>
      <w:r w:rsidR="00F04416">
        <w:rPr>
          <w:rFonts w:ascii="Times New Roman" w:hAnsi="Times New Roman" w:cs="Times New Roman"/>
        </w:rPr>
        <w:t xml:space="preserve"> zero would indicate </w:t>
      </w:r>
      <w:r w:rsidR="004C6E7B">
        <w:rPr>
          <w:rFonts w:ascii="Times New Roman" w:hAnsi="Times New Roman" w:cs="Times New Roman"/>
        </w:rPr>
        <w:t>potential c</w:t>
      </w:r>
      <w:r w:rsidR="00F04416">
        <w:rPr>
          <w:rFonts w:ascii="Times New Roman" w:hAnsi="Times New Roman" w:cs="Times New Roman"/>
        </w:rPr>
        <w:t xml:space="preserve">onfounding </w:t>
      </w:r>
      <w:r w:rsidR="004C6E7B">
        <w:rPr>
          <w:rFonts w:ascii="Times New Roman" w:hAnsi="Times New Roman" w:cs="Times New Roman"/>
        </w:rPr>
        <w:t>bias</w:t>
      </w:r>
      <w:r w:rsidR="00093F1F">
        <w:rPr>
          <w:rFonts w:ascii="Times New Roman" w:hAnsi="Times New Roman" w:cs="Times New Roman"/>
        </w:rPr>
        <w:t xml:space="preserve"> by population</w:t>
      </w:r>
      <w:r w:rsidR="00F97C0E">
        <w:rPr>
          <w:rFonts w:ascii="Times New Roman" w:hAnsi="Times New Roman" w:cs="Times New Roman"/>
        </w:rPr>
        <w:t xml:space="preserve"> stratification</w:t>
      </w:r>
      <w:r w:rsidR="00F04416">
        <w:rPr>
          <w:rFonts w:ascii="Times New Roman" w:hAnsi="Times New Roman" w:cs="Times New Roman"/>
        </w:rPr>
        <w:t xml:space="preserve">. </w:t>
      </w:r>
      <w:r w:rsidR="004C6E7B">
        <w:rPr>
          <w:rFonts w:ascii="Times New Roman" w:hAnsi="Times New Roman" w:cs="Times New Roman"/>
        </w:rPr>
        <w:t xml:space="preserve">We conducted one-tailed z-test for 6 bins of each phenotype to test whether </w:t>
      </w:r>
      <m:oMath>
        <m:r>
          <w:rPr>
            <w:rFonts w:ascii="Cambria Math" w:hAnsi="Cambria Math" w:cs="Times New Roman"/>
          </w:rPr>
          <m:t>μ</m:t>
        </m:r>
      </m:oMath>
      <w:r w:rsidR="004C6E7B">
        <w:rPr>
          <w:rFonts w:ascii="Times New Roman" w:hAnsi="Times New Roman" w:cs="Times New Roman"/>
        </w:rPr>
        <w:t xml:space="preserve"> is </w:t>
      </w:r>
      <w:r w:rsidR="007521BD">
        <w:rPr>
          <w:rFonts w:ascii="Times New Roman" w:hAnsi="Times New Roman" w:cs="Times New Roman"/>
        </w:rPr>
        <w:t>significantly different from</w:t>
      </w:r>
      <w:r w:rsidR="004C6E7B">
        <w:rPr>
          <w:rFonts w:ascii="Times New Roman" w:hAnsi="Times New Roman" w:cs="Times New Roman"/>
        </w:rPr>
        <w:t xml:space="preserve"> zero.</w:t>
      </w:r>
      <w:r w:rsidR="00093F1F">
        <w:rPr>
          <w:rFonts w:ascii="Times New Roman" w:hAnsi="Times New Roman" w:cs="Times New Roman"/>
        </w:rPr>
        <w:t xml:space="preserve"> We also tested heritability estimates from main analysis against empirical null distribution (Figure 1, Table S5).</w:t>
      </w:r>
    </w:p>
    <w:p w14:paraId="4262A7EF" w14:textId="77777777" w:rsidR="00F97C0E" w:rsidRDefault="00F97C0E" w:rsidP="00CF6074">
      <w:pPr>
        <w:spacing w:line="480" w:lineRule="auto"/>
        <w:rPr>
          <w:rFonts w:ascii="Times New Roman" w:hAnsi="Times New Roman" w:cs="Times New Roman"/>
        </w:rPr>
      </w:pPr>
    </w:p>
    <w:p w14:paraId="0EB191B4" w14:textId="5DD145B4" w:rsidR="00ED7FD3" w:rsidRPr="00F97C0E" w:rsidRDefault="00273CE5" w:rsidP="00CF6074">
      <w:pPr>
        <w:spacing w:line="480" w:lineRule="auto"/>
        <w:rPr>
          <w:rFonts w:ascii="Times New Roman" w:hAnsi="Times New Roman" w:cs="Times New Roman"/>
          <w:i/>
          <w:iCs/>
        </w:rPr>
      </w:pPr>
      <w:r w:rsidRPr="00F97C0E">
        <w:rPr>
          <w:rFonts w:ascii="Times New Roman" w:hAnsi="Times New Roman" w:cs="Times New Roman"/>
          <w:i/>
          <w:iCs/>
        </w:rPr>
        <w:t>P</w:t>
      </w:r>
      <w:r w:rsidR="00ED7FD3" w:rsidRPr="00F97C0E">
        <w:rPr>
          <w:rFonts w:ascii="Times New Roman" w:hAnsi="Times New Roman" w:cs="Times New Roman"/>
          <w:i/>
          <w:iCs/>
        </w:rPr>
        <w:t>edigree-based narrow-sense heritability</w:t>
      </w:r>
    </w:p>
    <w:p w14:paraId="62ECAA43" w14:textId="03E28BA8" w:rsidR="00577A8B" w:rsidRDefault="001E1987" w:rsidP="002573FF">
      <w:pPr>
        <w:spacing w:line="480" w:lineRule="auto"/>
        <w:ind w:firstLine="720"/>
        <w:rPr>
          <w:rFonts w:ascii="Times New Roman" w:hAnsi="Times New Roman" w:cs="Times New Roman"/>
        </w:rPr>
      </w:pPr>
      <w:r>
        <w:rPr>
          <w:rFonts w:ascii="Times New Roman" w:hAnsi="Times New Roman" w:cs="Times New Roman"/>
        </w:rPr>
        <w:lastRenderedPageBreak/>
        <w:t xml:space="preserve">For pedigree-based analysis, </w:t>
      </w:r>
      <w:r w:rsidR="002573FF">
        <w:rPr>
          <w:rFonts w:ascii="Times New Roman" w:hAnsi="Times New Roman" w:cs="Times New Roman"/>
        </w:rPr>
        <w:t xml:space="preserve">we </w:t>
      </w:r>
      <w:r w:rsidR="00053565">
        <w:rPr>
          <w:rFonts w:ascii="Times New Roman" w:hAnsi="Times New Roman" w:cs="Times New Roman"/>
        </w:rPr>
        <w:t>only included</w:t>
      </w:r>
      <w:r w:rsidR="002573FF">
        <w:rPr>
          <w:rFonts w:ascii="Times New Roman" w:hAnsi="Times New Roman" w:cs="Times New Roman"/>
        </w:rPr>
        <w:t xml:space="preserve"> </w:t>
      </w:r>
      <w:r>
        <w:rPr>
          <w:rFonts w:ascii="Times New Roman" w:hAnsi="Times New Roman" w:cs="Times New Roman"/>
        </w:rPr>
        <w:t xml:space="preserve">cohorts </w:t>
      </w:r>
      <w:r w:rsidR="004D5085">
        <w:rPr>
          <w:rFonts w:ascii="Times New Roman" w:hAnsi="Times New Roman" w:cs="Times New Roman"/>
        </w:rPr>
        <w:t xml:space="preserve">having </w:t>
      </w:r>
      <w:r w:rsidR="00053565">
        <w:rPr>
          <w:rFonts w:ascii="Times New Roman" w:hAnsi="Times New Roman" w:cs="Times New Roman"/>
        </w:rPr>
        <w:t>more</w:t>
      </w:r>
      <w:r w:rsidR="002573FF">
        <w:rPr>
          <w:rFonts w:ascii="Times New Roman" w:hAnsi="Times New Roman" w:cs="Times New Roman"/>
        </w:rPr>
        <w:t xml:space="preserve"> than</w:t>
      </w:r>
      <w:r w:rsidR="004D5085">
        <w:rPr>
          <w:rFonts w:ascii="Times New Roman" w:hAnsi="Times New Roman" w:cs="Times New Roman"/>
        </w:rPr>
        <w:t xml:space="preserve"> 10 pairs</w:t>
      </w:r>
      <w:r w:rsidR="002573FF">
        <w:rPr>
          <w:rFonts w:ascii="Times New Roman" w:hAnsi="Times New Roman" w:cs="Times New Roman"/>
        </w:rPr>
        <w:t xml:space="preserve"> of close relatives (i.e., those related </w:t>
      </w:r>
      <w:r w:rsidR="004D5085">
        <w:rPr>
          <w:rFonts w:ascii="Times New Roman" w:hAnsi="Times New Roman" w:cs="Times New Roman"/>
        </w:rPr>
        <w:t>greater than .375</w:t>
      </w:r>
      <w:r w:rsidR="002573FF">
        <w:rPr>
          <w:rFonts w:ascii="Times New Roman" w:hAnsi="Times New Roman" w:cs="Times New Roman"/>
        </w:rPr>
        <w:t>)</w:t>
      </w:r>
      <w:r>
        <w:rPr>
          <w:rFonts w:ascii="Times New Roman" w:hAnsi="Times New Roman" w:cs="Times New Roman"/>
        </w:rPr>
        <w:t xml:space="preserve"> </w:t>
      </w:r>
      <w:r w:rsidR="002573FF">
        <w:rPr>
          <w:rFonts w:ascii="Times New Roman" w:hAnsi="Times New Roman" w:cs="Times New Roman"/>
        </w:rPr>
        <w:t xml:space="preserve">from 1 IQR European samples which has not been filtered by relatedness yet. This is </w:t>
      </w:r>
      <w:r>
        <w:rPr>
          <w:rFonts w:ascii="Times New Roman" w:hAnsi="Times New Roman" w:cs="Times New Roman"/>
        </w:rPr>
        <w:t xml:space="preserve">to prevent </w:t>
      </w:r>
      <w:r w:rsidR="002573FF">
        <w:rPr>
          <w:rFonts w:ascii="Times New Roman" w:hAnsi="Times New Roman" w:cs="Times New Roman"/>
        </w:rPr>
        <w:t>the r</w:t>
      </w:r>
      <w:r>
        <w:rPr>
          <w:rFonts w:ascii="Times New Roman" w:hAnsi="Times New Roman" w:cs="Times New Roman"/>
        </w:rPr>
        <w:t xml:space="preserve">elatedness structure </w:t>
      </w:r>
      <w:r w:rsidR="002573FF">
        <w:rPr>
          <w:rFonts w:ascii="Times New Roman" w:hAnsi="Times New Roman" w:cs="Times New Roman"/>
        </w:rPr>
        <w:t>from b</w:t>
      </w:r>
      <w:r w:rsidR="00053565">
        <w:rPr>
          <w:rFonts w:ascii="Times New Roman" w:hAnsi="Times New Roman" w:cs="Times New Roman"/>
        </w:rPr>
        <w:t>ecoming</w:t>
      </w:r>
      <w:r>
        <w:rPr>
          <w:rFonts w:ascii="Times New Roman" w:hAnsi="Times New Roman" w:cs="Times New Roman"/>
        </w:rPr>
        <w:t xml:space="preserve"> too low in which case heritability estimates can be deflated</w:t>
      </w:r>
      <w:r>
        <w:rPr>
          <w:rFonts w:ascii="Times New Roman" w:hAnsi="Times New Roman" w:cs="Times New Roman"/>
        </w:rPr>
        <w:fldChar w:fldCharType="begin"/>
      </w:r>
      <w:r w:rsidR="005B3A37">
        <w:rPr>
          <w:rFonts w:ascii="Times New Roman" w:hAnsi="Times New Roman" w:cs="Times New Roman"/>
        </w:rPr>
        <w:instrText xml:space="preserve"> ADDIN ZOTERO_ITEM CSL_CITATION {"citationID":"VKExg8H9","properties":{"formattedCitation":"\\super 5\\nosupersub{}","plainCitation":"5","noteIndex":0},"citationItems":[{"id":740,"uris":["http://zotero.org/users/local/ndgvmCG4/items/VV23UJAL"],"uri":["http://zotero.org/users/local/ndgvmCG4/items/VV23UJAL"],"itemData":{"id":740,"type":"article-journal","abstract":"Important knowledge about the determinants of complex human phenotypes can be obtained from the estimation of heritability, the fraction of phenotypic variation in a population that is determined by genetic factors. Here, we make use of extensive phenotype data in Iceland, long-range phased genotypes, and a population-wide genealogical database to examine the heritability of 11 quantitative and 12 dichotomous phenotypes in a sample of 38,167 individuals. Most previous estimates of heritability are derived from family-based approaches such as twin studies, which may be biased upwards by epistatic interactions or shared environment. Our estimates of heritability, based on both closely and distantly related pairs of individuals, are significantly lower than those from previous studies. We examine phenotypic correlations across a range of relationships, from siblings to first cousins, and find that the excess phenotypic correlation in these related individuals is predominantly due to shared environment as opposed to dominance or epistasis. We also develop a new method to jointly estimate narrow-sense heritability and the heritability explained by genotyped SNPs. Unlike existing methods, this approach permits the use of information from both closely and distantly related pairs of individuals, thereby reducing the variance of estimates of heritability explained by genotyped SNPs while preventing upward bias. Our results show that common SNPs explain a larger proportion of the heritability than previously thought, with SNPs present on Illumina 300K genotyping arrays explaining more than half of the heritability for the 23 phenotypes examined in this study. Much of the remaining heritability is likely to be due to rare alleles that are not captured by standard genotyping arrays.","container-title":"PLOS Genetics","DOI":"10.1371/journal.pgen.1003520","ISSN":"1553-7404","issue":"5","journalAbbreviation":"PLOS Genetics","language":"en","note":"publisher: Public Library of Science","page":"e1003520","source":"PLoS Journals","title":"Using Extended Genealogy to Estimate Components of Heritability for 23 Quantitative and Dichotomous Traits","volume":"9","author":[{"family":"Zaitlen","given":"Noah"},{"family":"Kraft","given":"Peter"},{"family":"Patterson","given":"Nick"},{"family":"Pasaniuc","given":"Bogdan"},{"family":"Bhatia","given":"Gaurav"},{"family":"Pollack","given":"Samuela"},{"family":"Price","given":"Alkes L."}],"issued":{"date-parts":[["2013",5,30]]}}}],"schema":"https://github.com/citation-style-language/schema/raw/master/csl-citation.json"} </w:instrText>
      </w:r>
      <w:r>
        <w:rPr>
          <w:rFonts w:ascii="Times New Roman" w:hAnsi="Times New Roman" w:cs="Times New Roman"/>
        </w:rPr>
        <w:fldChar w:fldCharType="separate"/>
      </w:r>
      <w:r w:rsidR="005B3A37" w:rsidRPr="005B3A37">
        <w:rPr>
          <w:rFonts w:ascii="Times New Roman" w:hAnsi="Times New Roman" w:cs="Times New Roman"/>
          <w:szCs w:val="24"/>
          <w:vertAlign w:val="superscript"/>
        </w:rPr>
        <w:t>5</w:t>
      </w:r>
      <w:r>
        <w:rPr>
          <w:rFonts w:ascii="Times New Roman" w:hAnsi="Times New Roman" w:cs="Times New Roman"/>
        </w:rPr>
        <w:fldChar w:fldCharType="end"/>
      </w:r>
      <w:r w:rsidR="004D5085">
        <w:rPr>
          <w:rFonts w:ascii="Times New Roman" w:hAnsi="Times New Roman" w:cs="Times New Roman"/>
        </w:rPr>
        <w:t>.</w:t>
      </w:r>
      <w:r w:rsidR="008967C5">
        <w:rPr>
          <w:rFonts w:ascii="Times New Roman" w:hAnsi="Times New Roman" w:cs="Times New Roman"/>
        </w:rPr>
        <w:t xml:space="preserve"> </w:t>
      </w:r>
      <w:r w:rsidR="007B52C2">
        <w:rPr>
          <w:rFonts w:ascii="Times New Roman" w:hAnsi="Times New Roman" w:cs="Times New Roman"/>
        </w:rPr>
        <w:t>Then, w</w:t>
      </w:r>
      <w:r w:rsidR="004D5085">
        <w:rPr>
          <w:rFonts w:ascii="Times New Roman" w:hAnsi="Times New Roman" w:cs="Times New Roman"/>
        </w:rPr>
        <w:t xml:space="preserve">e </w:t>
      </w:r>
      <w:r w:rsidR="00CF6074">
        <w:rPr>
          <w:rFonts w:ascii="Times New Roman" w:hAnsi="Times New Roman" w:cs="Times New Roman"/>
        </w:rPr>
        <w:t>r</w:t>
      </w:r>
      <w:r w:rsidR="004D5085">
        <w:rPr>
          <w:rFonts w:ascii="Times New Roman" w:hAnsi="Times New Roman" w:cs="Times New Roman"/>
        </w:rPr>
        <w:t xml:space="preserve">emoved one in the </w:t>
      </w:r>
      <w:r w:rsidR="00CF6074">
        <w:rPr>
          <w:rFonts w:ascii="Times New Roman" w:hAnsi="Times New Roman" w:cs="Times New Roman"/>
        </w:rPr>
        <w:t xml:space="preserve">pairs related greater than .8 to prevent duplicates or monozygotic twins </w:t>
      </w:r>
      <w:r w:rsidR="00505009">
        <w:rPr>
          <w:rFonts w:ascii="Times New Roman" w:hAnsi="Times New Roman" w:cs="Times New Roman"/>
        </w:rPr>
        <w:t xml:space="preserve">(which are indistinguishable) </w:t>
      </w:r>
      <w:r w:rsidR="00CF6074">
        <w:rPr>
          <w:rFonts w:ascii="Times New Roman" w:hAnsi="Times New Roman" w:cs="Times New Roman"/>
        </w:rPr>
        <w:t xml:space="preserve">being </w:t>
      </w:r>
      <w:r w:rsidR="004D5085">
        <w:rPr>
          <w:rFonts w:ascii="Times New Roman" w:hAnsi="Times New Roman" w:cs="Times New Roman"/>
        </w:rPr>
        <w:t xml:space="preserve">accidentally </w:t>
      </w:r>
      <w:r w:rsidR="00CF6074">
        <w:rPr>
          <w:rFonts w:ascii="Times New Roman" w:hAnsi="Times New Roman" w:cs="Times New Roman"/>
        </w:rPr>
        <w:t>included</w:t>
      </w:r>
      <w:r w:rsidR="004D5085">
        <w:rPr>
          <w:rFonts w:ascii="Times New Roman" w:hAnsi="Times New Roman" w:cs="Times New Roman"/>
        </w:rPr>
        <w:t>.</w:t>
      </w:r>
      <w:r w:rsidR="00053565">
        <w:rPr>
          <w:rFonts w:ascii="Times New Roman" w:hAnsi="Times New Roman" w:cs="Times New Roman"/>
        </w:rPr>
        <w:t xml:space="preserve"> Next, </w:t>
      </w:r>
      <w:r w:rsidR="002A6B13">
        <w:rPr>
          <w:rFonts w:ascii="Times New Roman" w:hAnsi="Times New Roman" w:cs="Times New Roman"/>
        </w:rPr>
        <w:t xml:space="preserve">we created </w:t>
      </w:r>
      <w:r w:rsidR="00053565">
        <w:rPr>
          <w:rFonts w:ascii="Times New Roman" w:hAnsi="Times New Roman" w:cs="Times New Roman"/>
        </w:rPr>
        <w:t>GRM</w:t>
      </w:r>
      <w:r w:rsidR="002A6B13">
        <w:rPr>
          <w:rFonts w:ascii="Times New Roman" w:hAnsi="Times New Roman" w:cs="Times New Roman"/>
        </w:rPr>
        <w:t xml:space="preserve"> </w:t>
      </w:r>
      <w:r w:rsidR="00053565">
        <w:rPr>
          <w:rFonts w:ascii="Times New Roman" w:hAnsi="Times New Roman" w:cs="Times New Roman"/>
        </w:rPr>
        <w:t xml:space="preserve">with variants </w:t>
      </w:r>
      <w:r w:rsidR="002A6B13">
        <w:rPr>
          <w:rFonts w:ascii="Times New Roman" w:hAnsi="Times New Roman" w:cs="Times New Roman"/>
        </w:rPr>
        <w:t xml:space="preserve">of </w:t>
      </w:r>
      <w:r w:rsidR="00053565">
        <w:rPr>
          <w:rFonts w:ascii="Times New Roman" w:hAnsi="Times New Roman" w:cs="Times New Roman"/>
        </w:rPr>
        <w:t>MAF greater than .05. W</w:t>
      </w:r>
      <w:r w:rsidR="004D5085">
        <w:rPr>
          <w:rFonts w:ascii="Times New Roman" w:hAnsi="Times New Roman" w:cs="Times New Roman"/>
        </w:rPr>
        <w:t>e</w:t>
      </w:r>
      <w:r w:rsidR="00CF6074">
        <w:rPr>
          <w:rFonts w:ascii="Times New Roman" w:hAnsi="Times New Roman" w:cs="Times New Roman"/>
        </w:rPr>
        <w:t xml:space="preserve"> set</w:t>
      </w:r>
      <w:r w:rsidR="004D5085">
        <w:rPr>
          <w:rFonts w:ascii="Times New Roman" w:hAnsi="Times New Roman" w:cs="Times New Roman"/>
        </w:rPr>
        <w:t xml:space="preserve"> pairs related less than .05 as 0 in</w:t>
      </w:r>
      <w:r w:rsidR="009E1E11">
        <w:rPr>
          <w:rFonts w:ascii="Times New Roman" w:hAnsi="Times New Roman" w:cs="Times New Roman"/>
        </w:rPr>
        <w:t xml:space="preserve"> the same</w:t>
      </w:r>
      <w:r w:rsidR="004D5085">
        <w:rPr>
          <w:rFonts w:ascii="Times New Roman" w:hAnsi="Times New Roman" w:cs="Times New Roman"/>
        </w:rPr>
        <w:t xml:space="preserve"> GRM to prevent deflation</w:t>
      </w:r>
      <w:r w:rsidR="008F6658">
        <w:rPr>
          <w:rFonts w:ascii="Times New Roman" w:hAnsi="Times New Roman" w:cs="Times New Roman"/>
        </w:rPr>
        <w:t xml:space="preserve"> of</w:t>
      </w:r>
      <w:r w:rsidR="002573FF">
        <w:rPr>
          <w:rFonts w:ascii="Times New Roman" w:hAnsi="Times New Roman" w:cs="Times New Roman"/>
        </w:rPr>
        <w:t xml:space="preserve"> heritability estimate</w:t>
      </w:r>
      <m:oMath>
        <m:r>
          <w:rPr>
            <w:rFonts w:ascii="Cambria Math" w:hAnsi="Cambria Math" w:cs="Times New Roman"/>
          </w:rPr>
          <m:t>.</m:t>
        </m:r>
      </m:oMath>
      <w:r w:rsidR="00505009">
        <w:rPr>
          <w:rFonts w:ascii="Times New Roman" w:hAnsi="Times New Roman" w:cs="Times New Roman"/>
        </w:rPr>
        <w:t xml:space="preserve"> This resulted in a GRM based on </w:t>
      </w:r>
      <w:r w:rsidR="00EB390D">
        <w:rPr>
          <w:rFonts w:ascii="Times New Roman" w:hAnsi="Times New Roman" w:cs="Times New Roman"/>
        </w:rPr>
        <w:t>6</w:t>
      </w:r>
      <w:r w:rsidR="00505009">
        <w:rPr>
          <w:rFonts w:ascii="Times New Roman" w:hAnsi="Times New Roman" w:cs="Times New Roman"/>
        </w:rPr>
        <w:t>th degree, or closer, relatives, including all relative pairs excluded in the SNP heritability analyses described throughout this report</w:t>
      </w:r>
      <w:r w:rsidR="00053565">
        <w:rPr>
          <w:rFonts w:ascii="Times New Roman" w:hAnsi="Times New Roman" w:cs="Times New Roman"/>
        </w:rPr>
        <w:t>, as well as unrelated individuals</w:t>
      </w:r>
      <w:r w:rsidR="00505009">
        <w:rPr>
          <w:rFonts w:ascii="Times New Roman" w:hAnsi="Times New Roman" w:cs="Times New Roman"/>
        </w:rPr>
        <w:t>.</w:t>
      </w:r>
      <w:r w:rsidR="007B52C2">
        <w:rPr>
          <w:rFonts w:ascii="Times New Roman" w:hAnsi="Times New Roman" w:cs="Times New Roman"/>
        </w:rPr>
        <w:t xml:space="preserve"> </w:t>
      </w:r>
      <w:r w:rsidR="00EB390D">
        <w:rPr>
          <w:rFonts w:ascii="Times New Roman" w:hAnsi="Times New Roman" w:cs="Times New Roman"/>
        </w:rPr>
        <w:t xml:space="preserve">Such a GRM includes additive effects of common variants, but also additive effects of all variants in haplotypes shared among relatives, including common and rare SNPs. </w:t>
      </w:r>
      <w:r w:rsidR="007B52C2">
        <w:rPr>
          <w:rFonts w:ascii="Times New Roman" w:hAnsi="Times New Roman" w:cs="Times New Roman"/>
        </w:rPr>
        <w:t>This modified GRM was</w:t>
      </w:r>
      <w:r w:rsidR="009E1E11">
        <w:rPr>
          <w:rFonts w:ascii="Times New Roman" w:hAnsi="Times New Roman" w:cs="Times New Roman"/>
        </w:rPr>
        <w:t xml:space="preserve"> entered as a random effect together with two other random effects,</w:t>
      </w:r>
      <w:r w:rsidR="00505009">
        <w:rPr>
          <w:rFonts w:ascii="Times New Roman" w:hAnsi="Times New Roman" w:cs="Times New Roman"/>
        </w:rPr>
        <w:t xml:space="preserve"> a cohort effect and shared environment effect.</w:t>
      </w:r>
      <w:r w:rsidR="009E1E11">
        <w:rPr>
          <w:rFonts w:ascii="Times New Roman" w:hAnsi="Times New Roman" w:cs="Times New Roman"/>
        </w:rPr>
        <w:t xml:space="preserve"> </w:t>
      </w:r>
      <w:r w:rsidR="002A6B13">
        <w:rPr>
          <w:rFonts w:ascii="Times New Roman" w:hAnsi="Times New Roman" w:cs="Times New Roman"/>
        </w:rPr>
        <w:t>We created t</w:t>
      </w:r>
      <w:r w:rsidR="00505009">
        <w:rPr>
          <w:rFonts w:ascii="Times New Roman" w:hAnsi="Times New Roman" w:cs="Times New Roman"/>
        </w:rPr>
        <w:t>he s</w:t>
      </w:r>
      <w:r w:rsidR="009E1E11">
        <w:rPr>
          <w:rFonts w:ascii="Times New Roman" w:hAnsi="Times New Roman" w:cs="Times New Roman"/>
        </w:rPr>
        <w:t xml:space="preserve">hared environment </w:t>
      </w:r>
      <w:r w:rsidR="00D04266">
        <w:rPr>
          <w:rFonts w:ascii="Times New Roman" w:hAnsi="Times New Roman" w:cs="Times New Roman"/>
        </w:rPr>
        <w:t>GRM</w:t>
      </w:r>
      <w:r w:rsidR="002A6B13">
        <w:rPr>
          <w:rFonts w:ascii="Times New Roman" w:hAnsi="Times New Roman" w:cs="Times New Roman"/>
        </w:rPr>
        <w:t xml:space="preserve"> </w:t>
      </w:r>
      <w:r w:rsidR="009E1E11">
        <w:rPr>
          <w:rFonts w:ascii="Times New Roman" w:hAnsi="Times New Roman" w:cs="Times New Roman"/>
        </w:rPr>
        <w:t>by setting</w:t>
      </w:r>
      <w:r w:rsidR="00D04266">
        <w:rPr>
          <w:rFonts w:ascii="Times New Roman" w:hAnsi="Times New Roman" w:cs="Times New Roman"/>
        </w:rPr>
        <w:t xml:space="preserve"> pairs related greater than .375</w:t>
      </w:r>
      <w:r w:rsidR="009E1E11">
        <w:rPr>
          <w:rFonts w:ascii="Times New Roman" w:hAnsi="Times New Roman" w:cs="Times New Roman"/>
        </w:rPr>
        <w:t xml:space="preserve"> as</w:t>
      </w:r>
      <w:r w:rsidR="00D04266">
        <w:rPr>
          <w:rFonts w:ascii="Times New Roman" w:hAnsi="Times New Roman" w:cs="Times New Roman"/>
        </w:rPr>
        <w:t xml:space="preserve"> 1 and 0 otherwise.</w:t>
      </w:r>
      <w:r w:rsidR="009E1E11">
        <w:rPr>
          <w:rFonts w:ascii="Times New Roman" w:hAnsi="Times New Roman" w:cs="Times New Roman"/>
        </w:rPr>
        <w:t xml:space="preserve"> </w:t>
      </w:r>
      <w:r w:rsidR="002A6B13">
        <w:rPr>
          <w:rFonts w:ascii="Times New Roman" w:hAnsi="Times New Roman" w:cs="Times New Roman"/>
        </w:rPr>
        <w:t>We entered t</w:t>
      </w:r>
      <w:r w:rsidR="00D77623">
        <w:rPr>
          <w:rFonts w:ascii="Times New Roman" w:hAnsi="Times New Roman" w:cs="Times New Roman"/>
        </w:rPr>
        <w:t>he same set o</w:t>
      </w:r>
      <w:r w:rsidR="002A6B13">
        <w:rPr>
          <w:rFonts w:ascii="Times New Roman" w:hAnsi="Times New Roman" w:cs="Times New Roman"/>
        </w:rPr>
        <w:t xml:space="preserve">f </w:t>
      </w:r>
      <w:r w:rsidR="009E1E11">
        <w:rPr>
          <w:rFonts w:ascii="Times New Roman" w:hAnsi="Times New Roman" w:cs="Times New Roman"/>
        </w:rPr>
        <w:t>fixed effects</w:t>
      </w:r>
      <w:r w:rsidR="002A6B13">
        <w:rPr>
          <w:rFonts w:ascii="Times New Roman" w:hAnsi="Times New Roman" w:cs="Times New Roman"/>
        </w:rPr>
        <w:t xml:space="preserve"> (demographic, sequencing center, and genetic PCs) used</w:t>
      </w:r>
      <w:r w:rsidR="00D77623">
        <w:rPr>
          <w:rFonts w:ascii="Times New Roman" w:hAnsi="Times New Roman" w:cs="Times New Roman"/>
        </w:rPr>
        <w:t xml:space="preserve"> in</w:t>
      </w:r>
      <w:r w:rsidR="009D787D">
        <w:rPr>
          <w:rFonts w:ascii="Times New Roman" w:hAnsi="Times New Roman" w:cs="Times New Roman"/>
        </w:rPr>
        <w:t xml:space="preserve"> our </w:t>
      </w:r>
      <w:r w:rsidR="00E6263B">
        <w:rPr>
          <w:rFonts w:ascii="Times New Roman" w:hAnsi="Times New Roman" w:cs="Times New Roman"/>
        </w:rPr>
        <w:t>main SNP-based heritability analys</w:t>
      </w:r>
      <w:r w:rsidR="002A6B13">
        <w:rPr>
          <w:rFonts w:ascii="Times New Roman" w:hAnsi="Times New Roman" w:cs="Times New Roman"/>
        </w:rPr>
        <w:t>is</w:t>
      </w:r>
      <w:r w:rsidR="00D77623">
        <w:rPr>
          <w:rFonts w:ascii="Times New Roman" w:hAnsi="Times New Roman" w:cs="Times New Roman"/>
        </w:rPr>
        <w:t>.</w:t>
      </w:r>
      <w:r w:rsidR="007B52C2">
        <w:rPr>
          <w:rFonts w:ascii="Times New Roman" w:hAnsi="Times New Roman" w:cs="Times New Roman"/>
        </w:rPr>
        <w:t xml:space="preserve"> We found that fitting both genetic and sh</w:t>
      </w:r>
      <w:r w:rsidR="009D787D">
        <w:rPr>
          <w:rFonts w:ascii="Times New Roman" w:hAnsi="Times New Roman" w:cs="Times New Roman"/>
        </w:rPr>
        <w:t>a</w:t>
      </w:r>
      <w:r w:rsidR="007B52C2">
        <w:rPr>
          <w:rFonts w:ascii="Times New Roman" w:hAnsi="Times New Roman" w:cs="Times New Roman"/>
        </w:rPr>
        <w:t>red environment GRMs did not converge</w:t>
      </w:r>
      <w:r w:rsidR="00511CC2">
        <w:rPr>
          <w:rFonts w:ascii="Times New Roman" w:hAnsi="Times New Roman" w:cs="Times New Roman"/>
        </w:rPr>
        <w:t xml:space="preserve"> or produce</w:t>
      </w:r>
      <w:r w:rsidR="009D787D">
        <w:rPr>
          <w:rFonts w:ascii="Times New Roman" w:hAnsi="Times New Roman" w:cs="Times New Roman"/>
        </w:rPr>
        <w:t>d</w:t>
      </w:r>
      <w:r w:rsidR="00511CC2">
        <w:rPr>
          <w:rFonts w:ascii="Times New Roman" w:hAnsi="Times New Roman" w:cs="Times New Roman"/>
        </w:rPr>
        <w:t xml:space="preserve"> non-sensible estimates</w:t>
      </w:r>
      <w:r w:rsidR="007B52C2">
        <w:rPr>
          <w:rFonts w:ascii="Times New Roman" w:hAnsi="Times New Roman" w:cs="Times New Roman"/>
        </w:rPr>
        <w:t xml:space="preserve"> due to strong </w:t>
      </w:r>
      <w:r w:rsidR="009D787D">
        <w:rPr>
          <w:rFonts w:ascii="Times New Roman" w:hAnsi="Times New Roman" w:cs="Times New Roman"/>
        </w:rPr>
        <w:t>dependence between the genetic GRM and the shared environment GRM</w:t>
      </w:r>
      <w:r w:rsidR="007B52C2">
        <w:rPr>
          <w:rFonts w:ascii="Times New Roman" w:hAnsi="Times New Roman" w:cs="Times New Roman"/>
        </w:rPr>
        <w:t xml:space="preserve">. Therefore, we reported results </w:t>
      </w:r>
      <w:r w:rsidR="009A3297">
        <w:rPr>
          <w:rFonts w:ascii="Times New Roman" w:hAnsi="Times New Roman" w:cs="Times New Roman"/>
        </w:rPr>
        <w:t>from models with only the genetic and cohort random effects</w:t>
      </w:r>
      <w:r w:rsidR="007B52C2">
        <w:rPr>
          <w:rFonts w:ascii="Times New Roman" w:hAnsi="Times New Roman" w:cs="Times New Roman"/>
        </w:rPr>
        <w:t xml:space="preserve">, </w:t>
      </w:r>
      <w:r w:rsidR="009A3297">
        <w:rPr>
          <w:rFonts w:ascii="Times New Roman" w:hAnsi="Times New Roman" w:cs="Times New Roman"/>
        </w:rPr>
        <w:t>understanding that</w:t>
      </w:r>
      <w:r w:rsidR="007B52C2">
        <w:rPr>
          <w:rFonts w:ascii="Times New Roman" w:hAnsi="Times New Roman" w:cs="Times New Roman"/>
        </w:rPr>
        <w:t xml:space="preserve"> the estimates can be upwardly biased</w:t>
      </w:r>
      <w:r w:rsidR="008F6658">
        <w:rPr>
          <w:rFonts w:ascii="Times New Roman" w:hAnsi="Times New Roman" w:cs="Times New Roman"/>
        </w:rPr>
        <w:t xml:space="preserve"> due to</w:t>
      </w:r>
      <w:r w:rsidR="007B52C2">
        <w:rPr>
          <w:rFonts w:ascii="Times New Roman" w:hAnsi="Times New Roman" w:cs="Times New Roman"/>
        </w:rPr>
        <w:t xml:space="preserve"> shared environment</w:t>
      </w:r>
      <w:r w:rsidR="008F6658">
        <w:rPr>
          <w:rFonts w:ascii="Times New Roman" w:hAnsi="Times New Roman" w:cs="Times New Roman"/>
        </w:rPr>
        <w:t xml:space="preserve"> effect</w:t>
      </w:r>
      <w:r w:rsidR="007B52C2">
        <w:rPr>
          <w:rFonts w:ascii="Times New Roman" w:hAnsi="Times New Roman" w:cs="Times New Roman"/>
        </w:rPr>
        <w:t>.</w:t>
      </w:r>
    </w:p>
    <w:p w14:paraId="16C1F343" w14:textId="299E2004" w:rsidR="00F82DED" w:rsidRDefault="00F82DED" w:rsidP="002573FF">
      <w:pPr>
        <w:spacing w:line="480" w:lineRule="auto"/>
        <w:ind w:firstLine="720"/>
        <w:rPr>
          <w:rFonts w:ascii="Times New Roman" w:hAnsi="Times New Roman" w:cs="Times New Roman"/>
        </w:rPr>
      </w:pPr>
    </w:p>
    <w:p w14:paraId="78A65A55" w14:textId="2E05D0DD" w:rsidR="002A6B13" w:rsidRDefault="002A6B13">
      <w:pPr>
        <w:rPr>
          <w:rFonts w:ascii="Times New Roman" w:hAnsi="Times New Roman" w:cs="Times New Roman"/>
        </w:rPr>
      </w:pPr>
      <w:r>
        <w:rPr>
          <w:rFonts w:ascii="Times New Roman" w:hAnsi="Times New Roman" w:cs="Times New Roman"/>
        </w:rPr>
        <w:br w:type="page"/>
      </w:r>
    </w:p>
    <w:p w14:paraId="5CBA422B" w14:textId="710A8C15" w:rsidR="00577A8B" w:rsidRPr="00D70997" w:rsidRDefault="00577A8B" w:rsidP="00577A8B">
      <w:pPr>
        <w:spacing w:line="480" w:lineRule="auto"/>
        <w:jc w:val="center"/>
        <w:rPr>
          <w:rFonts w:ascii="Times New Roman" w:hAnsi="Times New Roman" w:cs="Times New Roman"/>
          <w:b/>
          <w:bCs/>
        </w:rPr>
      </w:pPr>
      <w:r w:rsidRPr="00D70997">
        <w:rPr>
          <w:rFonts w:ascii="Times New Roman" w:hAnsi="Times New Roman" w:cs="Times New Roman"/>
          <w:b/>
          <w:bCs/>
        </w:rPr>
        <w:lastRenderedPageBreak/>
        <w:t>References</w:t>
      </w:r>
    </w:p>
    <w:p w14:paraId="1B56FB6A" w14:textId="77777777" w:rsidR="005B3A37" w:rsidRPr="005B3A37" w:rsidRDefault="00577A8B" w:rsidP="005B3A37">
      <w:pPr>
        <w:pStyle w:val="Bibliography"/>
        <w:rPr>
          <w:rFonts w:ascii="Times New Roman" w:hAnsi="Times New Roman" w:cs="Times New Roman"/>
          <w:szCs w:val="24"/>
        </w:rPr>
      </w:pPr>
      <w:r w:rsidRPr="00DF3C33">
        <w:fldChar w:fldCharType="begin"/>
      </w:r>
      <w:r w:rsidR="005B3A37">
        <w:instrText xml:space="preserve"> ADDIN ZOTERO_BIBL {"uncited":[],"omitted":[],"custom":[]} CSL_BIBLIOGRAPHY </w:instrText>
      </w:r>
      <w:r w:rsidRPr="00DF3C33">
        <w:fldChar w:fldCharType="separate"/>
      </w:r>
      <w:r w:rsidR="005B3A37" w:rsidRPr="005B3A37">
        <w:rPr>
          <w:rFonts w:ascii="Times New Roman" w:hAnsi="Times New Roman" w:cs="Times New Roman"/>
          <w:szCs w:val="24"/>
        </w:rPr>
        <w:t>1. Recovery of trait heritability from whole genome sequence data | bioRxiv.</w:t>
      </w:r>
    </w:p>
    <w:p w14:paraId="72F7C55B" w14:textId="77777777" w:rsidR="005B3A37" w:rsidRPr="005B3A37" w:rsidRDefault="005B3A37" w:rsidP="005B3A37">
      <w:pPr>
        <w:pStyle w:val="Bibliography"/>
        <w:rPr>
          <w:rFonts w:ascii="Times New Roman" w:hAnsi="Times New Roman" w:cs="Times New Roman"/>
          <w:szCs w:val="24"/>
        </w:rPr>
      </w:pPr>
      <w:r w:rsidRPr="005B3A37">
        <w:rPr>
          <w:rFonts w:ascii="Times New Roman" w:hAnsi="Times New Roman" w:cs="Times New Roman"/>
          <w:szCs w:val="24"/>
        </w:rPr>
        <w:t xml:space="preserve">2. Zhang, D., Dey, R., and Lee, S. (2020). Fast and robust ancestry prediction using principal component analysis. Bioinformatics </w:t>
      </w:r>
      <w:r w:rsidRPr="005B3A37">
        <w:rPr>
          <w:rFonts w:ascii="Times New Roman" w:hAnsi="Times New Roman" w:cs="Times New Roman"/>
          <w:i/>
          <w:iCs/>
          <w:szCs w:val="24"/>
        </w:rPr>
        <w:t>36</w:t>
      </w:r>
      <w:r w:rsidRPr="005B3A37">
        <w:rPr>
          <w:rFonts w:ascii="Times New Roman" w:hAnsi="Times New Roman" w:cs="Times New Roman"/>
          <w:szCs w:val="24"/>
        </w:rPr>
        <w:t>, 3439–3446.</w:t>
      </w:r>
    </w:p>
    <w:p w14:paraId="265B2893" w14:textId="77777777" w:rsidR="005B3A37" w:rsidRPr="005B3A37" w:rsidRDefault="005B3A37" w:rsidP="005B3A37">
      <w:pPr>
        <w:pStyle w:val="Bibliography"/>
        <w:rPr>
          <w:rFonts w:ascii="Times New Roman" w:hAnsi="Times New Roman" w:cs="Times New Roman"/>
          <w:szCs w:val="24"/>
        </w:rPr>
      </w:pPr>
      <w:r w:rsidRPr="005B3A37">
        <w:rPr>
          <w:rFonts w:ascii="Times New Roman" w:hAnsi="Times New Roman" w:cs="Times New Roman"/>
          <w:szCs w:val="24"/>
        </w:rPr>
        <w:t xml:space="preserve">3. Liu, M., Jiang, Y., Wedow, R., Li, Y., Brazel, D.M., Chen, F., Datta, G., Davila-Velderrain, J., McGuire, D., Tian, C., et al. (2019). Association studies of up to 1.2 million individuals yield new insights into the genetic etiology of tobacco and alcohol use. Nature Genetics </w:t>
      </w:r>
      <w:r w:rsidRPr="005B3A37">
        <w:rPr>
          <w:rFonts w:ascii="Times New Roman" w:hAnsi="Times New Roman" w:cs="Times New Roman"/>
          <w:i/>
          <w:iCs/>
          <w:szCs w:val="24"/>
        </w:rPr>
        <w:t>51</w:t>
      </w:r>
      <w:r w:rsidRPr="005B3A37">
        <w:rPr>
          <w:rFonts w:ascii="Times New Roman" w:hAnsi="Times New Roman" w:cs="Times New Roman"/>
          <w:szCs w:val="24"/>
        </w:rPr>
        <w:t>, 237–244.</w:t>
      </w:r>
    </w:p>
    <w:p w14:paraId="12305444" w14:textId="77777777" w:rsidR="005B3A37" w:rsidRPr="005B3A37" w:rsidRDefault="005B3A37" w:rsidP="005B3A37">
      <w:pPr>
        <w:pStyle w:val="Bibliography"/>
        <w:rPr>
          <w:rFonts w:ascii="Times New Roman" w:hAnsi="Times New Roman" w:cs="Times New Roman"/>
          <w:szCs w:val="24"/>
        </w:rPr>
      </w:pPr>
      <w:r w:rsidRPr="005B3A37">
        <w:rPr>
          <w:rFonts w:ascii="Times New Roman" w:hAnsi="Times New Roman" w:cs="Times New Roman"/>
          <w:szCs w:val="24"/>
        </w:rPr>
        <w:t>4. Taking population stratification into account by local permutations in rare-variant association studies on small samples | bioRxiv.</w:t>
      </w:r>
    </w:p>
    <w:p w14:paraId="631D6568" w14:textId="77777777" w:rsidR="005B3A37" w:rsidRPr="005B3A37" w:rsidRDefault="005B3A37" w:rsidP="005B3A37">
      <w:pPr>
        <w:pStyle w:val="Bibliography"/>
        <w:rPr>
          <w:rFonts w:ascii="Times New Roman" w:hAnsi="Times New Roman" w:cs="Times New Roman"/>
          <w:szCs w:val="24"/>
        </w:rPr>
      </w:pPr>
      <w:r w:rsidRPr="005B3A37">
        <w:rPr>
          <w:rFonts w:ascii="Times New Roman" w:hAnsi="Times New Roman" w:cs="Times New Roman"/>
          <w:szCs w:val="24"/>
        </w:rPr>
        <w:t xml:space="preserve">5. Zaitlen, N., Kraft, P., Patterson, N., Pasaniuc, B., Bhatia, G., Pollack, S., and Price, A.L. (2013). Using Extended Genealogy to Estimate Components of Heritability for 23 Quantitative and Dichotomous Traits. PLOS Genetics </w:t>
      </w:r>
      <w:r w:rsidRPr="005B3A37">
        <w:rPr>
          <w:rFonts w:ascii="Times New Roman" w:hAnsi="Times New Roman" w:cs="Times New Roman"/>
          <w:i/>
          <w:iCs/>
          <w:szCs w:val="24"/>
        </w:rPr>
        <w:t>9</w:t>
      </w:r>
      <w:r w:rsidRPr="005B3A37">
        <w:rPr>
          <w:rFonts w:ascii="Times New Roman" w:hAnsi="Times New Roman" w:cs="Times New Roman"/>
          <w:szCs w:val="24"/>
        </w:rPr>
        <w:t>, e1003520.</w:t>
      </w:r>
    </w:p>
    <w:p w14:paraId="175E788B" w14:textId="0DFA010A" w:rsidR="002B2A7B" w:rsidRDefault="00577A8B" w:rsidP="00577A8B">
      <w:pPr>
        <w:spacing w:line="480" w:lineRule="auto"/>
        <w:rPr>
          <w:rFonts w:ascii="Times New Roman" w:hAnsi="Times New Roman" w:cs="Times New Roman"/>
        </w:rPr>
      </w:pPr>
      <w:r w:rsidRPr="00DF3C33">
        <w:rPr>
          <w:rFonts w:ascii="Times New Roman" w:hAnsi="Times New Roman" w:cs="Times New Roman"/>
        </w:rPr>
        <w:fldChar w:fldCharType="end"/>
      </w:r>
    </w:p>
    <w:p w14:paraId="55AC7767" w14:textId="77777777" w:rsidR="0060637F" w:rsidRDefault="0060637F">
      <w:pPr>
        <w:rPr>
          <w:rFonts w:ascii="Times New Roman" w:hAnsi="Times New Roman" w:cs="Times New Roman"/>
        </w:rPr>
        <w:sectPr w:rsidR="0060637F">
          <w:pgSz w:w="12240" w:h="15840"/>
          <w:pgMar w:top="1440" w:right="1440" w:bottom="1440" w:left="1440" w:header="720" w:footer="720" w:gutter="0"/>
          <w:cols w:space="720"/>
          <w:docGrid w:linePitch="360"/>
        </w:sectPr>
      </w:pPr>
    </w:p>
    <w:p w14:paraId="1CDE6A7D" w14:textId="17976F6D" w:rsidR="002B2A7B" w:rsidRPr="002B2A7B" w:rsidRDefault="00720006" w:rsidP="002B2A7B">
      <w:pPr>
        <w:rPr>
          <w:rFonts w:ascii="Times New Roman" w:hAnsi="Times New Roman" w:cs="Times New Roman"/>
          <w:b/>
          <w:bCs/>
        </w:rPr>
      </w:pPr>
      <w:r>
        <w:rPr>
          <w:rFonts w:ascii="Times New Roman" w:hAnsi="Times New Roman" w:cs="Times New Roman"/>
          <w:b/>
          <w:bCs/>
        </w:rPr>
        <w:lastRenderedPageBreak/>
        <w:t xml:space="preserve">3. </w:t>
      </w:r>
      <w:r w:rsidR="00185CB5" w:rsidRPr="00185CB5">
        <w:rPr>
          <w:rFonts w:ascii="Times New Roman" w:hAnsi="Times New Roman" w:cs="Times New Roman"/>
          <w:b/>
          <w:bCs/>
        </w:rPr>
        <w:t>Study-specific Acknowledgements</w:t>
      </w:r>
      <w:r w:rsidR="000327F3">
        <w:rPr>
          <w:rFonts w:ascii="Times New Roman" w:hAnsi="Times New Roman" w:cs="Times New Roman"/>
          <w:b/>
          <w:bCs/>
        </w:rPr>
        <w:t xml:space="preserve"> and Disclaimer</w:t>
      </w:r>
    </w:p>
    <w:tbl>
      <w:tblPr>
        <w:tblStyle w:val="TableGrid"/>
        <w:tblW w:w="12950" w:type="dxa"/>
        <w:tblLayout w:type="fixed"/>
        <w:tblLook w:val="04A0" w:firstRow="1" w:lastRow="0" w:firstColumn="1" w:lastColumn="0" w:noHBand="0" w:noVBand="1"/>
      </w:tblPr>
      <w:tblGrid>
        <w:gridCol w:w="1525"/>
        <w:gridCol w:w="1800"/>
        <w:gridCol w:w="2599"/>
        <w:gridCol w:w="5413"/>
        <w:gridCol w:w="1613"/>
      </w:tblGrid>
      <w:tr w:rsidR="0015030A" w14:paraId="74240AAA" w14:textId="16E49C85" w:rsidTr="00E55A27">
        <w:tc>
          <w:tcPr>
            <w:tcW w:w="1525" w:type="dxa"/>
          </w:tcPr>
          <w:p w14:paraId="1BA80D49" w14:textId="11FD38D6" w:rsidR="0015030A" w:rsidRPr="0015030A" w:rsidRDefault="0015030A" w:rsidP="0015030A">
            <w:pPr>
              <w:rPr>
                <w:rFonts w:ascii="Times New Roman" w:hAnsi="Times New Roman" w:cs="Times New Roman"/>
              </w:rPr>
            </w:pPr>
            <w:r w:rsidRPr="0015030A">
              <w:rPr>
                <w:rFonts w:ascii="Times New Roman" w:hAnsi="Times New Roman" w:cs="Times New Roman"/>
              </w:rPr>
              <w:t xml:space="preserve">Study’s short name </w:t>
            </w:r>
          </w:p>
        </w:tc>
        <w:tc>
          <w:tcPr>
            <w:tcW w:w="1800" w:type="dxa"/>
          </w:tcPr>
          <w:p w14:paraId="0BA52025" w14:textId="7D070535" w:rsidR="0015030A" w:rsidRPr="0015030A" w:rsidRDefault="0015030A" w:rsidP="0015030A">
            <w:pPr>
              <w:rPr>
                <w:rFonts w:ascii="Times New Roman" w:hAnsi="Times New Roman" w:cs="Times New Roman"/>
              </w:rPr>
            </w:pPr>
            <w:r w:rsidRPr="0015030A">
              <w:rPr>
                <w:rFonts w:ascii="Times New Roman" w:hAnsi="Times New Roman" w:cs="Times New Roman"/>
              </w:rPr>
              <w:t>Study name</w:t>
            </w:r>
          </w:p>
        </w:tc>
        <w:tc>
          <w:tcPr>
            <w:tcW w:w="2599" w:type="dxa"/>
          </w:tcPr>
          <w:p w14:paraId="71C11FB4" w14:textId="53D20C52" w:rsidR="0015030A" w:rsidRPr="0015030A" w:rsidRDefault="0015030A" w:rsidP="0015030A">
            <w:pPr>
              <w:rPr>
                <w:rFonts w:ascii="Times New Roman" w:hAnsi="Times New Roman" w:cs="Times New Roman"/>
              </w:rPr>
            </w:pPr>
            <w:r w:rsidRPr="0015030A">
              <w:rPr>
                <w:rFonts w:ascii="Times New Roman" w:hAnsi="Times New Roman" w:cs="Times New Roman"/>
              </w:rPr>
              <w:t>PI</w:t>
            </w:r>
          </w:p>
        </w:tc>
        <w:tc>
          <w:tcPr>
            <w:tcW w:w="5413" w:type="dxa"/>
          </w:tcPr>
          <w:p w14:paraId="19127520" w14:textId="7F9C2627" w:rsidR="0015030A" w:rsidRPr="00904267" w:rsidRDefault="0015030A" w:rsidP="0015030A">
            <w:pPr>
              <w:rPr>
                <w:rFonts w:ascii="Times New Roman" w:hAnsi="Times New Roman" w:cs="Times New Roman"/>
                <w:sz w:val="20"/>
                <w:szCs w:val="20"/>
              </w:rPr>
            </w:pPr>
            <w:r w:rsidRPr="00904267">
              <w:rPr>
                <w:rFonts w:ascii="Times New Roman" w:hAnsi="Times New Roman" w:cs="Times New Roman"/>
                <w:sz w:val="20"/>
                <w:szCs w:val="20"/>
              </w:rPr>
              <w:t>Study-specific acknowledgements details</w:t>
            </w:r>
          </w:p>
        </w:tc>
        <w:tc>
          <w:tcPr>
            <w:tcW w:w="1613" w:type="dxa"/>
          </w:tcPr>
          <w:p w14:paraId="5B555E46" w14:textId="18E9C2F3" w:rsidR="0015030A" w:rsidRPr="00904267" w:rsidRDefault="0015030A" w:rsidP="0015030A">
            <w:pPr>
              <w:rPr>
                <w:rFonts w:ascii="Times New Roman" w:hAnsi="Times New Roman" w:cs="Times New Roman"/>
                <w:sz w:val="20"/>
                <w:szCs w:val="20"/>
              </w:rPr>
            </w:pPr>
            <w:proofErr w:type="spellStart"/>
            <w:r w:rsidRPr="00904267">
              <w:rPr>
                <w:rFonts w:ascii="Times New Roman" w:hAnsi="Times New Roman" w:cs="Times New Roman"/>
                <w:sz w:val="20"/>
                <w:szCs w:val="20"/>
              </w:rPr>
              <w:t>TOPMed</w:t>
            </w:r>
            <w:proofErr w:type="spellEnd"/>
            <w:r w:rsidRPr="00904267">
              <w:rPr>
                <w:rFonts w:ascii="Times New Roman" w:hAnsi="Times New Roman" w:cs="Times New Roman"/>
                <w:sz w:val="20"/>
                <w:szCs w:val="20"/>
              </w:rPr>
              <w:t xml:space="preserve"> accession number</w:t>
            </w:r>
          </w:p>
        </w:tc>
      </w:tr>
      <w:tr w:rsidR="0015030A" w14:paraId="3D2BDEEA" w14:textId="750E99F7" w:rsidTr="00E55A27">
        <w:trPr>
          <w:trHeight w:val="377"/>
        </w:trPr>
        <w:tc>
          <w:tcPr>
            <w:tcW w:w="1525" w:type="dxa"/>
          </w:tcPr>
          <w:p w14:paraId="4E405D2F" w14:textId="3ACB45FA" w:rsidR="0015030A" w:rsidRPr="002B2A7B" w:rsidRDefault="0015030A" w:rsidP="00F036C5">
            <w:pPr>
              <w:rPr>
                <w:rFonts w:ascii="Times New Roman" w:hAnsi="Times New Roman" w:cs="Times New Roman"/>
                <w:sz w:val="20"/>
                <w:szCs w:val="20"/>
              </w:rPr>
            </w:pPr>
            <w:r>
              <w:rPr>
                <w:rFonts w:ascii="Times New Roman" w:hAnsi="Times New Roman" w:cs="Times New Roman"/>
                <w:sz w:val="20"/>
                <w:szCs w:val="20"/>
              </w:rPr>
              <w:t>ARIC</w:t>
            </w:r>
          </w:p>
        </w:tc>
        <w:tc>
          <w:tcPr>
            <w:tcW w:w="1800" w:type="dxa"/>
          </w:tcPr>
          <w:p w14:paraId="14338492" w14:textId="07C73BFA" w:rsidR="0015030A" w:rsidRDefault="007C1B4D" w:rsidP="00F036C5">
            <w:pPr>
              <w:rPr>
                <w:rFonts w:ascii="Times New Roman" w:hAnsi="Times New Roman" w:cs="Times New Roman"/>
                <w:sz w:val="20"/>
                <w:szCs w:val="20"/>
              </w:rPr>
            </w:pPr>
            <w:r w:rsidRPr="007C1B4D">
              <w:rPr>
                <w:rFonts w:ascii="Times New Roman" w:hAnsi="Times New Roman" w:cs="Times New Roman"/>
                <w:sz w:val="20"/>
                <w:szCs w:val="20"/>
              </w:rPr>
              <w:t>Atherosclerosis Risk in Communities Study VTE cohort</w:t>
            </w:r>
          </w:p>
        </w:tc>
        <w:tc>
          <w:tcPr>
            <w:tcW w:w="2599" w:type="dxa"/>
          </w:tcPr>
          <w:p w14:paraId="68945978" w14:textId="2C5C01CB" w:rsidR="0015030A" w:rsidRPr="00904267" w:rsidRDefault="00334638" w:rsidP="00F036C5">
            <w:pPr>
              <w:rPr>
                <w:rFonts w:ascii="Times New Roman" w:hAnsi="Times New Roman" w:cs="Times New Roman"/>
              </w:rPr>
            </w:pPr>
            <w:r w:rsidRPr="00904267">
              <w:rPr>
                <w:rFonts w:ascii="Times New Roman" w:hAnsi="Times New Roman" w:cs="Times New Roman"/>
              </w:rPr>
              <w:t>Eric.Boerwinkle@uth.tmc.edu</w:t>
            </w:r>
          </w:p>
        </w:tc>
        <w:tc>
          <w:tcPr>
            <w:tcW w:w="5413" w:type="dxa"/>
          </w:tcPr>
          <w:p w14:paraId="7F6A722A" w14:textId="7DEED6F4" w:rsidR="00904267" w:rsidRPr="00904267" w:rsidRDefault="00904267" w:rsidP="00904267">
            <w:pPr>
              <w:rPr>
                <w:rFonts w:ascii="Times New Roman" w:hAnsi="Times New Roman" w:cs="Times New Roman"/>
                <w:sz w:val="20"/>
                <w:szCs w:val="20"/>
              </w:rPr>
            </w:pPr>
            <w:r w:rsidRPr="00904267">
              <w:rPr>
                <w:rFonts w:ascii="Times New Roman" w:hAnsi="Times New Roman" w:cs="Times New Roman"/>
                <w:sz w:val="20"/>
                <w:szCs w:val="20"/>
              </w:rPr>
              <w:t>Whole genome sequencing (WGS) for the Trans-Omics in Precision Medicine (</w:t>
            </w:r>
            <w:proofErr w:type="spellStart"/>
            <w:r w:rsidRPr="00904267">
              <w:rPr>
                <w:rFonts w:ascii="Times New Roman" w:hAnsi="Times New Roman" w:cs="Times New Roman"/>
                <w:sz w:val="20"/>
                <w:szCs w:val="20"/>
              </w:rPr>
              <w:t>TOPMed</w:t>
            </w:r>
            <w:proofErr w:type="spellEnd"/>
            <w:r w:rsidRPr="00904267">
              <w:rPr>
                <w:rFonts w:ascii="Times New Roman" w:hAnsi="Times New Roman" w:cs="Times New Roman"/>
                <w:sz w:val="20"/>
                <w:szCs w:val="20"/>
              </w:rPr>
              <w:t xml:space="preserve">) program was supported by the National Heart, Lung and Blood Institute (NHLBI). WGS for “NHLBI </w:t>
            </w:r>
            <w:proofErr w:type="spellStart"/>
            <w:r w:rsidRPr="00904267">
              <w:rPr>
                <w:rFonts w:ascii="Times New Roman" w:hAnsi="Times New Roman" w:cs="Times New Roman"/>
                <w:sz w:val="20"/>
                <w:szCs w:val="20"/>
              </w:rPr>
              <w:t>TOPMed</w:t>
            </w:r>
            <w:proofErr w:type="spellEnd"/>
            <w:r w:rsidRPr="00904267">
              <w:rPr>
                <w:rFonts w:ascii="Times New Roman" w:hAnsi="Times New Roman" w:cs="Times New Roman"/>
                <w:sz w:val="20"/>
                <w:szCs w:val="20"/>
              </w:rPr>
              <w:t xml:space="preserve">: Atherosclerosis Risk in Communities (ARIC)” (phs001211) was performed at the Baylor College of Medicine Human Genome Sequencing Center (HHSN268201500015C and 3U54HG003273-12S2) and the Broad Institute for MIT and Harvard (3R01HL092577-06S1). Centralized read mapping and genotype calling, along with variant quality metrics and filtering were provided by the </w:t>
            </w:r>
            <w:proofErr w:type="spellStart"/>
            <w:r w:rsidRPr="00904267">
              <w:rPr>
                <w:rFonts w:ascii="Times New Roman" w:hAnsi="Times New Roman" w:cs="Times New Roman"/>
                <w:sz w:val="20"/>
                <w:szCs w:val="20"/>
              </w:rPr>
              <w:t>TOPMed</w:t>
            </w:r>
            <w:proofErr w:type="spellEnd"/>
            <w:r w:rsidRPr="00904267">
              <w:rPr>
                <w:rFonts w:ascii="Times New Roman" w:hAnsi="Times New Roman" w:cs="Times New Roman"/>
                <w:sz w:val="20"/>
                <w:szCs w:val="20"/>
              </w:rPr>
              <w:t xml:space="preserve"> Informatics Research Center (3R01HL-117626-02S1). Phenotype harmonization, data management, sample-identity QC, and general study coordination, were provided by the </w:t>
            </w:r>
            <w:proofErr w:type="spellStart"/>
            <w:r w:rsidRPr="00904267">
              <w:rPr>
                <w:rFonts w:ascii="Times New Roman" w:hAnsi="Times New Roman" w:cs="Times New Roman"/>
                <w:sz w:val="20"/>
                <w:szCs w:val="20"/>
              </w:rPr>
              <w:t>TOPMed</w:t>
            </w:r>
            <w:proofErr w:type="spellEnd"/>
            <w:r w:rsidRPr="00904267">
              <w:rPr>
                <w:rFonts w:ascii="Times New Roman" w:hAnsi="Times New Roman" w:cs="Times New Roman"/>
                <w:sz w:val="20"/>
                <w:szCs w:val="20"/>
              </w:rPr>
              <w:t xml:space="preserve"> Data Coordinating Center (3R01HL- 120393-02S1). We gratefully acknowledge the studies and participants who provided biological samples and data for </w:t>
            </w:r>
            <w:proofErr w:type="spellStart"/>
            <w:r w:rsidRPr="00904267">
              <w:rPr>
                <w:rFonts w:ascii="Times New Roman" w:hAnsi="Times New Roman" w:cs="Times New Roman"/>
                <w:sz w:val="20"/>
                <w:szCs w:val="20"/>
              </w:rPr>
              <w:t>TOPMed</w:t>
            </w:r>
            <w:proofErr w:type="spellEnd"/>
            <w:r w:rsidRPr="00904267">
              <w:rPr>
                <w:rFonts w:ascii="Times New Roman" w:hAnsi="Times New Roman" w:cs="Times New Roman"/>
                <w:sz w:val="20"/>
                <w:szCs w:val="20"/>
              </w:rPr>
              <w:t>.</w:t>
            </w:r>
          </w:p>
          <w:p w14:paraId="4EB93930" w14:textId="77777777" w:rsidR="00904267" w:rsidRPr="00904267" w:rsidRDefault="00904267" w:rsidP="00904267">
            <w:pPr>
              <w:rPr>
                <w:rFonts w:ascii="Times New Roman" w:hAnsi="Times New Roman" w:cs="Times New Roman"/>
                <w:sz w:val="20"/>
                <w:szCs w:val="20"/>
              </w:rPr>
            </w:pPr>
          </w:p>
          <w:p w14:paraId="1876E2B1" w14:textId="3DB69757" w:rsidR="00904267" w:rsidRPr="00904267" w:rsidRDefault="00904267" w:rsidP="00904267">
            <w:pPr>
              <w:pStyle w:val="Default"/>
              <w:rPr>
                <w:sz w:val="20"/>
                <w:szCs w:val="20"/>
              </w:rPr>
            </w:pPr>
            <w:r w:rsidRPr="00904267">
              <w:rPr>
                <w:sz w:val="20"/>
                <w:szCs w:val="20"/>
              </w:rPr>
              <w:t xml:space="preserve">The Genome Sequencing Program (GSP) was funded by the National Human Genome Research Institute (NHGRI), the National Heart, Lung, and Blood Institute (NHLBI), and the National Eye Institute (NEI). The GSP Coordinating Center (U24 HG008956) contributed to cross-program scientific initiatives and provided logistical and general study coordination. The Centers for Common Disease Genomics (CCDG) program was supported by NHGRI and NHLBI, and whole genome sequencing was performed at the Baylor College of Medicine Human Genome Sequencing Center (UM1 HG008898 and R01HL059367). </w:t>
            </w:r>
          </w:p>
          <w:p w14:paraId="23E3592C" w14:textId="77777777" w:rsidR="00904267" w:rsidRPr="00904267" w:rsidRDefault="00904267" w:rsidP="00904267">
            <w:pPr>
              <w:pStyle w:val="Default"/>
              <w:rPr>
                <w:sz w:val="20"/>
                <w:szCs w:val="20"/>
              </w:rPr>
            </w:pPr>
            <w:r w:rsidRPr="00904267">
              <w:rPr>
                <w:sz w:val="20"/>
                <w:szCs w:val="20"/>
              </w:rPr>
              <w:t xml:space="preserve">The Atherosclerosis Risk in Communities study has been funded in whole or in part with Federal funds from the National Heart, Lung, and Blood Institute, National Institutes of Health, </w:t>
            </w:r>
          </w:p>
          <w:p w14:paraId="1643AC0B" w14:textId="63E0C1A7" w:rsidR="0015030A" w:rsidRPr="00904267" w:rsidRDefault="00904267" w:rsidP="00904267">
            <w:pPr>
              <w:rPr>
                <w:rFonts w:ascii="Times New Roman" w:hAnsi="Times New Roman" w:cs="Times New Roman"/>
                <w:sz w:val="20"/>
                <w:szCs w:val="20"/>
              </w:rPr>
            </w:pPr>
            <w:r w:rsidRPr="00904267">
              <w:rPr>
                <w:rFonts w:ascii="Times New Roman" w:hAnsi="Times New Roman" w:cs="Times New Roman"/>
                <w:sz w:val="20"/>
                <w:szCs w:val="20"/>
              </w:rPr>
              <w:t xml:space="preserve">Department of Health and Human Services (contract numbers HHSN268201700001I, HHSN268201700002I, HHSN268201700003I, HHSN268201700004I and </w:t>
            </w:r>
            <w:r w:rsidRPr="00904267">
              <w:rPr>
                <w:rFonts w:ascii="Times New Roman" w:hAnsi="Times New Roman" w:cs="Times New Roman"/>
                <w:sz w:val="20"/>
                <w:szCs w:val="20"/>
              </w:rPr>
              <w:lastRenderedPageBreak/>
              <w:t>HHSN268201700005I). The authors thank the staff and participants of the ARIC study for their important contributions.</w:t>
            </w:r>
          </w:p>
        </w:tc>
        <w:tc>
          <w:tcPr>
            <w:tcW w:w="1613" w:type="dxa"/>
          </w:tcPr>
          <w:p w14:paraId="4C358035" w14:textId="397CF913" w:rsidR="0015030A" w:rsidRPr="00904267" w:rsidRDefault="007C1B4D" w:rsidP="00F036C5">
            <w:pPr>
              <w:rPr>
                <w:rFonts w:ascii="Times New Roman" w:hAnsi="Times New Roman" w:cs="Times New Roman"/>
                <w:sz w:val="20"/>
                <w:szCs w:val="20"/>
              </w:rPr>
            </w:pPr>
            <w:r w:rsidRPr="00904267">
              <w:rPr>
                <w:rFonts w:ascii="Times New Roman" w:hAnsi="Times New Roman" w:cs="Times New Roman"/>
                <w:sz w:val="20"/>
                <w:szCs w:val="20"/>
              </w:rPr>
              <w:lastRenderedPageBreak/>
              <w:t>phs001211</w:t>
            </w:r>
          </w:p>
        </w:tc>
      </w:tr>
      <w:tr w:rsidR="0015030A" w14:paraId="5A8D6E03" w14:textId="3B844540" w:rsidTr="00E55A27">
        <w:trPr>
          <w:trHeight w:val="377"/>
        </w:trPr>
        <w:tc>
          <w:tcPr>
            <w:tcW w:w="1525" w:type="dxa"/>
          </w:tcPr>
          <w:p w14:paraId="02DFE2FF" w14:textId="77777777" w:rsidR="0015030A" w:rsidRPr="002B2A7B" w:rsidRDefault="0015030A" w:rsidP="00F036C5">
            <w:pPr>
              <w:rPr>
                <w:rFonts w:ascii="Times New Roman" w:hAnsi="Times New Roman" w:cs="Times New Roman"/>
                <w:sz w:val="20"/>
                <w:szCs w:val="20"/>
              </w:rPr>
            </w:pPr>
            <w:proofErr w:type="spellStart"/>
            <w:r w:rsidRPr="002B2A7B">
              <w:rPr>
                <w:rFonts w:ascii="Times New Roman" w:hAnsi="Times New Roman" w:cs="Times New Roman"/>
                <w:sz w:val="20"/>
                <w:szCs w:val="20"/>
              </w:rPr>
              <w:t>BioMe</w:t>
            </w:r>
            <w:proofErr w:type="spellEnd"/>
          </w:p>
          <w:p w14:paraId="62140ED3" w14:textId="77777777" w:rsidR="0015030A" w:rsidRPr="002B2A7B" w:rsidRDefault="0015030A" w:rsidP="00F036C5">
            <w:pPr>
              <w:rPr>
                <w:rFonts w:ascii="Times New Roman" w:hAnsi="Times New Roman" w:cs="Times New Roman"/>
                <w:sz w:val="20"/>
                <w:szCs w:val="20"/>
              </w:rPr>
            </w:pPr>
          </w:p>
        </w:tc>
        <w:tc>
          <w:tcPr>
            <w:tcW w:w="1800" w:type="dxa"/>
          </w:tcPr>
          <w:p w14:paraId="7B358E9C" w14:textId="1F0BD05A" w:rsidR="0015030A" w:rsidRPr="00E42E45" w:rsidRDefault="007C1B4D" w:rsidP="00F036C5">
            <w:pPr>
              <w:rPr>
                <w:rFonts w:ascii="Times New Roman" w:hAnsi="Times New Roman" w:cs="Times New Roman"/>
                <w:sz w:val="20"/>
                <w:szCs w:val="20"/>
              </w:rPr>
            </w:pPr>
            <w:r w:rsidRPr="007C1B4D">
              <w:rPr>
                <w:rFonts w:ascii="Times New Roman" w:hAnsi="Times New Roman" w:cs="Times New Roman"/>
                <w:sz w:val="20"/>
                <w:szCs w:val="20"/>
              </w:rPr>
              <w:t xml:space="preserve">Mount Sinai </w:t>
            </w:r>
            <w:proofErr w:type="spellStart"/>
            <w:r w:rsidRPr="007C1B4D">
              <w:rPr>
                <w:rFonts w:ascii="Times New Roman" w:hAnsi="Times New Roman" w:cs="Times New Roman"/>
                <w:sz w:val="20"/>
                <w:szCs w:val="20"/>
              </w:rPr>
              <w:t>BioMe</w:t>
            </w:r>
            <w:proofErr w:type="spellEnd"/>
            <w:r w:rsidRPr="007C1B4D">
              <w:rPr>
                <w:rFonts w:ascii="Times New Roman" w:hAnsi="Times New Roman" w:cs="Times New Roman"/>
                <w:sz w:val="20"/>
                <w:szCs w:val="20"/>
              </w:rPr>
              <w:t xml:space="preserve"> Biobank</w:t>
            </w:r>
          </w:p>
        </w:tc>
        <w:tc>
          <w:tcPr>
            <w:tcW w:w="2599" w:type="dxa"/>
          </w:tcPr>
          <w:p w14:paraId="169E6224" w14:textId="4BF6AEDD" w:rsidR="0015030A" w:rsidRPr="00E42E45" w:rsidRDefault="007C1B4D" w:rsidP="00E21830">
            <w:pPr>
              <w:rPr>
                <w:rFonts w:ascii="Times New Roman" w:hAnsi="Times New Roman" w:cs="Times New Roman"/>
                <w:sz w:val="20"/>
                <w:szCs w:val="20"/>
              </w:rPr>
            </w:pPr>
            <w:r w:rsidRPr="007C1B4D">
              <w:rPr>
                <w:rFonts w:ascii="Times New Roman" w:hAnsi="Times New Roman" w:cs="Times New Roman"/>
                <w:sz w:val="20"/>
                <w:szCs w:val="20"/>
              </w:rPr>
              <w:t>ruth.loos@mssm.edu</w:t>
            </w:r>
          </w:p>
        </w:tc>
        <w:tc>
          <w:tcPr>
            <w:tcW w:w="5413" w:type="dxa"/>
          </w:tcPr>
          <w:p w14:paraId="3689ABB7" w14:textId="1E39487B" w:rsidR="0015030A" w:rsidRPr="00904267" w:rsidRDefault="0015030A" w:rsidP="00F036C5">
            <w:pPr>
              <w:rPr>
                <w:rFonts w:ascii="Times New Roman" w:hAnsi="Times New Roman" w:cs="Times New Roman"/>
                <w:sz w:val="20"/>
                <w:szCs w:val="20"/>
              </w:rPr>
            </w:pPr>
            <w:r w:rsidRPr="00904267">
              <w:rPr>
                <w:rFonts w:ascii="Times New Roman" w:hAnsi="Times New Roman" w:cs="Times New Roman"/>
                <w:sz w:val="20"/>
                <w:szCs w:val="20"/>
              </w:rPr>
              <w:t>This research was supported by NIH grant X01HL134588.</w:t>
            </w:r>
          </w:p>
        </w:tc>
        <w:tc>
          <w:tcPr>
            <w:tcW w:w="1613" w:type="dxa"/>
          </w:tcPr>
          <w:p w14:paraId="5C61737A" w14:textId="1A01EC2F" w:rsidR="0015030A" w:rsidRPr="00904267" w:rsidRDefault="007C1B4D" w:rsidP="007C1B4D">
            <w:pPr>
              <w:rPr>
                <w:rFonts w:ascii="Times New Roman" w:hAnsi="Times New Roman" w:cs="Times New Roman"/>
                <w:sz w:val="20"/>
                <w:szCs w:val="20"/>
              </w:rPr>
            </w:pPr>
            <w:r w:rsidRPr="00904267">
              <w:rPr>
                <w:rFonts w:ascii="Times New Roman" w:hAnsi="Times New Roman" w:cs="Times New Roman"/>
                <w:sz w:val="20"/>
                <w:szCs w:val="20"/>
              </w:rPr>
              <w:t>phs001644</w:t>
            </w:r>
          </w:p>
        </w:tc>
      </w:tr>
      <w:tr w:rsidR="00E21830" w14:paraId="4649CB14" w14:textId="77777777" w:rsidTr="00E55A27">
        <w:tc>
          <w:tcPr>
            <w:tcW w:w="1525" w:type="dxa"/>
          </w:tcPr>
          <w:p w14:paraId="2D1D5F6D" w14:textId="31ECF271" w:rsidR="00E21830" w:rsidRPr="002B2A7B" w:rsidRDefault="00E21830" w:rsidP="00F036C5">
            <w:pPr>
              <w:rPr>
                <w:rFonts w:ascii="Times New Roman" w:hAnsi="Times New Roman" w:cs="Times New Roman"/>
                <w:sz w:val="20"/>
                <w:szCs w:val="20"/>
              </w:rPr>
            </w:pPr>
            <w:r>
              <w:rPr>
                <w:rFonts w:ascii="Times New Roman" w:hAnsi="Times New Roman" w:cs="Times New Roman"/>
                <w:sz w:val="20"/>
                <w:szCs w:val="20"/>
              </w:rPr>
              <w:t>CHS</w:t>
            </w:r>
          </w:p>
        </w:tc>
        <w:tc>
          <w:tcPr>
            <w:tcW w:w="1800" w:type="dxa"/>
          </w:tcPr>
          <w:p w14:paraId="5AE2B19C" w14:textId="5BC2A57C" w:rsidR="00E21830" w:rsidRPr="002B2A7B" w:rsidRDefault="00E21830" w:rsidP="00F036C5">
            <w:pPr>
              <w:rPr>
                <w:rFonts w:ascii="Times New Roman" w:hAnsi="Times New Roman" w:cs="Times New Roman"/>
                <w:color w:val="000000"/>
                <w:sz w:val="20"/>
                <w:szCs w:val="20"/>
                <w:shd w:val="clear" w:color="auto" w:fill="FFFFFF"/>
              </w:rPr>
            </w:pPr>
            <w:r w:rsidRPr="00E21830">
              <w:rPr>
                <w:rFonts w:ascii="Times New Roman" w:hAnsi="Times New Roman" w:cs="Times New Roman"/>
                <w:color w:val="000000"/>
                <w:sz w:val="20"/>
                <w:szCs w:val="20"/>
                <w:shd w:val="clear" w:color="auto" w:fill="FFFFFF"/>
              </w:rPr>
              <w:t>Cardiovascular Health Study</w:t>
            </w:r>
          </w:p>
        </w:tc>
        <w:tc>
          <w:tcPr>
            <w:tcW w:w="2599" w:type="dxa"/>
          </w:tcPr>
          <w:p w14:paraId="45C4A5C8" w14:textId="3F98AD6E" w:rsidR="00E21830" w:rsidRPr="002B2A7B" w:rsidRDefault="00E21830" w:rsidP="00F036C5">
            <w:pPr>
              <w:rPr>
                <w:rFonts w:ascii="Times New Roman" w:hAnsi="Times New Roman" w:cs="Times New Roman"/>
                <w:color w:val="000000"/>
                <w:sz w:val="20"/>
                <w:szCs w:val="20"/>
                <w:shd w:val="clear" w:color="auto" w:fill="FFFFFF"/>
              </w:rPr>
            </w:pPr>
            <w:r w:rsidRPr="00E21830">
              <w:rPr>
                <w:rFonts w:ascii="Times New Roman" w:hAnsi="Times New Roman" w:cs="Times New Roman"/>
                <w:color w:val="000000"/>
                <w:sz w:val="20"/>
                <w:szCs w:val="20"/>
                <w:shd w:val="clear" w:color="auto" w:fill="FFFFFF"/>
              </w:rPr>
              <w:t>psaty@u.washington.edu</w:t>
            </w:r>
          </w:p>
        </w:tc>
        <w:tc>
          <w:tcPr>
            <w:tcW w:w="5413" w:type="dxa"/>
          </w:tcPr>
          <w:p w14:paraId="6372A1AF" w14:textId="77777777" w:rsidR="00E21830" w:rsidRDefault="00BA7786"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This CHS research was supported by NHLBI contracts HHSN268201200036C, HHSN268200800007C, HHSN268201800001C, N01HC55222, N01HC85079, N01HC85080, N01HC85081, N01HC85082, N01HC85083, N01HC85086, 75N92021D00006; and NHLBI grants U01HL080295, R01HL087652, R01HL105756, R01HL103612, R01HL120393, and U01HL130114 with additional contribution from the National Institute of Neurological Disorders and Stroke (NINDS). Additional support was provided through R01AG023629 from the National Institute on Aging (NIA). A full list of principal CHS investigators and institutions can be found at CHS-NHLBI.org. The provision of genotyping data was supported in part by the National Center for Advancing Translational Sciences, CTSI grant UL1TR001881, and the National Institute of Diabetes and Digestive and Kidney Disease Diabetes Research Center (DRC) grant DK063491 to the Southern California Diabetes Endocrinology Research Center.</w:t>
            </w:r>
          </w:p>
          <w:p w14:paraId="1D062144" w14:textId="77777777" w:rsidR="00E7028B" w:rsidRDefault="00E7028B" w:rsidP="00F036C5">
            <w:pPr>
              <w:rPr>
                <w:rFonts w:ascii="Times New Roman" w:hAnsi="Times New Roman" w:cs="Times New Roman"/>
                <w:color w:val="000000"/>
                <w:sz w:val="20"/>
                <w:szCs w:val="20"/>
                <w:shd w:val="clear" w:color="auto" w:fill="FFFFFF"/>
              </w:rPr>
            </w:pPr>
          </w:p>
          <w:p w14:paraId="2418CA04" w14:textId="5947232E" w:rsidR="00E7028B" w:rsidRPr="00904267" w:rsidRDefault="00E7028B" w:rsidP="00F036C5">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Dr. </w:t>
            </w:r>
            <w:proofErr w:type="spellStart"/>
            <w:r w:rsidRPr="00E7028B">
              <w:rPr>
                <w:rFonts w:ascii="Times New Roman" w:hAnsi="Times New Roman" w:cs="Times New Roman"/>
                <w:color w:val="000000"/>
                <w:sz w:val="20"/>
                <w:szCs w:val="20"/>
                <w:shd w:val="clear" w:color="auto" w:fill="FFFFFF"/>
              </w:rPr>
              <w:t>Psaty</w:t>
            </w:r>
            <w:proofErr w:type="spellEnd"/>
            <w:r w:rsidRPr="00E7028B">
              <w:rPr>
                <w:rFonts w:ascii="Times New Roman" w:hAnsi="Times New Roman" w:cs="Times New Roman"/>
                <w:color w:val="000000"/>
                <w:sz w:val="20"/>
                <w:szCs w:val="20"/>
                <w:shd w:val="clear" w:color="auto" w:fill="FFFFFF"/>
              </w:rPr>
              <w:t xml:space="preserve"> serves on the Steering Committee of the Yale Open Data Access Project funded by Johnson &amp; Johnson.</w:t>
            </w:r>
          </w:p>
        </w:tc>
        <w:tc>
          <w:tcPr>
            <w:tcW w:w="1613" w:type="dxa"/>
          </w:tcPr>
          <w:p w14:paraId="660AC58E" w14:textId="56358995" w:rsidR="00E21830" w:rsidRPr="00904267" w:rsidRDefault="00E21830"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phs001368</w:t>
            </w:r>
          </w:p>
        </w:tc>
      </w:tr>
      <w:tr w:rsidR="0015030A" w14:paraId="188B3936" w14:textId="1B8AA683" w:rsidTr="00E55A27">
        <w:tc>
          <w:tcPr>
            <w:tcW w:w="1525" w:type="dxa"/>
          </w:tcPr>
          <w:p w14:paraId="75AC7B64" w14:textId="0751BDBD" w:rsidR="0015030A" w:rsidRPr="002B2A7B" w:rsidRDefault="0015030A" w:rsidP="00F036C5">
            <w:pPr>
              <w:rPr>
                <w:rFonts w:ascii="Times New Roman" w:hAnsi="Times New Roman" w:cs="Times New Roman"/>
                <w:sz w:val="20"/>
                <w:szCs w:val="20"/>
              </w:rPr>
            </w:pPr>
            <w:r w:rsidRPr="002B2A7B">
              <w:rPr>
                <w:rFonts w:ascii="Times New Roman" w:hAnsi="Times New Roman" w:cs="Times New Roman"/>
                <w:sz w:val="20"/>
                <w:szCs w:val="20"/>
              </w:rPr>
              <w:t>CHS</w:t>
            </w:r>
            <w:r w:rsidR="004779A6">
              <w:rPr>
                <w:rFonts w:ascii="Times New Roman" w:hAnsi="Times New Roman" w:cs="Times New Roman"/>
                <w:sz w:val="20"/>
                <w:szCs w:val="20"/>
              </w:rPr>
              <w:t>_VTE</w:t>
            </w:r>
          </w:p>
        </w:tc>
        <w:tc>
          <w:tcPr>
            <w:tcW w:w="1800" w:type="dxa"/>
          </w:tcPr>
          <w:p w14:paraId="5228B274" w14:textId="312FD89E" w:rsidR="0015030A" w:rsidRPr="002B2A7B" w:rsidRDefault="00E21830" w:rsidP="00F036C5">
            <w:pPr>
              <w:rPr>
                <w:rFonts w:ascii="Times New Roman" w:hAnsi="Times New Roman" w:cs="Times New Roman"/>
                <w:color w:val="000000"/>
                <w:sz w:val="20"/>
                <w:szCs w:val="20"/>
                <w:shd w:val="clear" w:color="auto" w:fill="FFFFFF"/>
              </w:rPr>
            </w:pPr>
            <w:r w:rsidRPr="00E21830">
              <w:rPr>
                <w:rFonts w:ascii="Times New Roman" w:hAnsi="Times New Roman" w:cs="Times New Roman"/>
                <w:color w:val="000000"/>
                <w:sz w:val="20"/>
                <w:szCs w:val="20"/>
                <w:shd w:val="clear" w:color="auto" w:fill="FFFFFF"/>
              </w:rPr>
              <w:t>Cardiovascular Health Study</w:t>
            </w:r>
          </w:p>
        </w:tc>
        <w:tc>
          <w:tcPr>
            <w:tcW w:w="2599" w:type="dxa"/>
          </w:tcPr>
          <w:p w14:paraId="42128F40" w14:textId="5F421FE3" w:rsidR="00E21830" w:rsidRPr="00E21830" w:rsidRDefault="00E21830" w:rsidP="00E21830">
            <w:pPr>
              <w:rPr>
                <w:rFonts w:ascii="Times New Roman" w:hAnsi="Times New Roman" w:cs="Times New Roman"/>
                <w:sz w:val="20"/>
                <w:szCs w:val="20"/>
              </w:rPr>
            </w:pPr>
            <w:r w:rsidRPr="00E21830">
              <w:rPr>
                <w:rFonts w:ascii="Times New Roman" w:hAnsi="Times New Roman" w:cs="Times New Roman"/>
                <w:sz w:val="20"/>
                <w:szCs w:val="20"/>
              </w:rPr>
              <w:t>heckbert@uw.edu</w:t>
            </w:r>
          </w:p>
        </w:tc>
        <w:tc>
          <w:tcPr>
            <w:tcW w:w="5413" w:type="dxa"/>
          </w:tcPr>
          <w:p w14:paraId="750694E6" w14:textId="6EC45681" w:rsidR="0015030A" w:rsidRPr="00904267" w:rsidRDefault="00BA7786" w:rsidP="00F036C5">
            <w:pPr>
              <w:rPr>
                <w:rFonts w:ascii="Times New Roman" w:hAnsi="Times New Roman" w:cs="Times New Roman"/>
                <w:sz w:val="20"/>
                <w:szCs w:val="20"/>
              </w:rPr>
            </w:pPr>
            <w:r w:rsidRPr="00904267">
              <w:rPr>
                <w:rFonts w:ascii="Times New Roman" w:hAnsi="Times New Roman" w:cs="Times New Roman"/>
                <w:sz w:val="20"/>
                <w:szCs w:val="20"/>
              </w:rPr>
              <w:t>Please contact the study PI.</w:t>
            </w:r>
          </w:p>
        </w:tc>
        <w:tc>
          <w:tcPr>
            <w:tcW w:w="1613" w:type="dxa"/>
          </w:tcPr>
          <w:p w14:paraId="3122B786" w14:textId="58407285" w:rsidR="0015030A" w:rsidRPr="00904267" w:rsidRDefault="00E21830"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phs001368</w:t>
            </w:r>
          </w:p>
        </w:tc>
      </w:tr>
      <w:tr w:rsidR="0015030A" w14:paraId="6E9EB962" w14:textId="1BE7518B" w:rsidTr="00E55A27">
        <w:tc>
          <w:tcPr>
            <w:tcW w:w="1525" w:type="dxa"/>
          </w:tcPr>
          <w:p w14:paraId="301E979F" w14:textId="77777777" w:rsidR="0015030A" w:rsidRPr="002B2A7B" w:rsidRDefault="0015030A" w:rsidP="00F036C5">
            <w:pPr>
              <w:rPr>
                <w:rFonts w:ascii="Times New Roman" w:hAnsi="Times New Roman" w:cs="Times New Roman"/>
                <w:sz w:val="20"/>
                <w:szCs w:val="20"/>
              </w:rPr>
            </w:pPr>
            <w:proofErr w:type="spellStart"/>
            <w:r w:rsidRPr="002B2A7B">
              <w:rPr>
                <w:rFonts w:ascii="Times New Roman" w:hAnsi="Times New Roman" w:cs="Times New Roman"/>
                <w:sz w:val="20"/>
                <w:szCs w:val="20"/>
              </w:rPr>
              <w:t>COPDGene</w:t>
            </w:r>
            <w:proofErr w:type="spellEnd"/>
            <w:r w:rsidRPr="002B2A7B">
              <w:rPr>
                <w:rFonts w:ascii="Times New Roman" w:hAnsi="Times New Roman" w:cs="Times New Roman"/>
                <w:sz w:val="20"/>
                <w:szCs w:val="20"/>
              </w:rPr>
              <w:t>/Eclipse</w:t>
            </w:r>
          </w:p>
        </w:tc>
        <w:tc>
          <w:tcPr>
            <w:tcW w:w="1800" w:type="dxa"/>
          </w:tcPr>
          <w:p w14:paraId="4F6447CD" w14:textId="39EA01BF" w:rsidR="0015030A" w:rsidRPr="002B2A7B" w:rsidRDefault="008009B6" w:rsidP="00F036C5">
            <w:pPr>
              <w:rPr>
                <w:rFonts w:ascii="Times New Roman" w:hAnsi="Times New Roman" w:cs="Times New Roman"/>
                <w:color w:val="000000"/>
                <w:sz w:val="20"/>
                <w:szCs w:val="20"/>
                <w:shd w:val="clear" w:color="auto" w:fill="FFFFFF"/>
              </w:rPr>
            </w:pPr>
            <w:r w:rsidRPr="008009B6">
              <w:rPr>
                <w:rFonts w:ascii="Times New Roman" w:hAnsi="Times New Roman" w:cs="Times New Roman"/>
                <w:color w:val="000000"/>
                <w:sz w:val="20"/>
                <w:szCs w:val="20"/>
                <w:shd w:val="clear" w:color="auto" w:fill="FFFFFF"/>
              </w:rPr>
              <w:t>Genetic Epidemiology of COPD Study</w:t>
            </w:r>
          </w:p>
        </w:tc>
        <w:tc>
          <w:tcPr>
            <w:tcW w:w="2599" w:type="dxa"/>
          </w:tcPr>
          <w:p w14:paraId="183027CD" w14:textId="77777777" w:rsidR="0015030A" w:rsidRDefault="0015030A" w:rsidP="00F036C5">
            <w:pPr>
              <w:rPr>
                <w:rFonts w:ascii="Times New Roman" w:hAnsi="Times New Roman" w:cs="Times New Roman"/>
                <w:color w:val="000000"/>
                <w:sz w:val="20"/>
                <w:szCs w:val="20"/>
                <w:shd w:val="clear" w:color="auto" w:fill="FFFFFF"/>
              </w:rPr>
            </w:pPr>
          </w:p>
          <w:p w14:paraId="0AC6C7AE" w14:textId="00FA7B41" w:rsidR="008009B6" w:rsidRPr="008009B6" w:rsidRDefault="008009B6" w:rsidP="008009B6">
            <w:pPr>
              <w:rPr>
                <w:rFonts w:ascii="Times New Roman" w:hAnsi="Times New Roman" w:cs="Times New Roman"/>
                <w:sz w:val="20"/>
                <w:szCs w:val="20"/>
              </w:rPr>
            </w:pPr>
            <w:r w:rsidRPr="008009B6">
              <w:rPr>
                <w:rFonts w:ascii="Times New Roman" w:hAnsi="Times New Roman" w:cs="Times New Roman"/>
                <w:sz w:val="20"/>
                <w:szCs w:val="20"/>
              </w:rPr>
              <w:t>ed.silverman@channing.harvard.edu</w:t>
            </w:r>
          </w:p>
        </w:tc>
        <w:tc>
          <w:tcPr>
            <w:tcW w:w="5413" w:type="dxa"/>
          </w:tcPr>
          <w:p w14:paraId="60915480" w14:textId="77777777" w:rsidR="0015030A" w:rsidRDefault="0015030A"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This research was supported by NIH grants U01 HL089856 and U01 HL089897. ECLIPSE was supported by GSK.</w:t>
            </w:r>
            <w:r w:rsidR="00E7028B">
              <w:rPr>
                <w:rFonts w:ascii="Times New Roman" w:hAnsi="Times New Roman" w:cs="Times New Roman"/>
                <w:color w:val="000000"/>
                <w:sz w:val="20"/>
                <w:szCs w:val="20"/>
                <w:shd w:val="clear" w:color="auto" w:fill="FFFFFF"/>
              </w:rPr>
              <w:t xml:space="preserve"> </w:t>
            </w:r>
          </w:p>
          <w:p w14:paraId="01872636" w14:textId="77777777" w:rsidR="00E7028B" w:rsidRDefault="00E7028B" w:rsidP="00F036C5">
            <w:pPr>
              <w:rPr>
                <w:rFonts w:ascii="Times New Roman" w:hAnsi="Times New Roman" w:cs="Times New Roman"/>
                <w:color w:val="000000"/>
                <w:sz w:val="20"/>
                <w:szCs w:val="20"/>
                <w:shd w:val="clear" w:color="auto" w:fill="FFFFFF"/>
              </w:rPr>
            </w:pPr>
          </w:p>
          <w:p w14:paraId="20AB81C9" w14:textId="69ACD01D" w:rsidR="00E7028B" w:rsidRPr="00904267" w:rsidRDefault="00E7028B" w:rsidP="00F036C5">
            <w:pPr>
              <w:rPr>
                <w:rFonts w:ascii="Times New Roman" w:hAnsi="Times New Roman" w:cs="Times New Roman"/>
                <w:sz w:val="20"/>
                <w:szCs w:val="20"/>
              </w:rPr>
            </w:pPr>
            <w:r>
              <w:rPr>
                <w:rFonts w:ascii="Times New Roman" w:hAnsi="Times New Roman" w:cs="Times New Roman"/>
                <w:sz w:val="20"/>
                <w:szCs w:val="20"/>
              </w:rPr>
              <w:t>Dr. Silverman</w:t>
            </w:r>
            <w:r w:rsidRPr="00E7028B">
              <w:rPr>
                <w:rFonts w:ascii="Times New Roman" w:hAnsi="Times New Roman" w:cs="Times New Roman"/>
                <w:sz w:val="20"/>
                <w:szCs w:val="20"/>
              </w:rPr>
              <w:t xml:space="preserve"> has received grant support from GSK and Bayer</w:t>
            </w:r>
            <w:r>
              <w:rPr>
                <w:rFonts w:ascii="Times New Roman" w:hAnsi="Times New Roman" w:cs="Times New Roman"/>
                <w:sz w:val="20"/>
                <w:szCs w:val="20"/>
              </w:rPr>
              <w:t>.</w:t>
            </w:r>
          </w:p>
        </w:tc>
        <w:tc>
          <w:tcPr>
            <w:tcW w:w="1613" w:type="dxa"/>
          </w:tcPr>
          <w:p w14:paraId="14300E60" w14:textId="197CE496" w:rsidR="0015030A" w:rsidRPr="00904267" w:rsidRDefault="008009B6"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phs000951</w:t>
            </w:r>
          </w:p>
        </w:tc>
      </w:tr>
      <w:tr w:rsidR="00BB59CA" w14:paraId="259EB881" w14:textId="77777777" w:rsidTr="00E55A27">
        <w:tc>
          <w:tcPr>
            <w:tcW w:w="1525" w:type="dxa"/>
          </w:tcPr>
          <w:p w14:paraId="679E908C" w14:textId="0509BDC0" w:rsidR="00BB59CA" w:rsidRPr="002B2A7B" w:rsidRDefault="00BB59CA" w:rsidP="00F036C5">
            <w:pPr>
              <w:rPr>
                <w:rFonts w:ascii="Times New Roman" w:hAnsi="Times New Roman" w:cs="Times New Roman"/>
                <w:sz w:val="20"/>
                <w:szCs w:val="20"/>
              </w:rPr>
            </w:pPr>
            <w:r>
              <w:rPr>
                <w:rFonts w:ascii="Times New Roman" w:hAnsi="Times New Roman" w:cs="Times New Roman"/>
                <w:sz w:val="20"/>
                <w:szCs w:val="20"/>
              </w:rPr>
              <w:t>EOCOPD</w:t>
            </w:r>
          </w:p>
        </w:tc>
        <w:tc>
          <w:tcPr>
            <w:tcW w:w="1800" w:type="dxa"/>
          </w:tcPr>
          <w:p w14:paraId="491C36E8" w14:textId="036B06B0" w:rsidR="00BB59CA" w:rsidRPr="002B2A7B" w:rsidRDefault="003C52BE" w:rsidP="00F036C5">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Boston Early-Onset COPD Study</w:t>
            </w:r>
          </w:p>
        </w:tc>
        <w:tc>
          <w:tcPr>
            <w:tcW w:w="2599" w:type="dxa"/>
          </w:tcPr>
          <w:p w14:paraId="5A733946" w14:textId="7968680B" w:rsidR="00BB59CA" w:rsidRPr="002B2A7B" w:rsidRDefault="003C52BE" w:rsidP="00F036C5">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ed.silverman@channing.harvard.edu</w:t>
            </w:r>
          </w:p>
        </w:tc>
        <w:tc>
          <w:tcPr>
            <w:tcW w:w="5413" w:type="dxa"/>
          </w:tcPr>
          <w:p w14:paraId="116907DA" w14:textId="0141C5FA" w:rsidR="00BB59CA" w:rsidRPr="00904267" w:rsidRDefault="003C52BE"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The Boston Early-Onset COPD Study was supported by R01 HL113264 and U01 HL089856 from the National Heart, Lung, and Blood Institute.</w:t>
            </w:r>
          </w:p>
        </w:tc>
        <w:tc>
          <w:tcPr>
            <w:tcW w:w="1613" w:type="dxa"/>
          </w:tcPr>
          <w:p w14:paraId="055EEC5F" w14:textId="59B13EDF" w:rsidR="00BB59CA" w:rsidRPr="00904267" w:rsidRDefault="003C52BE"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phs000946</w:t>
            </w:r>
          </w:p>
        </w:tc>
      </w:tr>
      <w:tr w:rsidR="0015030A" w14:paraId="456DFB96" w14:textId="12A43A4A" w:rsidTr="00E55A27">
        <w:tc>
          <w:tcPr>
            <w:tcW w:w="1525" w:type="dxa"/>
          </w:tcPr>
          <w:p w14:paraId="5A3ADBBC" w14:textId="77777777" w:rsidR="0015030A" w:rsidRPr="002B2A7B" w:rsidRDefault="0015030A" w:rsidP="00F036C5">
            <w:pPr>
              <w:rPr>
                <w:rFonts w:ascii="Times New Roman" w:hAnsi="Times New Roman" w:cs="Times New Roman"/>
                <w:sz w:val="20"/>
                <w:szCs w:val="20"/>
              </w:rPr>
            </w:pPr>
            <w:r w:rsidRPr="002B2A7B">
              <w:rPr>
                <w:rFonts w:ascii="Times New Roman" w:hAnsi="Times New Roman" w:cs="Times New Roman"/>
                <w:sz w:val="20"/>
                <w:szCs w:val="20"/>
              </w:rPr>
              <w:t>FHS</w:t>
            </w:r>
          </w:p>
        </w:tc>
        <w:tc>
          <w:tcPr>
            <w:tcW w:w="1800" w:type="dxa"/>
          </w:tcPr>
          <w:p w14:paraId="48CB1738" w14:textId="7C72561A" w:rsidR="0015030A" w:rsidRPr="002B2A7B" w:rsidRDefault="003C52BE" w:rsidP="00F036C5">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Framingham Heart Study</w:t>
            </w:r>
          </w:p>
        </w:tc>
        <w:tc>
          <w:tcPr>
            <w:tcW w:w="2599" w:type="dxa"/>
          </w:tcPr>
          <w:p w14:paraId="698A3F83" w14:textId="763963B6" w:rsidR="0015030A" w:rsidRPr="002B2A7B" w:rsidRDefault="00334638" w:rsidP="00F036C5">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vasan@bu.edu</w:t>
            </w:r>
          </w:p>
        </w:tc>
        <w:tc>
          <w:tcPr>
            <w:tcW w:w="5413" w:type="dxa"/>
          </w:tcPr>
          <w:p w14:paraId="25DC5294" w14:textId="063D0C9C" w:rsidR="00BA79B9" w:rsidRDefault="00BA79B9" w:rsidP="00F036C5">
            <w:pPr>
              <w:rPr>
                <w:rFonts w:ascii="Times New Roman" w:hAnsi="Times New Roman" w:cs="Times New Roman"/>
                <w:color w:val="000000"/>
                <w:sz w:val="20"/>
                <w:szCs w:val="20"/>
                <w:shd w:val="clear" w:color="auto" w:fill="FFFFFF"/>
              </w:rPr>
            </w:pPr>
            <w:r w:rsidRPr="00BA79B9">
              <w:rPr>
                <w:rFonts w:ascii="Times New Roman" w:hAnsi="Times New Roman" w:cs="Times New Roman"/>
                <w:color w:val="000000"/>
                <w:sz w:val="20"/>
                <w:szCs w:val="20"/>
                <w:shd w:val="clear" w:color="auto" w:fill="FFFFFF"/>
              </w:rPr>
              <w:t>This investigation includes data From the Framingham Heart Study of the National Heart Lung and Blood Institute of the National Institutes of Health and Boston University School of Medicine. This project has been funded in part with Federal funds from the National Heart, Lung, and Blood Institute, National Institutes of Health, Department of Health and Human Services, under Contract No. 75N92019D00031.</w:t>
            </w:r>
          </w:p>
          <w:p w14:paraId="3512D6AB" w14:textId="77777777" w:rsidR="00BA79B9" w:rsidRDefault="00BA79B9" w:rsidP="00F036C5">
            <w:pPr>
              <w:rPr>
                <w:rFonts w:ascii="Times New Roman" w:hAnsi="Times New Roman" w:cs="Times New Roman"/>
                <w:color w:val="000000"/>
                <w:sz w:val="20"/>
                <w:szCs w:val="20"/>
                <w:shd w:val="clear" w:color="auto" w:fill="FFFFFF"/>
              </w:rPr>
            </w:pPr>
          </w:p>
          <w:p w14:paraId="091DD691" w14:textId="6F197145" w:rsidR="0015030A" w:rsidRDefault="0015030A"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 xml:space="preserve">The Framingham Heart Study (FHS) acknowledges the support of Contracts NO1-HC-25195, HHSN268201500001I and 75N92019D00031 from the National Heart, Lung and Blood Institute and grant supplement R01 HL092577-06S1 for this research. We also acknowledge the dedication of the FHS study participants without whom this research would not be possible. Dr. </w:t>
            </w:r>
            <w:proofErr w:type="spellStart"/>
            <w:r w:rsidRPr="00904267">
              <w:rPr>
                <w:rFonts w:ascii="Times New Roman" w:hAnsi="Times New Roman" w:cs="Times New Roman"/>
                <w:color w:val="000000"/>
                <w:sz w:val="20"/>
                <w:szCs w:val="20"/>
                <w:shd w:val="clear" w:color="auto" w:fill="FFFFFF"/>
              </w:rPr>
              <w:t>Vasan</w:t>
            </w:r>
            <w:proofErr w:type="spellEnd"/>
            <w:r w:rsidRPr="00904267">
              <w:rPr>
                <w:rFonts w:ascii="Times New Roman" w:hAnsi="Times New Roman" w:cs="Times New Roman"/>
                <w:color w:val="000000"/>
                <w:sz w:val="20"/>
                <w:szCs w:val="20"/>
                <w:shd w:val="clear" w:color="auto" w:fill="FFFFFF"/>
              </w:rPr>
              <w:t xml:space="preserve"> is supported in part by the Evans Medical Foundation and the Jay and Louis Coffman Endowment from the Department of Medicine, Boston University School of Medicine</w:t>
            </w:r>
            <w:r w:rsidR="00653100">
              <w:rPr>
                <w:rFonts w:ascii="Times New Roman" w:hAnsi="Times New Roman" w:cs="Times New Roman"/>
                <w:color w:val="000000"/>
                <w:sz w:val="20"/>
                <w:szCs w:val="20"/>
                <w:shd w:val="clear" w:color="auto" w:fill="FFFFFF"/>
              </w:rPr>
              <w:t>.</w:t>
            </w:r>
            <w:r w:rsidR="0007151A">
              <w:rPr>
                <w:rFonts w:ascii="Times New Roman" w:hAnsi="Times New Roman" w:cs="Times New Roman"/>
                <w:color w:val="000000"/>
                <w:sz w:val="20"/>
                <w:szCs w:val="20"/>
                <w:shd w:val="clear" w:color="auto" w:fill="FFFFFF"/>
              </w:rPr>
              <w:t xml:space="preserve"> </w:t>
            </w:r>
          </w:p>
          <w:p w14:paraId="3E1B5189" w14:textId="77777777" w:rsidR="00BA79B9" w:rsidRDefault="00BA79B9" w:rsidP="00F036C5">
            <w:pPr>
              <w:rPr>
                <w:rFonts w:ascii="Times New Roman" w:hAnsi="Times New Roman" w:cs="Times New Roman"/>
                <w:color w:val="000000"/>
                <w:sz w:val="20"/>
                <w:szCs w:val="20"/>
                <w:shd w:val="clear" w:color="auto" w:fill="FFFFFF"/>
              </w:rPr>
            </w:pPr>
          </w:p>
          <w:p w14:paraId="1F0CB44F" w14:textId="7503C53A" w:rsidR="0007151A" w:rsidRPr="00904267" w:rsidRDefault="0007151A" w:rsidP="00F036C5">
            <w:pPr>
              <w:rPr>
                <w:rFonts w:ascii="Times New Roman" w:hAnsi="Times New Roman" w:cs="Times New Roman"/>
                <w:sz w:val="20"/>
                <w:szCs w:val="20"/>
              </w:rPr>
            </w:pPr>
            <w:r w:rsidRPr="0007151A">
              <w:rPr>
                <w:rFonts w:ascii="Times New Roman" w:hAnsi="Times New Roman" w:cs="Times New Roman"/>
                <w:sz w:val="20"/>
                <w:szCs w:val="20"/>
              </w:rPr>
              <w:t>The views expressed in this manuscript are those of the authors and do not necessarily represent the views of the National Heart, Lung, and Blood Institute; the National Institutes of Health; or the U.S. Department of Health and Human Services.</w:t>
            </w:r>
          </w:p>
        </w:tc>
        <w:tc>
          <w:tcPr>
            <w:tcW w:w="1613" w:type="dxa"/>
          </w:tcPr>
          <w:p w14:paraId="415CF250" w14:textId="29875825" w:rsidR="0015030A" w:rsidRPr="00904267" w:rsidRDefault="003C52BE"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lastRenderedPageBreak/>
              <w:t>phs000974</w:t>
            </w:r>
          </w:p>
        </w:tc>
      </w:tr>
      <w:tr w:rsidR="0015030A" w14:paraId="4CD91EC6" w14:textId="25C8C134" w:rsidTr="00E55A27">
        <w:tc>
          <w:tcPr>
            <w:tcW w:w="1525" w:type="dxa"/>
          </w:tcPr>
          <w:p w14:paraId="27598EDF" w14:textId="77777777" w:rsidR="0015030A" w:rsidRPr="002B2A7B" w:rsidRDefault="0015030A" w:rsidP="00F036C5">
            <w:pPr>
              <w:rPr>
                <w:rFonts w:ascii="Times New Roman" w:hAnsi="Times New Roman" w:cs="Times New Roman"/>
                <w:sz w:val="20"/>
                <w:szCs w:val="20"/>
              </w:rPr>
            </w:pPr>
            <w:proofErr w:type="spellStart"/>
            <w:r w:rsidRPr="002B2A7B">
              <w:rPr>
                <w:rFonts w:ascii="Times New Roman" w:hAnsi="Times New Roman" w:cs="Times New Roman"/>
                <w:sz w:val="20"/>
                <w:szCs w:val="20"/>
              </w:rPr>
              <w:t>GeneSTAR</w:t>
            </w:r>
            <w:proofErr w:type="spellEnd"/>
          </w:p>
        </w:tc>
        <w:tc>
          <w:tcPr>
            <w:tcW w:w="1800" w:type="dxa"/>
          </w:tcPr>
          <w:p w14:paraId="56E5CEF9" w14:textId="31AAF58E" w:rsidR="0015030A" w:rsidRPr="002B2A7B" w:rsidRDefault="003C52BE" w:rsidP="00F036C5">
            <w:pPr>
              <w:rPr>
                <w:rFonts w:ascii="Times New Roman" w:hAnsi="Times New Roman" w:cs="Times New Roman"/>
                <w:sz w:val="20"/>
                <w:szCs w:val="20"/>
              </w:rPr>
            </w:pPr>
            <w:r w:rsidRPr="003C52BE">
              <w:rPr>
                <w:rFonts w:ascii="Times New Roman" w:hAnsi="Times New Roman" w:cs="Times New Roman"/>
                <w:sz w:val="20"/>
                <w:szCs w:val="20"/>
              </w:rPr>
              <w:t>Genetic Studies of Atherosclerosis Risk</w:t>
            </w:r>
          </w:p>
        </w:tc>
        <w:tc>
          <w:tcPr>
            <w:tcW w:w="2599" w:type="dxa"/>
          </w:tcPr>
          <w:p w14:paraId="3B7BE29E" w14:textId="5168E98C" w:rsidR="0015030A" w:rsidRPr="002B2A7B" w:rsidRDefault="003C52BE" w:rsidP="00F036C5">
            <w:pPr>
              <w:rPr>
                <w:rFonts w:ascii="Times New Roman" w:hAnsi="Times New Roman" w:cs="Times New Roman"/>
                <w:sz w:val="20"/>
                <w:szCs w:val="20"/>
              </w:rPr>
            </w:pPr>
            <w:r w:rsidRPr="003C52BE">
              <w:rPr>
                <w:rFonts w:ascii="Times New Roman" w:hAnsi="Times New Roman" w:cs="Times New Roman"/>
                <w:sz w:val="20"/>
                <w:szCs w:val="20"/>
              </w:rPr>
              <w:t>rmathias@jhmi.edu</w:t>
            </w:r>
          </w:p>
        </w:tc>
        <w:tc>
          <w:tcPr>
            <w:tcW w:w="5413" w:type="dxa"/>
          </w:tcPr>
          <w:p w14:paraId="31CAD1A3" w14:textId="77B37AD3" w:rsidR="0015030A" w:rsidRPr="00904267" w:rsidRDefault="0015030A" w:rsidP="00F036C5">
            <w:pPr>
              <w:rPr>
                <w:rFonts w:ascii="Times New Roman" w:hAnsi="Times New Roman" w:cs="Times New Roman"/>
                <w:sz w:val="20"/>
                <w:szCs w:val="20"/>
              </w:rPr>
            </w:pPr>
            <w:proofErr w:type="spellStart"/>
            <w:r w:rsidRPr="00904267">
              <w:rPr>
                <w:rFonts w:ascii="Times New Roman" w:hAnsi="Times New Roman" w:cs="Times New Roman"/>
                <w:sz w:val="20"/>
                <w:szCs w:val="20"/>
              </w:rPr>
              <w:t>GeneSTAR</w:t>
            </w:r>
            <w:proofErr w:type="spellEnd"/>
            <w:r w:rsidRPr="00904267">
              <w:rPr>
                <w:rFonts w:ascii="Times New Roman" w:hAnsi="Times New Roman" w:cs="Times New Roman"/>
                <w:sz w:val="20"/>
                <w:szCs w:val="20"/>
              </w:rPr>
              <w:t xml:space="preserve"> was supported by the National Institutes of Health/National Heart, Lung, and Blood Institute (U01 HL72518, HL087698, HL112064) and by a grant from the National Institutes of Health/National Center for Research Resources (M01- R000052) to the Johns Hopkins General Clinical Research Center.</w:t>
            </w:r>
          </w:p>
        </w:tc>
        <w:tc>
          <w:tcPr>
            <w:tcW w:w="1613" w:type="dxa"/>
          </w:tcPr>
          <w:p w14:paraId="21A8AF13" w14:textId="7CBD741C" w:rsidR="0015030A" w:rsidRPr="00904267" w:rsidRDefault="003C52BE" w:rsidP="00F036C5">
            <w:pPr>
              <w:rPr>
                <w:rFonts w:ascii="Times New Roman" w:hAnsi="Times New Roman" w:cs="Times New Roman"/>
                <w:sz w:val="20"/>
                <w:szCs w:val="20"/>
              </w:rPr>
            </w:pPr>
            <w:r w:rsidRPr="00904267">
              <w:rPr>
                <w:rFonts w:ascii="Times New Roman" w:hAnsi="Times New Roman" w:cs="Times New Roman"/>
                <w:sz w:val="20"/>
                <w:szCs w:val="20"/>
              </w:rPr>
              <w:t>phs001218</w:t>
            </w:r>
          </w:p>
        </w:tc>
      </w:tr>
      <w:tr w:rsidR="0015030A" w14:paraId="6DF73649" w14:textId="5F5134CE" w:rsidTr="00E55A27">
        <w:tc>
          <w:tcPr>
            <w:tcW w:w="1525" w:type="dxa"/>
          </w:tcPr>
          <w:p w14:paraId="407E737D" w14:textId="77777777" w:rsidR="0015030A" w:rsidRPr="002B2A7B" w:rsidRDefault="0015030A" w:rsidP="00F036C5">
            <w:pPr>
              <w:rPr>
                <w:rFonts w:ascii="Times New Roman" w:hAnsi="Times New Roman" w:cs="Times New Roman"/>
                <w:sz w:val="20"/>
                <w:szCs w:val="20"/>
              </w:rPr>
            </w:pPr>
            <w:r w:rsidRPr="002B2A7B">
              <w:rPr>
                <w:rFonts w:ascii="Times New Roman" w:hAnsi="Times New Roman" w:cs="Times New Roman"/>
                <w:sz w:val="20"/>
                <w:szCs w:val="20"/>
              </w:rPr>
              <w:t>GOLDN/</w:t>
            </w:r>
            <w:proofErr w:type="spellStart"/>
            <w:r w:rsidRPr="002B2A7B">
              <w:rPr>
                <w:rFonts w:ascii="Times New Roman" w:hAnsi="Times New Roman" w:cs="Times New Roman"/>
                <w:sz w:val="20"/>
                <w:szCs w:val="20"/>
              </w:rPr>
              <w:t>HyperGEN</w:t>
            </w:r>
            <w:proofErr w:type="spellEnd"/>
          </w:p>
        </w:tc>
        <w:tc>
          <w:tcPr>
            <w:tcW w:w="1800" w:type="dxa"/>
          </w:tcPr>
          <w:p w14:paraId="059923B2" w14:textId="5A8F1974" w:rsidR="0015030A" w:rsidRPr="002B2A7B" w:rsidRDefault="003C52BE" w:rsidP="00F036C5">
            <w:pPr>
              <w:rPr>
                <w:rFonts w:ascii="Times New Roman" w:hAnsi="Times New Roman" w:cs="Times New Roman"/>
                <w:sz w:val="20"/>
                <w:szCs w:val="20"/>
              </w:rPr>
            </w:pPr>
            <w:r w:rsidRPr="003C52BE">
              <w:rPr>
                <w:rFonts w:ascii="Times New Roman" w:hAnsi="Times New Roman" w:cs="Times New Roman"/>
                <w:sz w:val="20"/>
                <w:szCs w:val="20"/>
              </w:rPr>
              <w:t>Genetics of Lipid Lowering Drugs and Diet Network</w:t>
            </w:r>
          </w:p>
        </w:tc>
        <w:tc>
          <w:tcPr>
            <w:tcW w:w="2599" w:type="dxa"/>
          </w:tcPr>
          <w:p w14:paraId="2D1BA078" w14:textId="12368E20" w:rsidR="0015030A" w:rsidRPr="002B2A7B" w:rsidRDefault="003C52BE" w:rsidP="00F036C5">
            <w:pPr>
              <w:rPr>
                <w:rFonts w:ascii="Times New Roman" w:hAnsi="Times New Roman" w:cs="Times New Roman"/>
                <w:sz w:val="20"/>
                <w:szCs w:val="20"/>
              </w:rPr>
            </w:pPr>
            <w:r w:rsidRPr="003C52BE">
              <w:rPr>
                <w:rFonts w:ascii="Times New Roman" w:hAnsi="Times New Roman" w:cs="Times New Roman"/>
                <w:sz w:val="20"/>
                <w:szCs w:val="20"/>
              </w:rPr>
              <w:t>donna.arnett@uky.edu</w:t>
            </w:r>
          </w:p>
        </w:tc>
        <w:tc>
          <w:tcPr>
            <w:tcW w:w="5413" w:type="dxa"/>
          </w:tcPr>
          <w:p w14:paraId="4E2148EB" w14:textId="1AB1ABE1" w:rsidR="0015030A" w:rsidRPr="00904267" w:rsidRDefault="0015030A" w:rsidP="00F036C5">
            <w:pPr>
              <w:rPr>
                <w:rFonts w:ascii="Times New Roman" w:hAnsi="Times New Roman" w:cs="Times New Roman"/>
                <w:sz w:val="20"/>
                <w:szCs w:val="20"/>
              </w:rPr>
            </w:pPr>
            <w:r w:rsidRPr="00904267">
              <w:rPr>
                <w:rFonts w:ascii="Times New Roman" w:hAnsi="Times New Roman" w:cs="Times New Roman"/>
                <w:sz w:val="20"/>
                <w:szCs w:val="20"/>
              </w:rPr>
              <w:t>This research was supported by NIH grant 1R01 HL091357.</w:t>
            </w:r>
          </w:p>
        </w:tc>
        <w:tc>
          <w:tcPr>
            <w:tcW w:w="1613" w:type="dxa"/>
          </w:tcPr>
          <w:p w14:paraId="4963B8EC" w14:textId="22DD1102" w:rsidR="0015030A" w:rsidRPr="00904267" w:rsidRDefault="003C52BE" w:rsidP="00F036C5">
            <w:pPr>
              <w:rPr>
                <w:rFonts w:ascii="Times New Roman" w:hAnsi="Times New Roman" w:cs="Times New Roman"/>
                <w:sz w:val="20"/>
                <w:szCs w:val="20"/>
              </w:rPr>
            </w:pPr>
            <w:r w:rsidRPr="00904267">
              <w:rPr>
                <w:rFonts w:ascii="Times New Roman" w:hAnsi="Times New Roman" w:cs="Times New Roman"/>
                <w:sz w:val="20"/>
                <w:szCs w:val="20"/>
              </w:rPr>
              <w:t>phs001359</w:t>
            </w:r>
          </w:p>
        </w:tc>
      </w:tr>
      <w:tr w:rsidR="0015030A" w14:paraId="617F0D6C" w14:textId="11BA19C4" w:rsidTr="00E55A27">
        <w:tc>
          <w:tcPr>
            <w:tcW w:w="1525" w:type="dxa"/>
          </w:tcPr>
          <w:p w14:paraId="1CB45849" w14:textId="77777777" w:rsidR="0015030A" w:rsidRPr="002B2A7B" w:rsidRDefault="0015030A" w:rsidP="00F036C5">
            <w:pPr>
              <w:rPr>
                <w:rFonts w:ascii="Times New Roman" w:hAnsi="Times New Roman" w:cs="Times New Roman"/>
                <w:sz w:val="20"/>
                <w:szCs w:val="20"/>
              </w:rPr>
            </w:pPr>
            <w:r w:rsidRPr="002B2A7B">
              <w:rPr>
                <w:rFonts w:ascii="Times New Roman" w:hAnsi="Times New Roman" w:cs="Times New Roman"/>
                <w:sz w:val="20"/>
                <w:szCs w:val="20"/>
              </w:rPr>
              <w:t>HCHS_SOL</w:t>
            </w:r>
          </w:p>
        </w:tc>
        <w:tc>
          <w:tcPr>
            <w:tcW w:w="1800" w:type="dxa"/>
          </w:tcPr>
          <w:p w14:paraId="63E138A9" w14:textId="04EA7309" w:rsidR="0015030A" w:rsidRPr="002B2A7B" w:rsidRDefault="003C52BE" w:rsidP="002B2A7B">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Hispanic Community Health Study - Study of Latinos</w:t>
            </w:r>
          </w:p>
        </w:tc>
        <w:tc>
          <w:tcPr>
            <w:tcW w:w="2599" w:type="dxa"/>
          </w:tcPr>
          <w:p w14:paraId="37388696" w14:textId="231AF163" w:rsidR="0015030A" w:rsidRPr="002B2A7B" w:rsidRDefault="003C52BE" w:rsidP="002B2A7B">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Robert.Kaplan@einsteinmed.org</w:t>
            </w:r>
          </w:p>
        </w:tc>
        <w:tc>
          <w:tcPr>
            <w:tcW w:w="5413" w:type="dxa"/>
          </w:tcPr>
          <w:p w14:paraId="38C35240" w14:textId="17E7EB3F" w:rsidR="0015030A" w:rsidRPr="00904267" w:rsidRDefault="0015030A" w:rsidP="002B2A7B">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This research was supported by NIH grants R01HG010297 and U01HG007416. All HCHS/SOL participants provided informed consent, and the study was approved by the Institutional Review Board of local field centers, coordinating center and laboratories.</w:t>
            </w:r>
          </w:p>
          <w:p w14:paraId="388402CE" w14:textId="77777777" w:rsidR="0015030A" w:rsidRPr="00904267" w:rsidRDefault="0015030A" w:rsidP="002B2A7B">
            <w:pPr>
              <w:rPr>
                <w:rFonts w:ascii="Times New Roman" w:hAnsi="Times New Roman" w:cs="Times New Roman"/>
                <w:color w:val="000000"/>
                <w:sz w:val="20"/>
                <w:szCs w:val="20"/>
                <w:shd w:val="clear" w:color="auto" w:fill="FFFFFF"/>
              </w:rPr>
            </w:pPr>
          </w:p>
          <w:p w14:paraId="43E273BE" w14:textId="62E9759F" w:rsidR="0015030A" w:rsidRPr="00904267" w:rsidRDefault="0015030A" w:rsidP="002B2A7B">
            <w:pPr>
              <w:rPr>
                <w:rFonts w:ascii="Times New Roman" w:hAnsi="Times New Roman" w:cs="Times New Roman"/>
                <w:sz w:val="20"/>
                <w:szCs w:val="20"/>
              </w:rPr>
            </w:pPr>
            <w:r w:rsidRPr="00904267">
              <w:rPr>
                <w:rFonts w:ascii="Times New Roman" w:hAnsi="Times New Roman" w:cs="Times New Roman"/>
                <w:sz w:val="20"/>
                <w:szCs w:val="20"/>
              </w:rPr>
              <w:t>The Hispanic Community Health Study/Study of Latinos is a collaborative study supported by contracts from the National Heart, Lung, and Blood Institute (NHLBI) to the University of North Carolina (HHSN268201300001I / N01-HC-65233), University of Miami (HHSN268201300004I / N01-HC-65234), Albert Einstein College of Medicine (HHSN268201300002I / N01-HC-65235), University of Illinois at Chicago – HHSN268201300003I / N01-HC-65236 Northwestern Univ), and San Diego State University (HHSN268201300005I / N01-</w:t>
            </w:r>
            <w:r w:rsidRPr="00904267">
              <w:rPr>
                <w:rFonts w:ascii="Times New Roman" w:hAnsi="Times New Roman" w:cs="Times New Roman"/>
                <w:sz w:val="20"/>
                <w:szCs w:val="20"/>
              </w:rPr>
              <w:lastRenderedPageBreak/>
              <w:t xml:space="preserve">HC-65237). The following Institutes/Centers/Offices have contributed to the HCHS/SOL through a transfer of funds to the NHLBI: National Institute on Minority Health and Health </w:t>
            </w:r>
            <w:proofErr w:type="spellStart"/>
            <w:r w:rsidRPr="00904267">
              <w:rPr>
                <w:rFonts w:ascii="Times New Roman" w:hAnsi="Times New Roman" w:cs="Times New Roman"/>
                <w:sz w:val="20"/>
                <w:szCs w:val="20"/>
              </w:rPr>
              <w:t>Disparities,National</w:t>
            </w:r>
            <w:proofErr w:type="spellEnd"/>
            <w:r w:rsidRPr="00904267">
              <w:rPr>
                <w:rFonts w:ascii="Times New Roman" w:hAnsi="Times New Roman" w:cs="Times New Roman"/>
                <w:sz w:val="20"/>
                <w:szCs w:val="20"/>
              </w:rPr>
              <w:t xml:space="preserve"> Institute on Deafness and Other Communication Disorders, National Institute of Dental and Craniofacial Research, National Institute of Diabetes and Digestive and Kidney Diseases, National Institute of Neurological Disorders and Stroke, NIH Institution-Office of Dietary Supplements.</w:t>
            </w:r>
          </w:p>
        </w:tc>
        <w:tc>
          <w:tcPr>
            <w:tcW w:w="1613" w:type="dxa"/>
          </w:tcPr>
          <w:p w14:paraId="2B7B3A7D" w14:textId="63B50E25" w:rsidR="0015030A" w:rsidRPr="00904267" w:rsidRDefault="003C52BE" w:rsidP="002B2A7B">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lastRenderedPageBreak/>
              <w:t>phs001395</w:t>
            </w:r>
          </w:p>
        </w:tc>
      </w:tr>
      <w:tr w:rsidR="0015030A" w14:paraId="13886343" w14:textId="317F8F6C" w:rsidTr="00E55A27">
        <w:tc>
          <w:tcPr>
            <w:tcW w:w="1525" w:type="dxa"/>
          </w:tcPr>
          <w:p w14:paraId="6232DA6C" w14:textId="77777777" w:rsidR="0015030A" w:rsidRPr="002B2A7B" w:rsidRDefault="0015030A" w:rsidP="00F036C5">
            <w:pPr>
              <w:rPr>
                <w:rFonts w:ascii="Times New Roman" w:hAnsi="Times New Roman" w:cs="Times New Roman"/>
                <w:sz w:val="20"/>
                <w:szCs w:val="20"/>
              </w:rPr>
            </w:pPr>
            <w:r w:rsidRPr="002B2A7B">
              <w:rPr>
                <w:rFonts w:ascii="Times New Roman" w:hAnsi="Times New Roman" w:cs="Times New Roman"/>
                <w:sz w:val="20"/>
                <w:szCs w:val="20"/>
              </w:rPr>
              <w:t>HVH</w:t>
            </w:r>
          </w:p>
        </w:tc>
        <w:tc>
          <w:tcPr>
            <w:tcW w:w="1800" w:type="dxa"/>
          </w:tcPr>
          <w:p w14:paraId="1DA996A4" w14:textId="203876A2" w:rsidR="0015030A" w:rsidRPr="002B2A7B" w:rsidRDefault="003C52BE" w:rsidP="00F036C5">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Heart and Vascular Health Study</w:t>
            </w:r>
          </w:p>
        </w:tc>
        <w:tc>
          <w:tcPr>
            <w:tcW w:w="2599" w:type="dxa"/>
          </w:tcPr>
          <w:p w14:paraId="43662331" w14:textId="450A6645" w:rsidR="0015030A" w:rsidRPr="002B2A7B" w:rsidRDefault="00334638" w:rsidP="00F036C5">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heckbert@uw.edu</w:t>
            </w:r>
          </w:p>
        </w:tc>
        <w:tc>
          <w:tcPr>
            <w:tcW w:w="5413" w:type="dxa"/>
          </w:tcPr>
          <w:p w14:paraId="53F25A8B" w14:textId="0E8FF2E6" w:rsidR="0015030A" w:rsidRPr="00904267" w:rsidRDefault="0015030A" w:rsidP="00F036C5">
            <w:pPr>
              <w:rPr>
                <w:rFonts w:ascii="Times New Roman" w:hAnsi="Times New Roman" w:cs="Times New Roman"/>
                <w:sz w:val="20"/>
                <w:szCs w:val="20"/>
              </w:rPr>
            </w:pPr>
            <w:r w:rsidRPr="00904267">
              <w:rPr>
                <w:rFonts w:ascii="Times New Roman" w:hAnsi="Times New Roman" w:cs="Times New Roman"/>
                <w:color w:val="000000"/>
                <w:sz w:val="20"/>
                <w:szCs w:val="20"/>
                <w:shd w:val="clear" w:color="auto" w:fill="FFFFFF"/>
              </w:rPr>
              <w:t>The Heart and Vascular Health Study was supported by grants HL068986, HL085251, HL095080, and HL073410 from the National Heart, Lung, and Blood Institute.</w:t>
            </w:r>
          </w:p>
        </w:tc>
        <w:tc>
          <w:tcPr>
            <w:tcW w:w="1613" w:type="dxa"/>
          </w:tcPr>
          <w:p w14:paraId="05ADFD0D" w14:textId="356C5F4E" w:rsidR="0015030A" w:rsidRPr="00904267" w:rsidRDefault="003C52BE"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phs000993</w:t>
            </w:r>
          </w:p>
        </w:tc>
      </w:tr>
      <w:tr w:rsidR="0015030A" w14:paraId="138B7226" w14:textId="7ED194E4" w:rsidTr="00E55A27">
        <w:tc>
          <w:tcPr>
            <w:tcW w:w="1525" w:type="dxa"/>
          </w:tcPr>
          <w:p w14:paraId="6BA5D1EE" w14:textId="2CB91F7B" w:rsidR="0015030A" w:rsidRPr="002B2A7B" w:rsidRDefault="0015030A" w:rsidP="00F036C5">
            <w:pPr>
              <w:rPr>
                <w:rFonts w:ascii="Times New Roman" w:hAnsi="Times New Roman" w:cs="Times New Roman"/>
                <w:sz w:val="20"/>
                <w:szCs w:val="20"/>
              </w:rPr>
            </w:pPr>
            <w:r>
              <w:rPr>
                <w:rFonts w:ascii="Times New Roman" w:hAnsi="Times New Roman" w:cs="Times New Roman"/>
                <w:sz w:val="20"/>
                <w:szCs w:val="20"/>
              </w:rPr>
              <w:t>IPF</w:t>
            </w:r>
          </w:p>
        </w:tc>
        <w:tc>
          <w:tcPr>
            <w:tcW w:w="1800" w:type="dxa"/>
          </w:tcPr>
          <w:p w14:paraId="6CC5852E" w14:textId="569E25AD" w:rsidR="0015030A" w:rsidRPr="002B2A7B" w:rsidRDefault="003C52BE" w:rsidP="00F036C5">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Whole Genome Sequencing in Familial and Sporadic Idiopathic Pulmonary Fibrosis</w:t>
            </w:r>
          </w:p>
        </w:tc>
        <w:tc>
          <w:tcPr>
            <w:tcW w:w="2599" w:type="dxa"/>
          </w:tcPr>
          <w:p w14:paraId="6176257D" w14:textId="5E8FE8D0" w:rsidR="0015030A" w:rsidRPr="002B2A7B" w:rsidRDefault="00334638" w:rsidP="00F036C5">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David.Schwartz@ucdenver.edu</w:t>
            </w:r>
          </w:p>
        </w:tc>
        <w:tc>
          <w:tcPr>
            <w:tcW w:w="5413" w:type="dxa"/>
          </w:tcPr>
          <w:p w14:paraId="537390EB" w14:textId="16AFB45B" w:rsidR="0015030A" w:rsidRPr="00904267" w:rsidRDefault="0015030A"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sz w:val="20"/>
                <w:szCs w:val="20"/>
              </w:rPr>
              <w:t>Please contact the study PI.</w:t>
            </w:r>
          </w:p>
        </w:tc>
        <w:tc>
          <w:tcPr>
            <w:tcW w:w="1613" w:type="dxa"/>
          </w:tcPr>
          <w:p w14:paraId="4949DF5F" w14:textId="3F71A9BE" w:rsidR="0015030A" w:rsidRPr="00904267" w:rsidRDefault="003C52BE" w:rsidP="00F036C5">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phs001607</w:t>
            </w:r>
          </w:p>
        </w:tc>
      </w:tr>
      <w:tr w:rsidR="00136DD9" w14:paraId="73766708" w14:textId="77777777" w:rsidTr="00E55A27">
        <w:tc>
          <w:tcPr>
            <w:tcW w:w="1525" w:type="dxa"/>
          </w:tcPr>
          <w:p w14:paraId="5626E18A" w14:textId="543C8300" w:rsidR="00136DD9" w:rsidRDefault="00136DD9" w:rsidP="00136DD9">
            <w:pPr>
              <w:rPr>
                <w:rFonts w:ascii="Times New Roman" w:hAnsi="Times New Roman" w:cs="Times New Roman"/>
                <w:sz w:val="20"/>
                <w:szCs w:val="20"/>
              </w:rPr>
            </w:pPr>
            <w:proofErr w:type="spellStart"/>
            <w:r>
              <w:rPr>
                <w:rFonts w:ascii="Times New Roman" w:hAnsi="Times New Roman" w:cs="Times New Roman"/>
                <w:sz w:val="20"/>
                <w:szCs w:val="20"/>
              </w:rPr>
              <w:t>Mayo_VTE</w:t>
            </w:r>
            <w:proofErr w:type="spellEnd"/>
          </w:p>
        </w:tc>
        <w:tc>
          <w:tcPr>
            <w:tcW w:w="1800" w:type="dxa"/>
          </w:tcPr>
          <w:p w14:paraId="2CA73E14" w14:textId="307A6B5F" w:rsidR="00136DD9" w:rsidRPr="003C52BE" w:rsidRDefault="00136DD9" w:rsidP="00136DD9">
            <w:pPr>
              <w:rPr>
                <w:rFonts w:ascii="Times New Roman" w:hAnsi="Times New Roman" w:cs="Times New Roman"/>
                <w:color w:val="000000"/>
                <w:sz w:val="20"/>
                <w:szCs w:val="20"/>
                <w:shd w:val="clear" w:color="auto" w:fill="FFFFFF"/>
              </w:rPr>
            </w:pPr>
            <w:r w:rsidRPr="00EA617A">
              <w:rPr>
                <w:rFonts w:ascii="Times New Roman" w:hAnsi="Times New Roman" w:cs="Times New Roman"/>
                <w:color w:val="000000"/>
                <w:sz w:val="20"/>
                <w:szCs w:val="20"/>
              </w:rPr>
              <w:t>Mayo Clinic Venous Thromboembolism Study</w:t>
            </w:r>
          </w:p>
        </w:tc>
        <w:tc>
          <w:tcPr>
            <w:tcW w:w="2599" w:type="dxa"/>
          </w:tcPr>
          <w:p w14:paraId="27056207" w14:textId="6375E337" w:rsidR="00136DD9" w:rsidRPr="00334638" w:rsidRDefault="00136DD9" w:rsidP="00136DD9">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rPr>
              <w:t>mandrade@mayo.edu</w:t>
            </w:r>
          </w:p>
        </w:tc>
        <w:tc>
          <w:tcPr>
            <w:tcW w:w="5413" w:type="dxa"/>
          </w:tcPr>
          <w:p w14:paraId="148E7B71" w14:textId="3C9AAEAA"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sz w:val="20"/>
                <w:szCs w:val="20"/>
              </w:rPr>
              <w:t>Please contact the study PI.</w:t>
            </w:r>
          </w:p>
        </w:tc>
        <w:tc>
          <w:tcPr>
            <w:tcW w:w="1613" w:type="dxa"/>
          </w:tcPr>
          <w:p w14:paraId="392249CF" w14:textId="152B8900" w:rsidR="00136DD9" w:rsidRPr="00904267"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rPr>
              <w:t>phs001402</w:t>
            </w:r>
          </w:p>
        </w:tc>
      </w:tr>
      <w:tr w:rsidR="00136DD9" w14:paraId="2A8155B2" w14:textId="320B12C2" w:rsidTr="00E55A27">
        <w:tc>
          <w:tcPr>
            <w:tcW w:w="1525" w:type="dxa"/>
          </w:tcPr>
          <w:p w14:paraId="04CB096E" w14:textId="268AD3A1" w:rsidR="00136DD9" w:rsidRDefault="00136DD9" w:rsidP="00136DD9">
            <w:pPr>
              <w:rPr>
                <w:rFonts w:ascii="Times New Roman" w:hAnsi="Times New Roman" w:cs="Times New Roman"/>
                <w:sz w:val="20"/>
                <w:szCs w:val="20"/>
              </w:rPr>
            </w:pPr>
            <w:r>
              <w:rPr>
                <w:rFonts w:ascii="Times New Roman" w:hAnsi="Times New Roman" w:cs="Times New Roman"/>
                <w:sz w:val="20"/>
                <w:szCs w:val="20"/>
              </w:rPr>
              <w:t>MESA</w:t>
            </w:r>
          </w:p>
        </w:tc>
        <w:tc>
          <w:tcPr>
            <w:tcW w:w="1800" w:type="dxa"/>
          </w:tcPr>
          <w:p w14:paraId="588E3A84" w14:textId="176F87A2" w:rsidR="00136DD9" w:rsidRPr="002B2A7B" w:rsidRDefault="00136DD9" w:rsidP="00136DD9">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Multi-Ethnic Study of Atherosclerosis</w:t>
            </w:r>
          </w:p>
        </w:tc>
        <w:tc>
          <w:tcPr>
            <w:tcW w:w="2599" w:type="dxa"/>
          </w:tcPr>
          <w:p w14:paraId="53F200A5" w14:textId="77777777" w:rsidR="00136DD9" w:rsidRPr="00334638" w:rsidRDefault="00136DD9" w:rsidP="00136DD9">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jrotter@lundquist.org</w:t>
            </w:r>
          </w:p>
          <w:p w14:paraId="02E0B2F9" w14:textId="70EE0E70" w:rsidR="00136DD9" w:rsidRPr="002B2A7B" w:rsidRDefault="00136DD9" w:rsidP="00136DD9">
            <w:pPr>
              <w:rPr>
                <w:rFonts w:ascii="Times New Roman" w:hAnsi="Times New Roman" w:cs="Times New Roman"/>
                <w:color w:val="000000"/>
                <w:sz w:val="20"/>
                <w:szCs w:val="20"/>
                <w:shd w:val="clear" w:color="auto" w:fill="FFFFFF"/>
              </w:rPr>
            </w:pPr>
          </w:p>
        </w:tc>
        <w:tc>
          <w:tcPr>
            <w:tcW w:w="5413" w:type="dxa"/>
          </w:tcPr>
          <w:p w14:paraId="03C75D18" w14:textId="77777777" w:rsidR="00EC6F5C" w:rsidRPr="00904267" w:rsidRDefault="00EC6F5C" w:rsidP="00EC6F5C">
            <w:pPr>
              <w:shd w:val="clear" w:color="auto" w:fill="FFFFFF"/>
              <w:rPr>
                <w:rFonts w:ascii="Times New Roman" w:eastAsia="Times New Roman" w:hAnsi="Times New Roman" w:cs="Times New Roman"/>
                <w:color w:val="222222"/>
                <w:sz w:val="20"/>
                <w:szCs w:val="20"/>
              </w:rPr>
            </w:pPr>
            <w:r w:rsidRPr="00904267">
              <w:rPr>
                <w:rFonts w:ascii="Times New Roman" w:eastAsia="Times New Roman" w:hAnsi="Times New Roman" w:cs="Times New Roman"/>
                <w:color w:val="222222"/>
                <w:sz w:val="20"/>
                <w:szCs w:val="20"/>
              </w:rPr>
              <w:t>Whole genome sequencing (WGS) for the Trans-Omics in Precision Medicine (</w:t>
            </w:r>
            <w:proofErr w:type="spellStart"/>
            <w:r w:rsidRPr="00904267">
              <w:rPr>
                <w:rFonts w:ascii="Times New Roman" w:eastAsia="Times New Roman" w:hAnsi="Times New Roman" w:cs="Times New Roman"/>
                <w:color w:val="222222"/>
                <w:sz w:val="20"/>
                <w:szCs w:val="20"/>
              </w:rPr>
              <w:t>TOPMed</w:t>
            </w:r>
            <w:proofErr w:type="spellEnd"/>
            <w:r w:rsidRPr="00904267">
              <w:rPr>
                <w:rFonts w:ascii="Times New Roman" w:eastAsia="Times New Roman" w:hAnsi="Times New Roman" w:cs="Times New Roman"/>
                <w:color w:val="222222"/>
                <w:sz w:val="20"/>
                <w:szCs w:val="20"/>
              </w:rPr>
              <w:t xml:space="preserve">) program was supported by the National Heart, Lung and Blood Institute (NHLBI). WGS for “NHLBI </w:t>
            </w:r>
            <w:proofErr w:type="spellStart"/>
            <w:r w:rsidRPr="00904267">
              <w:rPr>
                <w:rFonts w:ascii="Times New Roman" w:eastAsia="Times New Roman" w:hAnsi="Times New Roman" w:cs="Times New Roman"/>
                <w:color w:val="222222"/>
                <w:sz w:val="20"/>
                <w:szCs w:val="20"/>
              </w:rPr>
              <w:t>TOPMed</w:t>
            </w:r>
            <w:proofErr w:type="spellEnd"/>
            <w:r w:rsidRPr="00904267">
              <w:rPr>
                <w:rFonts w:ascii="Times New Roman" w:eastAsia="Times New Roman" w:hAnsi="Times New Roman" w:cs="Times New Roman"/>
                <w:color w:val="222222"/>
                <w:sz w:val="20"/>
                <w:szCs w:val="20"/>
              </w:rPr>
              <w:t xml:space="preserve">: Multi-Ethnic Study of Atherosclerosis (MESA)” (phs001416.v1.p1) was performed at the Broad Institute of MIT and Harvard (3U54HG003067-13S1). Centralized read mapping and genotype calling, along with variant quality metrics and filtering were provided by the </w:t>
            </w:r>
            <w:proofErr w:type="spellStart"/>
            <w:r w:rsidRPr="00904267">
              <w:rPr>
                <w:rFonts w:ascii="Times New Roman" w:eastAsia="Times New Roman" w:hAnsi="Times New Roman" w:cs="Times New Roman"/>
                <w:color w:val="222222"/>
                <w:sz w:val="20"/>
                <w:szCs w:val="20"/>
              </w:rPr>
              <w:t>TOPMed</w:t>
            </w:r>
            <w:proofErr w:type="spellEnd"/>
            <w:r w:rsidRPr="00904267">
              <w:rPr>
                <w:rFonts w:ascii="Times New Roman" w:eastAsia="Times New Roman" w:hAnsi="Times New Roman" w:cs="Times New Roman"/>
                <w:color w:val="222222"/>
                <w:sz w:val="20"/>
                <w:szCs w:val="20"/>
              </w:rPr>
              <w:t xml:space="preserve"> Informatics Research Center (3R01HL-117626-02S1, contract HHSN268201800002I). Phenotype harmonization, data management, sample-identity QC, and general study coordination, were provided by the </w:t>
            </w:r>
            <w:proofErr w:type="spellStart"/>
            <w:r w:rsidRPr="00904267">
              <w:rPr>
                <w:rFonts w:ascii="Times New Roman" w:eastAsia="Times New Roman" w:hAnsi="Times New Roman" w:cs="Times New Roman"/>
                <w:color w:val="222222"/>
                <w:sz w:val="20"/>
                <w:szCs w:val="20"/>
              </w:rPr>
              <w:t>TOPMed</w:t>
            </w:r>
            <w:proofErr w:type="spellEnd"/>
            <w:r w:rsidRPr="00904267">
              <w:rPr>
                <w:rFonts w:ascii="Times New Roman" w:eastAsia="Times New Roman" w:hAnsi="Times New Roman" w:cs="Times New Roman"/>
                <w:color w:val="222222"/>
                <w:sz w:val="20"/>
                <w:szCs w:val="20"/>
              </w:rPr>
              <w:t xml:space="preserve"> Data Coordinating Center (3R01HL-120393; U01HL-120393; contract HHSN268180001I). The MESA projects are conducted and supported by the National Heart, Lung, and Blood Institute (NHLBI) in collaboration with MESA investigators. Support for MESA is provided by contracts 75N92020D00001, HHSN268201500003I, N01-HC-95159, 75N92020D00005, N01-HC-95160, 75N92020D00002, N01-HC-95161, </w:t>
            </w:r>
            <w:r w:rsidRPr="00904267">
              <w:rPr>
                <w:rFonts w:ascii="Times New Roman" w:eastAsia="Times New Roman" w:hAnsi="Times New Roman" w:cs="Times New Roman"/>
                <w:color w:val="222222"/>
                <w:sz w:val="20"/>
                <w:szCs w:val="20"/>
              </w:rPr>
              <w:lastRenderedPageBreak/>
              <w:t>75N92020D00003, N01-HC-95162, 75N92020D00006, N01-HC-95163, 75N92020D00004, N01-HC-95164, 75N92020D00007, N01-HC-95165, N01-HC-95166, N01-HC-95167, N01-HC-95168, N01-HC-95169, UL1-TR-000040, UL1-TR-001079, and UL1-TR-001420.  Also supported in part by the National Center for Advancing Translational Sciences, CTSI grant UL1TR001881, and the National Institute of Diabetes and Digestive and Kidney Disease Diabetes Research Center (DRC) grant DK063491 to the Southern California Diabetes Endocrinology Research Center.</w:t>
            </w:r>
          </w:p>
          <w:p w14:paraId="124B20A9" w14:textId="77777777" w:rsidR="00EC6F5C" w:rsidRPr="00904267" w:rsidRDefault="00EC6F5C" w:rsidP="00EC6F5C">
            <w:pPr>
              <w:shd w:val="clear" w:color="auto" w:fill="FFFFFF"/>
              <w:rPr>
                <w:rFonts w:ascii="Times New Roman" w:eastAsia="Times New Roman" w:hAnsi="Times New Roman" w:cs="Times New Roman"/>
                <w:color w:val="222222"/>
                <w:sz w:val="20"/>
                <w:szCs w:val="20"/>
              </w:rPr>
            </w:pPr>
            <w:r w:rsidRPr="00904267">
              <w:rPr>
                <w:rFonts w:ascii="Times New Roman" w:eastAsia="Times New Roman" w:hAnsi="Times New Roman" w:cs="Times New Roman"/>
                <w:color w:val="222222"/>
                <w:sz w:val="20"/>
                <w:szCs w:val="20"/>
              </w:rPr>
              <w:t> </w:t>
            </w:r>
          </w:p>
          <w:p w14:paraId="7C357974" w14:textId="55FA70D4" w:rsidR="00136DD9" w:rsidRPr="00904267" w:rsidRDefault="00136DD9" w:rsidP="00136DD9">
            <w:pPr>
              <w:rPr>
                <w:rFonts w:ascii="Times New Roman" w:hAnsi="Times New Roman" w:cs="Times New Roman"/>
                <w:color w:val="000000"/>
                <w:sz w:val="20"/>
                <w:szCs w:val="20"/>
                <w:shd w:val="clear" w:color="auto" w:fill="FFFFFF"/>
              </w:rPr>
            </w:pPr>
          </w:p>
        </w:tc>
        <w:tc>
          <w:tcPr>
            <w:tcW w:w="1613" w:type="dxa"/>
          </w:tcPr>
          <w:p w14:paraId="6DDB6EBF" w14:textId="48AFA30E" w:rsidR="00136DD9" w:rsidRPr="00904267"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lastRenderedPageBreak/>
              <w:t>phs001416</w:t>
            </w:r>
          </w:p>
        </w:tc>
      </w:tr>
      <w:tr w:rsidR="00136DD9" w14:paraId="1209F1B2" w14:textId="1634802A" w:rsidTr="00E55A27">
        <w:tc>
          <w:tcPr>
            <w:tcW w:w="1525" w:type="dxa"/>
          </w:tcPr>
          <w:p w14:paraId="78E6FF59" w14:textId="77777777" w:rsidR="00136DD9" w:rsidRPr="002B2A7B" w:rsidRDefault="00136DD9" w:rsidP="00136DD9">
            <w:pPr>
              <w:rPr>
                <w:rFonts w:ascii="Times New Roman" w:hAnsi="Times New Roman" w:cs="Times New Roman"/>
                <w:sz w:val="20"/>
                <w:szCs w:val="20"/>
              </w:rPr>
            </w:pPr>
            <w:r w:rsidRPr="002B2A7B">
              <w:rPr>
                <w:rFonts w:ascii="Times New Roman" w:hAnsi="Times New Roman" w:cs="Times New Roman"/>
                <w:sz w:val="20"/>
                <w:szCs w:val="20"/>
              </w:rPr>
              <w:t>MPP</w:t>
            </w:r>
          </w:p>
        </w:tc>
        <w:tc>
          <w:tcPr>
            <w:tcW w:w="1800" w:type="dxa"/>
          </w:tcPr>
          <w:p w14:paraId="1CDC3F3F" w14:textId="1F705904" w:rsidR="00136DD9" w:rsidRPr="002B2A7B" w:rsidRDefault="00136DD9" w:rsidP="00136DD9">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Malmo Preventative Project</w:t>
            </w:r>
          </w:p>
        </w:tc>
        <w:tc>
          <w:tcPr>
            <w:tcW w:w="2599" w:type="dxa"/>
          </w:tcPr>
          <w:p w14:paraId="5D5B7338" w14:textId="03645635" w:rsidR="00136DD9" w:rsidRPr="003C52BE" w:rsidRDefault="00136DD9" w:rsidP="00136DD9">
            <w:pPr>
              <w:rPr>
                <w:rFonts w:ascii="Times New Roman" w:hAnsi="Times New Roman" w:cs="Times New Roman"/>
                <w:sz w:val="20"/>
                <w:szCs w:val="20"/>
              </w:rPr>
            </w:pPr>
            <w:r w:rsidRPr="003C52BE">
              <w:rPr>
                <w:rFonts w:ascii="Times New Roman" w:hAnsi="Times New Roman" w:cs="Times New Roman"/>
                <w:sz w:val="20"/>
                <w:szCs w:val="20"/>
              </w:rPr>
              <w:t>gustav@broadinstitute.org</w:t>
            </w:r>
          </w:p>
        </w:tc>
        <w:tc>
          <w:tcPr>
            <w:tcW w:w="5413" w:type="dxa"/>
          </w:tcPr>
          <w:p w14:paraId="50DEE527" w14:textId="013EB2BB"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color w:val="000000"/>
                <w:sz w:val="20"/>
                <w:szCs w:val="20"/>
                <w:shd w:val="clear" w:color="auto" w:fill="FFFFFF"/>
              </w:rPr>
              <w:t xml:space="preserve">J. Gustav Smith was supported by grants from the Swedish Heart-Lung Foundation (2016-0134, 2016-0315 and 2019-0526), the Swedish Research Council (2017-02554), the European Research Council (ERC-STG-2015-679242), the </w:t>
            </w:r>
            <w:proofErr w:type="spellStart"/>
            <w:r w:rsidRPr="00904267">
              <w:rPr>
                <w:rFonts w:ascii="Times New Roman" w:hAnsi="Times New Roman" w:cs="Times New Roman"/>
                <w:color w:val="000000"/>
                <w:sz w:val="20"/>
                <w:szCs w:val="20"/>
                <w:shd w:val="clear" w:color="auto" w:fill="FFFFFF"/>
              </w:rPr>
              <w:t>Crafoord</w:t>
            </w:r>
            <w:proofErr w:type="spellEnd"/>
            <w:r w:rsidRPr="00904267">
              <w:rPr>
                <w:rFonts w:ascii="Times New Roman" w:hAnsi="Times New Roman" w:cs="Times New Roman"/>
                <w:color w:val="000000"/>
                <w:sz w:val="20"/>
                <w:szCs w:val="20"/>
                <w:shd w:val="clear" w:color="auto" w:fill="FFFFFF"/>
              </w:rPr>
              <w:t xml:space="preserve"> Foundation, </w:t>
            </w:r>
            <w:proofErr w:type="spellStart"/>
            <w:r w:rsidRPr="00904267">
              <w:rPr>
                <w:rFonts w:ascii="Times New Roman" w:hAnsi="Times New Roman" w:cs="Times New Roman"/>
                <w:color w:val="000000"/>
                <w:sz w:val="20"/>
                <w:szCs w:val="20"/>
                <w:shd w:val="clear" w:color="auto" w:fill="FFFFFF"/>
              </w:rPr>
              <w:t>Skåne</w:t>
            </w:r>
            <w:proofErr w:type="spellEnd"/>
            <w:r w:rsidRPr="00904267">
              <w:rPr>
                <w:rFonts w:ascii="Times New Roman" w:hAnsi="Times New Roman" w:cs="Times New Roman"/>
                <w:color w:val="000000"/>
                <w:sz w:val="20"/>
                <w:szCs w:val="20"/>
                <w:shd w:val="clear" w:color="auto" w:fill="FFFFFF"/>
              </w:rPr>
              <w:t xml:space="preserve"> University Hospital, the Scania county, governmental funding of clinical research within the Swedish National Health Service, a generous donation from the Knut and Alice Wallenberg foundation to the Wallenberg Center for Molecular Medicine in Lund, and funding from the Swedish Research Council (Linnaeus grant </w:t>
            </w:r>
            <w:proofErr w:type="spellStart"/>
            <w:r w:rsidRPr="00904267">
              <w:rPr>
                <w:rFonts w:ascii="Times New Roman" w:hAnsi="Times New Roman" w:cs="Times New Roman"/>
                <w:color w:val="000000"/>
                <w:sz w:val="20"/>
                <w:szCs w:val="20"/>
                <w:shd w:val="clear" w:color="auto" w:fill="FFFFFF"/>
              </w:rPr>
              <w:t>Dnr</w:t>
            </w:r>
            <w:proofErr w:type="spellEnd"/>
            <w:r w:rsidRPr="00904267">
              <w:rPr>
                <w:rFonts w:ascii="Times New Roman" w:hAnsi="Times New Roman" w:cs="Times New Roman"/>
                <w:color w:val="000000"/>
                <w:sz w:val="20"/>
                <w:szCs w:val="20"/>
                <w:shd w:val="clear" w:color="auto" w:fill="FFFFFF"/>
              </w:rPr>
              <w:t xml:space="preserve"> 349-2006-237, Strategic Research Area </w:t>
            </w:r>
            <w:proofErr w:type="spellStart"/>
            <w:r w:rsidRPr="00904267">
              <w:rPr>
                <w:rFonts w:ascii="Times New Roman" w:hAnsi="Times New Roman" w:cs="Times New Roman"/>
                <w:color w:val="000000"/>
                <w:sz w:val="20"/>
                <w:szCs w:val="20"/>
                <w:shd w:val="clear" w:color="auto" w:fill="FFFFFF"/>
              </w:rPr>
              <w:t>Exodiab</w:t>
            </w:r>
            <w:proofErr w:type="spellEnd"/>
            <w:r w:rsidRPr="00904267">
              <w:rPr>
                <w:rFonts w:ascii="Times New Roman" w:hAnsi="Times New Roman" w:cs="Times New Roman"/>
                <w:color w:val="000000"/>
                <w:sz w:val="20"/>
                <w:szCs w:val="20"/>
                <w:shd w:val="clear" w:color="auto" w:fill="FFFFFF"/>
              </w:rPr>
              <w:t xml:space="preserve"> </w:t>
            </w:r>
            <w:proofErr w:type="spellStart"/>
            <w:r w:rsidRPr="00904267">
              <w:rPr>
                <w:rFonts w:ascii="Times New Roman" w:hAnsi="Times New Roman" w:cs="Times New Roman"/>
                <w:color w:val="000000"/>
                <w:sz w:val="20"/>
                <w:szCs w:val="20"/>
                <w:shd w:val="clear" w:color="auto" w:fill="FFFFFF"/>
              </w:rPr>
              <w:t>Dnr</w:t>
            </w:r>
            <w:proofErr w:type="spellEnd"/>
            <w:r w:rsidRPr="00904267">
              <w:rPr>
                <w:rFonts w:ascii="Times New Roman" w:hAnsi="Times New Roman" w:cs="Times New Roman"/>
                <w:color w:val="000000"/>
                <w:sz w:val="20"/>
                <w:szCs w:val="20"/>
                <w:shd w:val="clear" w:color="auto" w:fill="FFFFFF"/>
              </w:rPr>
              <w:t xml:space="preserve"> 2009-1039) and Swedish Foundation for Strategic Research (</w:t>
            </w:r>
            <w:proofErr w:type="spellStart"/>
            <w:r w:rsidRPr="00904267">
              <w:rPr>
                <w:rFonts w:ascii="Times New Roman" w:hAnsi="Times New Roman" w:cs="Times New Roman"/>
                <w:color w:val="000000"/>
                <w:sz w:val="20"/>
                <w:szCs w:val="20"/>
                <w:shd w:val="clear" w:color="auto" w:fill="FFFFFF"/>
              </w:rPr>
              <w:t>Dnr</w:t>
            </w:r>
            <w:proofErr w:type="spellEnd"/>
            <w:r w:rsidRPr="00904267">
              <w:rPr>
                <w:rFonts w:ascii="Times New Roman" w:hAnsi="Times New Roman" w:cs="Times New Roman"/>
                <w:color w:val="000000"/>
                <w:sz w:val="20"/>
                <w:szCs w:val="20"/>
                <w:shd w:val="clear" w:color="auto" w:fill="FFFFFF"/>
              </w:rPr>
              <w:t xml:space="preserve"> IRC15-0067) to the Lund University Diabetes Center.</w:t>
            </w:r>
          </w:p>
        </w:tc>
        <w:tc>
          <w:tcPr>
            <w:tcW w:w="1613" w:type="dxa"/>
          </w:tcPr>
          <w:p w14:paraId="77257896" w14:textId="285333D0" w:rsidR="00136DD9" w:rsidRPr="00904267"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phs001544</w:t>
            </w:r>
          </w:p>
        </w:tc>
      </w:tr>
      <w:tr w:rsidR="00136DD9" w14:paraId="352FA4BB" w14:textId="73900E92" w:rsidTr="00E55A27">
        <w:tc>
          <w:tcPr>
            <w:tcW w:w="1525" w:type="dxa"/>
          </w:tcPr>
          <w:p w14:paraId="0453A697" w14:textId="765E5C41" w:rsidR="00136DD9" w:rsidRPr="002B2A7B" w:rsidRDefault="00136DD9" w:rsidP="00136DD9">
            <w:pPr>
              <w:rPr>
                <w:rFonts w:ascii="Times New Roman" w:hAnsi="Times New Roman" w:cs="Times New Roman"/>
                <w:sz w:val="20"/>
                <w:szCs w:val="20"/>
              </w:rPr>
            </w:pPr>
            <w:r>
              <w:rPr>
                <w:rFonts w:ascii="Times New Roman" w:hAnsi="Times New Roman" w:cs="Times New Roman"/>
                <w:sz w:val="20"/>
                <w:szCs w:val="20"/>
              </w:rPr>
              <w:t>PMBB_AF</w:t>
            </w:r>
          </w:p>
        </w:tc>
        <w:tc>
          <w:tcPr>
            <w:tcW w:w="1800" w:type="dxa"/>
          </w:tcPr>
          <w:p w14:paraId="03E7DEAE" w14:textId="5A9EC54E" w:rsidR="00136DD9" w:rsidRPr="00933C3D" w:rsidRDefault="00136DD9" w:rsidP="00136DD9">
            <w:pPr>
              <w:rPr>
                <w:rFonts w:ascii="Times New Roman" w:hAnsi="Times New Roman" w:cs="Times New Roman"/>
                <w:color w:val="000000"/>
                <w:sz w:val="20"/>
                <w:szCs w:val="20"/>
                <w:shd w:val="clear" w:color="auto" w:fill="FFFFFF"/>
              </w:rPr>
            </w:pPr>
            <w:r w:rsidRPr="003C52BE">
              <w:rPr>
                <w:rFonts w:ascii="Times New Roman" w:hAnsi="Times New Roman" w:cs="Times New Roman"/>
                <w:color w:val="000000"/>
                <w:sz w:val="20"/>
                <w:szCs w:val="20"/>
                <w:shd w:val="clear" w:color="auto" w:fill="FFFFFF"/>
              </w:rPr>
              <w:t xml:space="preserve">Early-onset Atrial Fibrillation in the Penn Medicine </w:t>
            </w:r>
            <w:proofErr w:type="spellStart"/>
            <w:r w:rsidRPr="003C52BE">
              <w:rPr>
                <w:rFonts w:ascii="Times New Roman" w:hAnsi="Times New Roman" w:cs="Times New Roman"/>
                <w:color w:val="000000"/>
                <w:sz w:val="20"/>
                <w:szCs w:val="20"/>
                <w:shd w:val="clear" w:color="auto" w:fill="FFFFFF"/>
              </w:rPr>
              <w:t>BioBank</w:t>
            </w:r>
            <w:proofErr w:type="spellEnd"/>
            <w:r w:rsidRPr="003C52BE">
              <w:rPr>
                <w:rFonts w:ascii="Times New Roman" w:hAnsi="Times New Roman" w:cs="Times New Roman"/>
                <w:color w:val="000000"/>
                <w:sz w:val="20"/>
                <w:szCs w:val="20"/>
                <w:shd w:val="clear" w:color="auto" w:fill="FFFFFF"/>
              </w:rPr>
              <w:t xml:space="preserve"> Cohort</w:t>
            </w:r>
          </w:p>
        </w:tc>
        <w:tc>
          <w:tcPr>
            <w:tcW w:w="2599" w:type="dxa"/>
          </w:tcPr>
          <w:p w14:paraId="300E6C14" w14:textId="77777777" w:rsidR="00136DD9" w:rsidRPr="00334638" w:rsidRDefault="00136DD9" w:rsidP="00136DD9">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rader@mail.med.upenn.edu</w:t>
            </w:r>
          </w:p>
          <w:p w14:paraId="3ACCA513" w14:textId="34551867" w:rsidR="00136DD9" w:rsidRPr="00933C3D" w:rsidRDefault="00136DD9" w:rsidP="00136DD9">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Scott.Damrauer@uphs.upenn.edu</w:t>
            </w:r>
          </w:p>
        </w:tc>
        <w:tc>
          <w:tcPr>
            <w:tcW w:w="5413" w:type="dxa"/>
          </w:tcPr>
          <w:p w14:paraId="3B864558" w14:textId="18602087" w:rsidR="00136DD9" w:rsidRPr="00904267"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 xml:space="preserve">The Penn Medicine </w:t>
            </w:r>
            <w:proofErr w:type="spellStart"/>
            <w:r w:rsidRPr="00904267">
              <w:rPr>
                <w:rFonts w:ascii="Times New Roman" w:hAnsi="Times New Roman" w:cs="Times New Roman"/>
                <w:color w:val="000000"/>
                <w:sz w:val="20"/>
                <w:szCs w:val="20"/>
                <w:shd w:val="clear" w:color="auto" w:fill="FFFFFF"/>
              </w:rPr>
              <w:t>BioBank</w:t>
            </w:r>
            <w:proofErr w:type="spellEnd"/>
            <w:r w:rsidRPr="00904267">
              <w:rPr>
                <w:rFonts w:ascii="Times New Roman" w:hAnsi="Times New Roman" w:cs="Times New Roman"/>
                <w:color w:val="000000"/>
                <w:sz w:val="20"/>
                <w:szCs w:val="20"/>
                <w:shd w:val="clear" w:color="auto" w:fill="FFFFFF"/>
              </w:rPr>
              <w:t xml:space="preserve"> is funded by a gift from the Smilow family, the National Center for Advancing Translational Sciences of the National Institutes of Health under CTSA Award Number UL1TR001878, and the Perelman School of Medicine at the University of Pennsylvania. </w:t>
            </w:r>
          </w:p>
          <w:p w14:paraId="27DC0650" w14:textId="77777777" w:rsidR="00136DD9" w:rsidRPr="00904267" w:rsidRDefault="00136DD9" w:rsidP="00136DD9">
            <w:pPr>
              <w:rPr>
                <w:rFonts w:ascii="Times New Roman" w:hAnsi="Times New Roman" w:cs="Times New Roman"/>
                <w:color w:val="000000"/>
                <w:sz w:val="20"/>
                <w:szCs w:val="20"/>
                <w:shd w:val="clear" w:color="auto" w:fill="FFFFFF"/>
              </w:rPr>
            </w:pPr>
          </w:p>
          <w:p w14:paraId="3C7009C3" w14:textId="77777777" w:rsidR="00136DD9"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SMD is supported by IK2-CX001780. This publication does not represent the views of the Department of Veterans Affairs or the United States Government.</w:t>
            </w:r>
          </w:p>
          <w:p w14:paraId="19CB9EFB" w14:textId="77777777" w:rsidR="00E7028B" w:rsidRDefault="00E7028B" w:rsidP="00136DD9">
            <w:pPr>
              <w:rPr>
                <w:rFonts w:ascii="Times New Roman" w:hAnsi="Times New Roman" w:cs="Times New Roman"/>
                <w:color w:val="000000"/>
                <w:sz w:val="20"/>
                <w:szCs w:val="20"/>
                <w:shd w:val="clear" w:color="auto" w:fill="FFFFFF"/>
              </w:rPr>
            </w:pPr>
          </w:p>
          <w:p w14:paraId="182A98AB" w14:textId="1E5DEBDD" w:rsidR="00E7028B" w:rsidRPr="00904267" w:rsidRDefault="00E7028B" w:rsidP="00136DD9">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Dr. </w:t>
            </w:r>
            <w:proofErr w:type="spellStart"/>
            <w:r>
              <w:rPr>
                <w:rFonts w:ascii="Times New Roman" w:hAnsi="Times New Roman" w:cs="Times New Roman"/>
                <w:color w:val="000000"/>
                <w:sz w:val="20"/>
                <w:szCs w:val="20"/>
                <w:shd w:val="clear" w:color="auto" w:fill="FFFFFF"/>
              </w:rPr>
              <w:t>Damrauer</w:t>
            </w:r>
            <w:proofErr w:type="spellEnd"/>
            <w:r>
              <w:rPr>
                <w:rFonts w:ascii="Times New Roman" w:hAnsi="Times New Roman" w:cs="Times New Roman"/>
                <w:color w:val="000000"/>
                <w:sz w:val="20"/>
                <w:szCs w:val="20"/>
                <w:shd w:val="clear" w:color="auto" w:fill="FFFFFF"/>
              </w:rPr>
              <w:t xml:space="preserve"> had r</w:t>
            </w:r>
            <w:r w:rsidRPr="00E7028B">
              <w:rPr>
                <w:rFonts w:ascii="Times New Roman" w:hAnsi="Times New Roman" w:cs="Times New Roman"/>
                <w:color w:val="000000"/>
                <w:sz w:val="20"/>
                <w:szCs w:val="20"/>
                <w:shd w:val="clear" w:color="auto" w:fill="FFFFFF"/>
              </w:rPr>
              <w:t xml:space="preserve">esearch support to University of Pennsylvania from </w:t>
            </w:r>
            <w:proofErr w:type="spellStart"/>
            <w:r w:rsidRPr="00E7028B">
              <w:rPr>
                <w:rFonts w:ascii="Times New Roman" w:hAnsi="Times New Roman" w:cs="Times New Roman"/>
                <w:color w:val="000000"/>
                <w:sz w:val="20"/>
                <w:szCs w:val="20"/>
                <w:shd w:val="clear" w:color="auto" w:fill="FFFFFF"/>
              </w:rPr>
              <w:t>RenalytixAI</w:t>
            </w:r>
            <w:proofErr w:type="spellEnd"/>
            <w:r w:rsidRPr="00E7028B">
              <w:rPr>
                <w:rFonts w:ascii="Times New Roman" w:hAnsi="Times New Roman" w:cs="Times New Roman"/>
                <w:color w:val="000000"/>
                <w:sz w:val="20"/>
                <w:szCs w:val="20"/>
                <w:shd w:val="clear" w:color="auto" w:fill="FFFFFF"/>
              </w:rPr>
              <w:t xml:space="preserve"> and personal fees from Calico Labs, both outside the current work.</w:t>
            </w:r>
          </w:p>
        </w:tc>
        <w:tc>
          <w:tcPr>
            <w:tcW w:w="1613" w:type="dxa"/>
          </w:tcPr>
          <w:p w14:paraId="788BEF72" w14:textId="1AC00D16"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sz w:val="20"/>
                <w:szCs w:val="20"/>
              </w:rPr>
              <w:t>phs001601</w:t>
            </w:r>
          </w:p>
        </w:tc>
      </w:tr>
      <w:tr w:rsidR="00136DD9" w14:paraId="4FAFDA25" w14:textId="2B6DE4B9" w:rsidTr="00E55A27">
        <w:tc>
          <w:tcPr>
            <w:tcW w:w="1525" w:type="dxa"/>
          </w:tcPr>
          <w:p w14:paraId="479D694B" w14:textId="3B063ED5" w:rsidR="00136DD9" w:rsidRPr="002B2A7B" w:rsidRDefault="00136DD9" w:rsidP="00136DD9">
            <w:pPr>
              <w:rPr>
                <w:rFonts w:ascii="Times New Roman" w:hAnsi="Times New Roman" w:cs="Times New Roman"/>
                <w:sz w:val="20"/>
                <w:szCs w:val="20"/>
              </w:rPr>
            </w:pPr>
            <w:r w:rsidRPr="002B2A7B">
              <w:rPr>
                <w:rFonts w:ascii="Times New Roman" w:hAnsi="Times New Roman" w:cs="Times New Roman"/>
                <w:sz w:val="20"/>
                <w:szCs w:val="20"/>
              </w:rPr>
              <w:t>SAF</w:t>
            </w:r>
            <w:r>
              <w:rPr>
                <w:rFonts w:ascii="Times New Roman" w:hAnsi="Times New Roman" w:cs="Times New Roman"/>
                <w:sz w:val="20"/>
                <w:szCs w:val="20"/>
              </w:rPr>
              <w:t>S</w:t>
            </w:r>
          </w:p>
        </w:tc>
        <w:tc>
          <w:tcPr>
            <w:tcW w:w="1800" w:type="dxa"/>
          </w:tcPr>
          <w:p w14:paraId="1B5AF033" w14:textId="46459B59" w:rsidR="00136DD9" w:rsidRPr="002B2A7B" w:rsidRDefault="00136DD9" w:rsidP="00136DD9">
            <w:pPr>
              <w:rPr>
                <w:rFonts w:ascii="Times New Roman" w:hAnsi="Times New Roman" w:cs="Times New Roman"/>
                <w:color w:val="000000"/>
                <w:sz w:val="20"/>
                <w:szCs w:val="20"/>
              </w:rPr>
            </w:pPr>
            <w:r w:rsidRPr="005A53F0">
              <w:rPr>
                <w:rFonts w:ascii="Times New Roman" w:hAnsi="Times New Roman" w:cs="Times New Roman"/>
                <w:color w:val="000000"/>
                <w:sz w:val="20"/>
                <w:szCs w:val="20"/>
              </w:rPr>
              <w:t xml:space="preserve">Whole Genome Sequencing to </w:t>
            </w:r>
            <w:r w:rsidRPr="005A53F0">
              <w:rPr>
                <w:rFonts w:ascii="Times New Roman" w:hAnsi="Times New Roman" w:cs="Times New Roman"/>
                <w:color w:val="000000"/>
                <w:sz w:val="20"/>
                <w:szCs w:val="20"/>
              </w:rPr>
              <w:lastRenderedPageBreak/>
              <w:t>Identify Causal Genetic Variants Influencing CVD Risk - San Antonio Family Studies</w:t>
            </w:r>
          </w:p>
        </w:tc>
        <w:tc>
          <w:tcPr>
            <w:tcW w:w="2599" w:type="dxa"/>
          </w:tcPr>
          <w:p w14:paraId="1CAE2564" w14:textId="0B4E8866" w:rsidR="00136DD9" w:rsidRPr="002B2A7B" w:rsidRDefault="00136DD9" w:rsidP="00136DD9">
            <w:pPr>
              <w:rPr>
                <w:rFonts w:ascii="Times New Roman" w:hAnsi="Times New Roman" w:cs="Times New Roman"/>
                <w:color w:val="000000"/>
                <w:sz w:val="20"/>
                <w:szCs w:val="20"/>
              </w:rPr>
            </w:pPr>
            <w:r w:rsidRPr="00334638">
              <w:rPr>
                <w:rFonts w:ascii="Times New Roman" w:hAnsi="Times New Roman" w:cs="Times New Roman"/>
                <w:color w:val="000000"/>
                <w:sz w:val="20"/>
                <w:szCs w:val="20"/>
              </w:rPr>
              <w:lastRenderedPageBreak/>
              <w:t>john.blangero@utrgv.edu</w:t>
            </w:r>
          </w:p>
        </w:tc>
        <w:tc>
          <w:tcPr>
            <w:tcW w:w="5413" w:type="dxa"/>
          </w:tcPr>
          <w:p w14:paraId="7CDD4513" w14:textId="57E58F0F"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color w:val="000000"/>
                <w:sz w:val="20"/>
                <w:szCs w:val="20"/>
              </w:rPr>
              <w:t>This research was supported by NIH grant R01 HL113323.</w:t>
            </w:r>
          </w:p>
        </w:tc>
        <w:tc>
          <w:tcPr>
            <w:tcW w:w="1613" w:type="dxa"/>
          </w:tcPr>
          <w:p w14:paraId="31EC4DDF" w14:textId="3D5594F6" w:rsidR="00136DD9" w:rsidRPr="00904267" w:rsidRDefault="00136DD9" w:rsidP="00136DD9">
            <w:pPr>
              <w:rPr>
                <w:rFonts w:ascii="Times New Roman" w:hAnsi="Times New Roman" w:cs="Times New Roman"/>
                <w:color w:val="000000"/>
                <w:sz w:val="20"/>
                <w:szCs w:val="20"/>
              </w:rPr>
            </w:pPr>
            <w:r w:rsidRPr="00904267">
              <w:rPr>
                <w:rFonts w:ascii="Times New Roman" w:hAnsi="Times New Roman" w:cs="Times New Roman"/>
                <w:color w:val="000000"/>
                <w:sz w:val="20"/>
                <w:szCs w:val="20"/>
              </w:rPr>
              <w:t>phs001215</w:t>
            </w:r>
          </w:p>
        </w:tc>
      </w:tr>
      <w:tr w:rsidR="00136DD9" w14:paraId="1B8A45E2" w14:textId="5174347C" w:rsidTr="00E55A27">
        <w:tc>
          <w:tcPr>
            <w:tcW w:w="1525" w:type="dxa"/>
          </w:tcPr>
          <w:p w14:paraId="5734B689" w14:textId="23999318" w:rsidR="00136DD9" w:rsidRPr="002B2A7B" w:rsidRDefault="00136DD9" w:rsidP="00136DD9">
            <w:pPr>
              <w:rPr>
                <w:rFonts w:ascii="Times New Roman" w:hAnsi="Times New Roman" w:cs="Times New Roman"/>
                <w:sz w:val="20"/>
                <w:szCs w:val="20"/>
              </w:rPr>
            </w:pPr>
            <w:r>
              <w:rPr>
                <w:rFonts w:ascii="Times New Roman" w:hAnsi="Times New Roman" w:cs="Times New Roman"/>
                <w:sz w:val="20"/>
                <w:szCs w:val="20"/>
              </w:rPr>
              <w:t>SARP</w:t>
            </w:r>
          </w:p>
        </w:tc>
        <w:tc>
          <w:tcPr>
            <w:tcW w:w="1800" w:type="dxa"/>
          </w:tcPr>
          <w:p w14:paraId="24E656BA" w14:textId="6BDAB7A6" w:rsidR="00136DD9" w:rsidRPr="002B2A7B" w:rsidRDefault="00136DD9" w:rsidP="00136DD9">
            <w:pPr>
              <w:rPr>
                <w:rFonts w:ascii="Times New Roman" w:hAnsi="Times New Roman" w:cs="Times New Roman"/>
                <w:color w:val="000000"/>
                <w:sz w:val="20"/>
                <w:szCs w:val="20"/>
              </w:rPr>
            </w:pPr>
            <w:r w:rsidRPr="00E55A27">
              <w:rPr>
                <w:rFonts w:ascii="Times New Roman" w:hAnsi="Times New Roman" w:cs="Times New Roman"/>
                <w:color w:val="000000"/>
                <w:sz w:val="20"/>
                <w:szCs w:val="20"/>
              </w:rPr>
              <w:t>Severe Asthma Research Program</w:t>
            </w:r>
          </w:p>
        </w:tc>
        <w:tc>
          <w:tcPr>
            <w:tcW w:w="2599" w:type="dxa"/>
          </w:tcPr>
          <w:p w14:paraId="44E96659" w14:textId="53365DEA" w:rsidR="00136DD9" w:rsidRPr="002B2A7B" w:rsidRDefault="00136DD9" w:rsidP="00136DD9">
            <w:pPr>
              <w:rPr>
                <w:rFonts w:ascii="Times New Roman" w:hAnsi="Times New Roman" w:cs="Times New Roman"/>
                <w:color w:val="000000"/>
                <w:sz w:val="20"/>
                <w:szCs w:val="20"/>
              </w:rPr>
            </w:pPr>
            <w:r w:rsidRPr="00334638">
              <w:rPr>
                <w:rFonts w:ascii="Times New Roman" w:hAnsi="Times New Roman" w:cs="Times New Roman"/>
                <w:color w:val="000000"/>
                <w:sz w:val="20"/>
                <w:szCs w:val="20"/>
              </w:rPr>
              <w:t>dameyers@email.arizona.edu</w:t>
            </w:r>
          </w:p>
        </w:tc>
        <w:tc>
          <w:tcPr>
            <w:tcW w:w="5413" w:type="dxa"/>
          </w:tcPr>
          <w:p w14:paraId="1C4B9B1C" w14:textId="6FC92C2A" w:rsidR="00136DD9" w:rsidRPr="00904267" w:rsidRDefault="00136DD9" w:rsidP="00136DD9">
            <w:pPr>
              <w:rPr>
                <w:rFonts w:ascii="Times New Roman" w:hAnsi="Times New Roman" w:cs="Times New Roman"/>
                <w:color w:val="000000"/>
                <w:sz w:val="20"/>
                <w:szCs w:val="20"/>
              </w:rPr>
            </w:pPr>
            <w:r w:rsidRPr="00904267">
              <w:rPr>
                <w:rFonts w:ascii="Times New Roman" w:hAnsi="Times New Roman" w:cs="Times New Roman"/>
                <w:sz w:val="20"/>
                <w:szCs w:val="20"/>
              </w:rPr>
              <w:t>Please contact the study PI.</w:t>
            </w:r>
          </w:p>
        </w:tc>
        <w:tc>
          <w:tcPr>
            <w:tcW w:w="1613" w:type="dxa"/>
          </w:tcPr>
          <w:p w14:paraId="720E5608" w14:textId="363C985A" w:rsidR="00136DD9" w:rsidRPr="00904267" w:rsidRDefault="00136DD9" w:rsidP="00136DD9">
            <w:pPr>
              <w:rPr>
                <w:rFonts w:ascii="Times New Roman" w:hAnsi="Times New Roman" w:cs="Times New Roman"/>
                <w:color w:val="000000"/>
                <w:sz w:val="20"/>
                <w:szCs w:val="20"/>
              </w:rPr>
            </w:pPr>
            <w:r w:rsidRPr="00904267">
              <w:rPr>
                <w:rFonts w:ascii="Times New Roman" w:hAnsi="Times New Roman" w:cs="Times New Roman"/>
                <w:color w:val="000000"/>
                <w:sz w:val="20"/>
                <w:szCs w:val="20"/>
              </w:rPr>
              <w:t>phs001446</w:t>
            </w:r>
          </w:p>
        </w:tc>
      </w:tr>
      <w:tr w:rsidR="00136DD9" w14:paraId="4B328A3D" w14:textId="40D45A8D" w:rsidTr="00E55A27">
        <w:tc>
          <w:tcPr>
            <w:tcW w:w="1525" w:type="dxa"/>
          </w:tcPr>
          <w:p w14:paraId="2CD38F3E" w14:textId="77777777" w:rsidR="00136DD9" w:rsidRPr="002B2A7B" w:rsidRDefault="00136DD9" w:rsidP="00136DD9">
            <w:pPr>
              <w:rPr>
                <w:rFonts w:ascii="Times New Roman" w:hAnsi="Times New Roman" w:cs="Times New Roman"/>
                <w:sz w:val="20"/>
                <w:szCs w:val="20"/>
              </w:rPr>
            </w:pPr>
            <w:proofErr w:type="spellStart"/>
            <w:r w:rsidRPr="002B2A7B">
              <w:rPr>
                <w:rFonts w:ascii="Times New Roman" w:hAnsi="Times New Roman" w:cs="Times New Roman"/>
                <w:sz w:val="20"/>
                <w:szCs w:val="20"/>
              </w:rPr>
              <w:t>walk_PHaSST</w:t>
            </w:r>
            <w:proofErr w:type="spellEnd"/>
          </w:p>
        </w:tc>
        <w:tc>
          <w:tcPr>
            <w:tcW w:w="1800" w:type="dxa"/>
          </w:tcPr>
          <w:p w14:paraId="0D246B33" w14:textId="6EF6C024" w:rsidR="00136DD9" w:rsidRPr="002B2A7B" w:rsidRDefault="00136DD9" w:rsidP="00136DD9">
            <w:pPr>
              <w:rPr>
                <w:rFonts w:ascii="Times New Roman" w:hAnsi="Times New Roman" w:cs="Times New Roman"/>
                <w:color w:val="000000"/>
                <w:sz w:val="20"/>
                <w:szCs w:val="20"/>
                <w:shd w:val="clear" w:color="auto" w:fill="FFFFFF"/>
              </w:rPr>
            </w:pPr>
            <w:r w:rsidRPr="00EA617A">
              <w:rPr>
                <w:rFonts w:ascii="Times New Roman" w:hAnsi="Times New Roman" w:cs="Times New Roman"/>
                <w:color w:val="000000"/>
                <w:sz w:val="20"/>
                <w:szCs w:val="20"/>
                <w:shd w:val="clear" w:color="auto" w:fill="FFFFFF"/>
              </w:rPr>
              <w:t>Treatment of Pulmonary Hypertension and Sickle Cell Disease with Sildenafil Therapy</w:t>
            </w:r>
          </w:p>
        </w:tc>
        <w:tc>
          <w:tcPr>
            <w:tcW w:w="2599" w:type="dxa"/>
          </w:tcPr>
          <w:p w14:paraId="4C7DC307" w14:textId="77777777" w:rsidR="00136DD9" w:rsidRPr="00334638" w:rsidRDefault="00136DD9" w:rsidP="00136DD9">
            <w:pPr>
              <w:rPr>
                <w:rFonts w:ascii="Times New Roman" w:hAnsi="Times New Roman" w:cs="Times New Roman"/>
                <w:color w:val="000000"/>
                <w:sz w:val="20"/>
                <w:szCs w:val="20"/>
                <w:shd w:val="clear" w:color="auto" w:fill="FFFFFF"/>
              </w:rPr>
            </w:pPr>
            <w:r w:rsidRPr="00334638">
              <w:rPr>
                <w:rFonts w:ascii="Times New Roman" w:hAnsi="Times New Roman" w:cs="Times New Roman"/>
                <w:color w:val="000000"/>
                <w:sz w:val="20"/>
                <w:szCs w:val="20"/>
                <w:shd w:val="clear" w:color="auto" w:fill="FFFFFF"/>
              </w:rPr>
              <w:t>ladwinmt@upmc.edu</w:t>
            </w:r>
          </w:p>
          <w:p w14:paraId="4D67CF37" w14:textId="25B430A3" w:rsidR="00136DD9" w:rsidRPr="002B2A7B" w:rsidRDefault="00136DD9" w:rsidP="00136DD9">
            <w:pPr>
              <w:rPr>
                <w:rFonts w:ascii="Times New Roman" w:hAnsi="Times New Roman" w:cs="Times New Roman"/>
                <w:color w:val="000000"/>
                <w:sz w:val="20"/>
                <w:szCs w:val="20"/>
                <w:shd w:val="clear" w:color="auto" w:fill="FFFFFF"/>
              </w:rPr>
            </w:pPr>
          </w:p>
        </w:tc>
        <w:tc>
          <w:tcPr>
            <w:tcW w:w="5413" w:type="dxa"/>
          </w:tcPr>
          <w:p w14:paraId="4B2AFCD6" w14:textId="1DA13B2C"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color w:val="000000"/>
                <w:sz w:val="20"/>
                <w:szCs w:val="20"/>
                <w:shd w:val="clear" w:color="auto" w:fill="FFFFFF"/>
              </w:rPr>
              <w:t>We thank the investigators of the Walk-</w:t>
            </w:r>
            <w:proofErr w:type="spellStart"/>
            <w:r w:rsidRPr="00904267">
              <w:rPr>
                <w:rFonts w:ascii="Times New Roman" w:hAnsi="Times New Roman" w:cs="Times New Roman"/>
                <w:color w:val="000000"/>
                <w:sz w:val="20"/>
                <w:szCs w:val="20"/>
                <w:shd w:val="clear" w:color="auto" w:fill="FFFFFF"/>
              </w:rPr>
              <w:t>PHasst</w:t>
            </w:r>
            <w:proofErr w:type="spellEnd"/>
            <w:r w:rsidRPr="00904267">
              <w:rPr>
                <w:rFonts w:ascii="Times New Roman" w:hAnsi="Times New Roman" w:cs="Times New Roman"/>
                <w:color w:val="000000"/>
                <w:sz w:val="20"/>
                <w:szCs w:val="20"/>
                <w:shd w:val="clear" w:color="auto" w:fill="FFFFFF"/>
              </w:rPr>
              <w:t xml:space="preserve"> study and the patients who participated in the study. We also thanks the walk-</w:t>
            </w:r>
            <w:proofErr w:type="spellStart"/>
            <w:r w:rsidRPr="00904267">
              <w:rPr>
                <w:rFonts w:ascii="Times New Roman" w:hAnsi="Times New Roman" w:cs="Times New Roman"/>
                <w:color w:val="000000"/>
                <w:sz w:val="20"/>
                <w:szCs w:val="20"/>
                <w:shd w:val="clear" w:color="auto" w:fill="FFFFFF"/>
              </w:rPr>
              <w:t>PHaSST</w:t>
            </w:r>
            <w:proofErr w:type="spellEnd"/>
            <w:r w:rsidRPr="00904267">
              <w:rPr>
                <w:rFonts w:ascii="Times New Roman" w:hAnsi="Times New Roman" w:cs="Times New Roman"/>
                <w:color w:val="000000"/>
                <w:sz w:val="20"/>
                <w:szCs w:val="20"/>
                <w:shd w:val="clear" w:color="auto" w:fill="FFFFFF"/>
              </w:rPr>
              <w:t xml:space="preserve"> clinical site team: Albert Einstein College of Medicine: Jane Little and Verlene Davis; Columbia University: Robyn </w:t>
            </w:r>
            <w:proofErr w:type="spellStart"/>
            <w:r w:rsidRPr="00904267">
              <w:rPr>
                <w:rFonts w:ascii="Times New Roman" w:hAnsi="Times New Roman" w:cs="Times New Roman"/>
                <w:color w:val="000000"/>
                <w:sz w:val="20"/>
                <w:szCs w:val="20"/>
                <w:shd w:val="clear" w:color="auto" w:fill="FFFFFF"/>
              </w:rPr>
              <w:t>Barst</w:t>
            </w:r>
            <w:proofErr w:type="spellEnd"/>
            <w:r w:rsidRPr="00904267">
              <w:rPr>
                <w:rFonts w:ascii="Times New Roman" w:hAnsi="Times New Roman" w:cs="Times New Roman"/>
                <w:color w:val="000000"/>
                <w:sz w:val="20"/>
                <w:szCs w:val="20"/>
                <w:shd w:val="clear" w:color="auto" w:fill="FFFFFF"/>
              </w:rPr>
              <w:t xml:space="preserve">, Erika Rosenzweig, Margaret Lee and Daniela Brady; UCSF Benioff Children's Hospital Oakland: Claudia Morris, Ward Hagar, Lisa </w:t>
            </w:r>
            <w:proofErr w:type="spellStart"/>
            <w:r w:rsidRPr="00904267">
              <w:rPr>
                <w:rFonts w:ascii="Times New Roman" w:hAnsi="Times New Roman" w:cs="Times New Roman"/>
                <w:color w:val="000000"/>
                <w:sz w:val="20"/>
                <w:szCs w:val="20"/>
                <w:shd w:val="clear" w:color="auto" w:fill="FFFFFF"/>
              </w:rPr>
              <w:t>Lavrisha</w:t>
            </w:r>
            <w:proofErr w:type="spellEnd"/>
            <w:r w:rsidRPr="00904267">
              <w:rPr>
                <w:rFonts w:ascii="Times New Roman" w:hAnsi="Times New Roman" w:cs="Times New Roman"/>
                <w:color w:val="000000"/>
                <w:sz w:val="20"/>
                <w:szCs w:val="20"/>
                <w:shd w:val="clear" w:color="auto" w:fill="FFFFFF"/>
              </w:rPr>
              <w:t xml:space="preserve">, Howard Rosenfeld, and Elliott </w:t>
            </w:r>
            <w:proofErr w:type="spellStart"/>
            <w:r w:rsidRPr="00904267">
              <w:rPr>
                <w:rFonts w:ascii="Times New Roman" w:hAnsi="Times New Roman" w:cs="Times New Roman"/>
                <w:color w:val="000000"/>
                <w:sz w:val="20"/>
                <w:szCs w:val="20"/>
                <w:shd w:val="clear" w:color="auto" w:fill="FFFFFF"/>
              </w:rPr>
              <w:t>Vichinsky</w:t>
            </w:r>
            <w:proofErr w:type="spellEnd"/>
            <w:r w:rsidRPr="00904267">
              <w:rPr>
                <w:rFonts w:ascii="Times New Roman" w:hAnsi="Times New Roman" w:cs="Times New Roman"/>
                <w:color w:val="000000"/>
                <w:sz w:val="20"/>
                <w:szCs w:val="20"/>
                <w:shd w:val="clear" w:color="auto" w:fill="FFFFFF"/>
              </w:rPr>
              <w:t xml:space="preserve">; Children’s Hospital of Pittsburgh of UPMC: Regina McCollum; Hammersmith Hospital, London: Sally Davies, Gaia Mahalingam, Sharon Meehan, Ofelia </w:t>
            </w:r>
            <w:proofErr w:type="spellStart"/>
            <w:r w:rsidRPr="00904267">
              <w:rPr>
                <w:rFonts w:ascii="Times New Roman" w:hAnsi="Times New Roman" w:cs="Times New Roman"/>
                <w:color w:val="000000"/>
                <w:sz w:val="20"/>
                <w:szCs w:val="20"/>
                <w:shd w:val="clear" w:color="auto" w:fill="FFFFFF"/>
              </w:rPr>
              <w:t>Lebanto</w:t>
            </w:r>
            <w:proofErr w:type="spellEnd"/>
            <w:r w:rsidRPr="00904267">
              <w:rPr>
                <w:rFonts w:ascii="Times New Roman" w:hAnsi="Times New Roman" w:cs="Times New Roman"/>
                <w:color w:val="000000"/>
                <w:sz w:val="20"/>
                <w:szCs w:val="20"/>
                <w:shd w:val="clear" w:color="auto" w:fill="FFFFFF"/>
              </w:rPr>
              <w:t xml:space="preserve">, and Ines </w:t>
            </w:r>
            <w:proofErr w:type="spellStart"/>
            <w:r w:rsidRPr="00904267">
              <w:rPr>
                <w:rFonts w:ascii="Times New Roman" w:hAnsi="Times New Roman" w:cs="Times New Roman"/>
                <w:color w:val="000000"/>
                <w:sz w:val="20"/>
                <w:szCs w:val="20"/>
                <w:shd w:val="clear" w:color="auto" w:fill="FFFFFF"/>
              </w:rPr>
              <w:t>Cabrita</w:t>
            </w:r>
            <w:proofErr w:type="spellEnd"/>
            <w:r w:rsidRPr="00904267">
              <w:rPr>
                <w:rFonts w:ascii="Times New Roman" w:hAnsi="Times New Roman" w:cs="Times New Roman"/>
                <w:color w:val="000000"/>
                <w:sz w:val="20"/>
                <w:szCs w:val="20"/>
                <w:shd w:val="clear" w:color="auto" w:fill="FFFFFF"/>
              </w:rPr>
              <w:t xml:space="preserve">; Howard University: Victor </w:t>
            </w:r>
            <w:proofErr w:type="spellStart"/>
            <w:r w:rsidRPr="00904267">
              <w:rPr>
                <w:rFonts w:ascii="Times New Roman" w:hAnsi="Times New Roman" w:cs="Times New Roman"/>
                <w:color w:val="000000"/>
                <w:sz w:val="20"/>
                <w:szCs w:val="20"/>
                <w:shd w:val="clear" w:color="auto" w:fill="FFFFFF"/>
              </w:rPr>
              <w:t>Gordeuk</w:t>
            </w:r>
            <w:proofErr w:type="spellEnd"/>
            <w:r w:rsidRPr="00904267">
              <w:rPr>
                <w:rFonts w:ascii="Times New Roman" w:hAnsi="Times New Roman" w:cs="Times New Roman"/>
                <w:color w:val="000000"/>
                <w:sz w:val="20"/>
                <w:szCs w:val="20"/>
                <w:shd w:val="clear" w:color="auto" w:fill="FFFFFF"/>
              </w:rPr>
              <w:t xml:space="preserve">, Oswaldo Castro, </w:t>
            </w:r>
            <w:proofErr w:type="spellStart"/>
            <w:r w:rsidRPr="00904267">
              <w:rPr>
                <w:rFonts w:ascii="Times New Roman" w:hAnsi="Times New Roman" w:cs="Times New Roman"/>
                <w:color w:val="000000"/>
                <w:sz w:val="20"/>
                <w:szCs w:val="20"/>
                <w:shd w:val="clear" w:color="auto" w:fill="FFFFFF"/>
              </w:rPr>
              <w:t>Onyinye</w:t>
            </w:r>
            <w:proofErr w:type="spellEnd"/>
            <w:r w:rsidRPr="00904267">
              <w:rPr>
                <w:rFonts w:ascii="Times New Roman" w:hAnsi="Times New Roman" w:cs="Times New Roman"/>
                <w:color w:val="000000"/>
                <w:sz w:val="20"/>
                <w:szCs w:val="20"/>
                <w:shd w:val="clear" w:color="auto" w:fill="FFFFFF"/>
              </w:rPr>
              <w:t xml:space="preserve"> </w:t>
            </w:r>
            <w:proofErr w:type="spellStart"/>
            <w:r w:rsidRPr="00904267">
              <w:rPr>
                <w:rFonts w:ascii="Times New Roman" w:hAnsi="Times New Roman" w:cs="Times New Roman"/>
                <w:color w:val="000000"/>
                <w:sz w:val="20"/>
                <w:szCs w:val="20"/>
                <w:shd w:val="clear" w:color="auto" w:fill="FFFFFF"/>
              </w:rPr>
              <w:t>Onyekwere</w:t>
            </w:r>
            <w:proofErr w:type="spellEnd"/>
            <w:r w:rsidRPr="00904267">
              <w:rPr>
                <w:rFonts w:ascii="Times New Roman" w:hAnsi="Times New Roman" w:cs="Times New Roman"/>
                <w:color w:val="000000"/>
                <w:sz w:val="20"/>
                <w:szCs w:val="20"/>
                <w:shd w:val="clear" w:color="auto" w:fill="FFFFFF"/>
              </w:rPr>
              <w:t xml:space="preserve">, Vandana Sachdev, Alvin Thomas, Gladys </w:t>
            </w:r>
            <w:proofErr w:type="spellStart"/>
            <w:r w:rsidRPr="00904267">
              <w:rPr>
                <w:rFonts w:ascii="Times New Roman" w:hAnsi="Times New Roman" w:cs="Times New Roman"/>
                <w:color w:val="000000"/>
                <w:sz w:val="20"/>
                <w:szCs w:val="20"/>
                <w:shd w:val="clear" w:color="auto" w:fill="FFFFFF"/>
              </w:rPr>
              <w:t>Onojobi</w:t>
            </w:r>
            <w:proofErr w:type="spellEnd"/>
            <w:r w:rsidRPr="00904267">
              <w:rPr>
                <w:rFonts w:ascii="Times New Roman" w:hAnsi="Times New Roman" w:cs="Times New Roman"/>
                <w:color w:val="000000"/>
                <w:sz w:val="20"/>
                <w:szCs w:val="20"/>
                <w:shd w:val="clear" w:color="auto" w:fill="FFFFFF"/>
              </w:rPr>
              <w:t xml:space="preserve">, </w:t>
            </w:r>
            <w:proofErr w:type="spellStart"/>
            <w:r w:rsidRPr="00904267">
              <w:rPr>
                <w:rFonts w:ascii="Times New Roman" w:hAnsi="Times New Roman" w:cs="Times New Roman"/>
                <w:color w:val="000000"/>
                <w:sz w:val="20"/>
                <w:szCs w:val="20"/>
                <w:shd w:val="clear" w:color="auto" w:fill="FFFFFF"/>
              </w:rPr>
              <w:t>Sharmin</w:t>
            </w:r>
            <w:proofErr w:type="spellEnd"/>
            <w:r w:rsidRPr="00904267">
              <w:rPr>
                <w:rFonts w:ascii="Times New Roman" w:hAnsi="Times New Roman" w:cs="Times New Roman"/>
                <w:color w:val="000000"/>
                <w:sz w:val="20"/>
                <w:szCs w:val="20"/>
                <w:shd w:val="clear" w:color="auto" w:fill="FFFFFF"/>
              </w:rPr>
              <w:t xml:space="preserve"> Diaz, Margaret </w:t>
            </w:r>
            <w:proofErr w:type="spellStart"/>
            <w:r w:rsidRPr="00904267">
              <w:rPr>
                <w:rFonts w:ascii="Times New Roman" w:hAnsi="Times New Roman" w:cs="Times New Roman"/>
                <w:color w:val="000000"/>
                <w:sz w:val="20"/>
                <w:szCs w:val="20"/>
                <w:shd w:val="clear" w:color="auto" w:fill="FFFFFF"/>
              </w:rPr>
              <w:t>Fadojutimi-Akinsiku</w:t>
            </w:r>
            <w:proofErr w:type="spellEnd"/>
            <w:r w:rsidRPr="00904267">
              <w:rPr>
                <w:rFonts w:ascii="Times New Roman" w:hAnsi="Times New Roman" w:cs="Times New Roman"/>
                <w:color w:val="000000"/>
                <w:sz w:val="20"/>
                <w:szCs w:val="20"/>
                <w:shd w:val="clear" w:color="auto" w:fill="FFFFFF"/>
              </w:rPr>
              <w:t xml:space="preserve">, and </w:t>
            </w:r>
            <w:proofErr w:type="spellStart"/>
            <w:r w:rsidRPr="00904267">
              <w:rPr>
                <w:rFonts w:ascii="Times New Roman" w:hAnsi="Times New Roman" w:cs="Times New Roman"/>
                <w:color w:val="000000"/>
                <w:sz w:val="20"/>
                <w:szCs w:val="20"/>
                <w:shd w:val="clear" w:color="auto" w:fill="FFFFFF"/>
              </w:rPr>
              <w:t>Randa</w:t>
            </w:r>
            <w:proofErr w:type="spellEnd"/>
            <w:r w:rsidRPr="00904267">
              <w:rPr>
                <w:rFonts w:ascii="Times New Roman" w:hAnsi="Times New Roman" w:cs="Times New Roman"/>
                <w:color w:val="000000"/>
                <w:sz w:val="20"/>
                <w:szCs w:val="20"/>
                <w:shd w:val="clear" w:color="auto" w:fill="FFFFFF"/>
              </w:rPr>
              <w:t xml:space="preserve"> Aladdin; Johns Hopkins University: Reda Girgis, Sophie </w:t>
            </w:r>
            <w:proofErr w:type="spellStart"/>
            <w:r w:rsidRPr="00904267">
              <w:rPr>
                <w:rFonts w:ascii="Times New Roman" w:hAnsi="Times New Roman" w:cs="Times New Roman"/>
                <w:color w:val="000000"/>
                <w:sz w:val="20"/>
                <w:szCs w:val="20"/>
                <w:shd w:val="clear" w:color="auto" w:fill="FFFFFF"/>
              </w:rPr>
              <w:t>Lanzkron</w:t>
            </w:r>
            <w:proofErr w:type="spellEnd"/>
            <w:r w:rsidRPr="00904267">
              <w:rPr>
                <w:rFonts w:ascii="Times New Roman" w:hAnsi="Times New Roman" w:cs="Times New Roman"/>
                <w:color w:val="000000"/>
                <w:sz w:val="20"/>
                <w:szCs w:val="20"/>
                <w:shd w:val="clear" w:color="auto" w:fill="FFFFFF"/>
              </w:rPr>
              <w:t xml:space="preserve"> and </w:t>
            </w:r>
            <w:proofErr w:type="spellStart"/>
            <w:r w:rsidRPr="00904267">
              <w:rPr>
                <w:rFonts w:ascii="Times New Roman" w:hAnsi="Times New Roman" w:cs="Times New Roman"/>
                <w:color w:val="000000"/>
                <w:sz w:val="20"/>
                <w:szCs w:val="20"/>
                <w:shd w:val="clear" w:color="auto" w:fill="FFFFFF"/>
              </w:rPr>
              <w:t>Durrant</w:t>
            </w:r>
            <w:proofErr w:type="spellEnd"/>
            <w:r w:rsidRPr="00904267">
              <w:rPr>
                <w:rFonts w:ascii="Times New Roman" w:hAnsi="Times New Roman" w:cs="Times New Roman"/>
                <w:color w:val="000000"/>
                <w:sz w:val="20"/>
                <w:szCs w:val="20"/>
                <w:shd w:val="clear" w:color="auto" w:fill="FFFFFF"/>
              </w:rPr>
              <w:t xml:space="preserve"> </w:t>
            </w:r>
            <w:proofErr w:type="spellStart"/>
            <w:r w:rsidRPr="00904267">
              <w:rPr>
                <w:rFonts w:ascii="Times New Roman" w:hAnsi="Times New Roman" w:cs="Times New Roman"/>
                <w:color w:val="000000"/>
                <w:sz w:val="20"/>
                <w:szCs w:val="20"/>
                <w:shd w:val="clear" w:color="auto" w:fill="FFFFFF"/>
              </w:rPr>
              <w:t>Barasa</w:t>
            </w:r>
            <w:proofErr w:type="spellEnd"/>
            <w:r w:rsidRPr="00904267">
              <w:rPr>
                <w:rFonts w:ascii="Times New Roman" w:hAnsi="Times New Roman" w:cs="Times New Roman"/>
                <w:color w:val="000000"/>
                <w:sz w:val="20"/>
                <w:szCs w:val="20"/>
                <w:shd w:val="clear" w:color="auto" w:fill="FFFFFF"/>
              </w:rPr>
              <w:t xml:space="preserve">; NHLBI: Mark Gladwin, Greg Kato, James Taylor, Wynona Coles, Catherine Seamon, Mary Hall, Amy Chi, Cynthia Brenneman, Wen Li, and Erin Smith; University of Colorado: Kathryn Hassell, David </w:t>
            </w:r>
            <w:proofErr w:type="spellStart"/>
            <w:r w:rsidRPr="00904267">
              <w:rPr>
                <w:rFonts w:ascii="Times New Roman" w:hAnsi="Times New Roman" w:cs="Times New Roman"/>
                <w:color w:val="000000"/>
                <w:sz w:val="20"/>
                <w:szCs w:val="20"/>
                <w:shd w:val="clear" w:color="auto" w:fill="FFFFFF"/>
              </w:rPr>
              <w:t>Badesch</w:t>
            </w:r>
            <w:proofErr w:type="spellEnd"/>
            <w:r w:rsidRPr="00904267">
              <w:rPr>
                <w:rFonts w:ascii="Times New Roman" w:hAnsi="Times New Roman" w:cs="Times New Roman"/>
                <w:color w:val="000000"/>
                <w:sz w:val="20"/>
                <w:szCs w:val="20"/>
                <w:shd w:val="clear" w:color="auto" w:fill="FFFFFF"/>
              </w:rPr>
              <w:t xml:space="preserve">, Deb McCollister and Julie McAfee; University of Illinois at Chicago: Dean </w:t>
            </w:r>
            <w:proofErr w:type="spellStart"/>
            <w:r w:rsidRPr="00904267">
              <w:rPr>
                <w:rFonts w:ascii="Times New Roman" w:hAnsi="Times New Roman" w:cs="Times New Roman"/>
                <w:color w:val="000000"/>
                <w:sz w:val="20"/>
                <w:szCs w:val="20"/>
                <w:shd w:val="clear" w:color="auto" w:fill="FFFFFF"/>
              </w:rPr>
              <w:t>Schraufnagel</w:t>
            </w:r>
            <w:proofErr w:type="spellEnd"/>
            <w:r w:rsidRPr="00904267">
              <w:rPr>
                <w:rFonts w:ascii="Times New Roman" w:hAnsi="Times New Roman" w:cs="Times New Roman"/>
                <w:color w:val="000000"/>
                <w:sz w:val="20"/>
                <w:szCs w:val="20"/>
                <w:shd w:val="clear" w:color="auto" w:fill="FFFFFF"/>
              </w:rPr>
              <w:t xml:space="preserve">, Robert </w:t>
            </w:r>
            <w:proofErr w:type="spellStart"/>
            <w:r w:rsidRPr="00904267">
              <w:rPr>
                <w:rFonts w:ascii="Times New Roman" w:hAnsi="Times New Roman" w:cs="Times New Roman"/>
                <w:color w:val="000000"/>
                <w:sz w:val="20"/>
                <w:szCs w:val="20"/>
                <w:shd w:val="clear" w:color="auto" w:fill="FFFFFF"/>
              </w:rPr>
              <w:t>Molokie</w:t>
            </w:r>
            <w:proofErr w:type="spellEnd"/>
            <w:r w:rsidRPr="00904267">
              <w:rPr>
                <w:rFonts w:ascii="Times New Roman" w:hAnsi="Times New Roman" w:cs="Times New Roman"/>
                <w:color w:val="000000"/>
                <w:sz w:val="20"/>
                <w:szCs w:val="20"/>
                <w:shd w:val="clear" w:color="auto" w:fill="FFFFFF"/>
              </w:rPr>
              <w:t>, George Kondos, Patricia Cole-</w:t>
            </w:r>
            <w:proofErr w:type="spellStart"/>
            <w:r w:rsidRPr="00904267">
              <w:rPr>
                <w:rFonts w:ascii="Times New Roman" w:hAnsi="Times New Roman" w:cs="Times New Roman"/>
                <w:color w:val="000000"/>
                <w:sz w:val="20"/>
                <w:szCs w:val="20"/>
                <w:shd w:val="clear" w:color="auto" w:fill="FFFFFF"/>
              </w:rPr>
              <w:t>Saffold</w:t>
            </w:r>
            <w:proofErr w:type="spellEnd"/>
            <w:r w:rsidRPr="00904267">
              <w:rPr>
                <w:rFonts w:ascii="Times New Roman" w:hAnsi="Times New Roman" w:cs="Times New Roman"/>
                <w:color w:val="000000"/>
                <w:sz w:val="20"/>
                <w:szCs w:val="20"/>
                <w:shd w:val="clear" w:color="auto" w:fill="FFFFFF"/>
              </w:rPr>
              <w:t xml:space="preserve">, and Lani </w:t>
            </w:r>
            <w:proofErr w:type="spellStart"/>
            <w:r w:rsidRPr="00904267">
              <w:rPr>
                <w:rFonts w:ascii="Times New Roman" w:hAnsi="Times New Roman" w:cs="Times New Roman"/>
                <w:color w:val="000000"/>
                <w:sz w:val="20"/>
                <w:szCs w:val="20"/>
                <w:shd w:val="clear" w:color="auto" w:fill="FFFFFF"/>
              </w:rPr>
              <w:t>Krauz</w:t>
            </w:r>
            <w:proofErr w:type="spellEnd"/>
            <w:r w:rsidRPr="00904267">
              <w:rPr>
                <w:rFonts w:ascii="Times New Roman" w:hAnsi="Times New Roman" w:cs="Times New Roman"/>
                <w:color w:val="000000"/>
                <w:sz w:val="20"/>
                <w:szCs w:val="20"/>
                <w:shd w:val="clear" w:color="auto" w:fill="FFFFFF"/>
              </w:rPr>
              <w:t xml:space="preserve">; National Heart &amp; Lung Institute, Imperial College London: Simon Gibbs. Thanks also to the data coordination center team from Rho, Inc.: Nancy </w:t>
            </w:r>
            <w:proofErr w:type="spellStart"/>
            <w:r w:rsidRPr="00904267">
              <w:rPr>
                <w:rFonts w:ascii="Times New Roman" w:hAnsi="Times New Roman" w:cs="Times New Roman"/>
                <w:color w:val="000000"/>
                <w:sz w:val="20"/>
                <w:szCs w:val="20"/>
                <w:shd w:val="clear" w:color="auto" w:fill="FFFFFF"/>
              </w:rPr>
              <w:t>Yovetich</w:t>
            </w:r>
            <w:proofErr w:type="spellEnd"/>
            <w:r w:rsidRPr="00904267">
              <w:rPr>
                <w:rFonts w:ascii="Times New Roman" w:hAnsi="Times New Roman" w:cs="Times New Roman"/>
                <w:color w:val="000000"/>
                <w:sz w:val="20"/>
                <w:szCs w:val="20"/>
                <w:shd w:val="clear" w:color="auto" w:fill="FFFFFF"/>
              </w:rPr>
              <w:t xml:space="preserve">, Rob </w:t>
            </w:r>
            <w:proofErr w:type="spellStart"/>
            <w:r w:rsidRPr="00904267">
              <w:rPr>
                <w:rFonts w:ascii="Times New Roman" w:hAnsi="Times New Roman" w:cs="Times New Roman"/>
                <w:color w:val="000000"/>
                <w:sz w:val="20"/>
                <w:szCs w:val="20"/>
                <w:shd w:val="clear" w:color="auto" w:fill="FFFFFF"/>
              </w:rPr>
              <w:t>Woolson</w:t>
            </w:r>
            <w:proofErr w:type="spellEnd"/>
            <w:r w:rsidRPr="00904267">
              <w:rPr>
                <w:rFonts w:ascii="Times New Roman" w:hAnsi="Times New Roman" w:cs="Times New Roman"/>
                <w:color w:val="000000"/>
                <w:sz w:val="20"/>
                <w:szCs w:val="20"/>
                <w:shd w:val="clear" w:color="auto" w:fill="FFFFFF"/>
              </w:rPr>
              <w:t xml:space="preserve">, Jamie Spencer, Christopher Woods, Karen Kesler, Vickie Coble, and Ronald W. Helms. We also thank Dr. </w:t>
            </w:r>
            <w:proofErr w:type="spellStart"/>
            <w:r w:rsidRPr="00904267">
              <w:rPr>
                <w:rFonts w:ascii="Times New Roman" w:hAnsi="Times New Roman" w:cs="Times New Roman"/>
                <w:color w:val="000000"/>
                <w:sz w:val="20"/>
                <w:szCs w:val="20"/>
                <w:shd w:val="clear" w:color="auto" w:fill="FFFFFF"/>
              </w:rPr>
              <w:t>Yingze</w:t>
            </w:r>
            <w:proofErr w:type="spellEnd"/>
            <w:r w:rsidRPr="00904267">
              <w:rPr>
                <w:rFonts w:ascii="Times New Roman" w:hAnsi="Times New Roman" w:cs="Times New Roman"/>
                <w:color w:val="000000"/>
                <w:sz w:val="20"/>
                <w:szCs w:val="20"/>
                <w:shd w:val="clear" w:color="auto" w:fill="FFFFFF"/>
              </w:rPr>
              <w:t xml:space="preserve"> Zhang for directing the Walk-</w:t>
            </w:r>
            <w:proofErr w:type="spellStart"/>
            <w:r w:rsidRPr="00904267">
              <w:rPr>
                <w:rFonts w:ascii="Times New Roman" w:hAnsi="Times New Roman" w:cs="Times New Roman"/>
                <w:color w:val="000000"/>
                <w:sz w:val="20"/>
                <w:szCs w:val="20"/>
                <w:shd w:val="clear" w:color="auto" w:fill="FFFFFF"/>
              </w:rPr>
              <w:t>PHasst</w:t>
            </w:r>
            <w:proofErr w:type="spellEnd"/>
            <w:r w:rsidRPr="00904267">
              <w:rPr>
                <w:rFonts w:ascii="Times New Roman" w:hAnsi="Times New Roman" w:cs="Times New Roman"/>
                <w:color w:val="000000"/>
                <w:sz w:val="20"/>
                <w:szCs w:val="20"/>
                <w:shd w:val="clear" w:color="auto" w:fill="FFFFFF"/>
              </w:rPr>
              <w:t xml:space="preserve"> repository and Dr. Mehdi </w:t>
            </w:r>
            <w:proofErr w:type="spellStart"/>
            <w:r w:rsidRPr="00904267">
              <w:rPr>
                <w:rFonts w:ascii="Times New Roman" w:hAnsi="Times New Roman" w:cs="Times New Roman"/>
                <w:color w:val="000000"/>
                <w:sz w:val="20"/>
                <w:szCs w:val="20"/>
                <w:shd w:val="clear" w:color="auto" w:fill="FFFFFF"/>
              </w:rPr>
              <w:t>Nouraie</w:t>
            </w:r>
            <w:proofErr w:type="spellEnd"/>
            <w:r w:rsidRPr="00904267">
              <w:rPr>
                <w:rFonts w:ascii="Times New Roman" w:hAnsi="Times New Roman" w:cs="Times New Roman"/>
                <w:color w:val="000000"/>
                <w:sz w:val="20"/>
                <w:szCs w:val="20"/>
                <w:shd w:val="clear" w:color="auto" w:fill="FFFFFF"/>
              </w:rPr>
              <w:t xml:space="preserve"> for maintaining the Walk-</w:t>
            </w:r>
            <w:proofErr w:type="spellStart"/>
            <w:r w:rsidRPr="00904267">
              <w:rPr>
                <w:rFonts w:ascii="Times New Roman" w:hAnsi="Times New Roman" w:cs="Times New Roman"/>
                <w:color w:val="000000"/>
                <w:sz w:val="20"/>
                <w:szCs w:val="20"/>
                <w:shd w:val="clear" w:color="auto" w:fill="FFFFFF"/>
              </w:rPr>
              <w:t>PHasst</w:t>
            </w:r>
            <w:proofErr w:type="spellEnd"/>
            <w:r w:rsidRPr="00904267">
              <w:rPr>
                <w:rFonts w:ascii="Times New Roman" w:hAnsi="Times New Roman" w:cs="Times New Roman"/>
                <w:color w:val="000000"/>
                <w:sz w:val="20"/>
                <w:szCs w:val="20"/>
                <w:shd w:val="clear" w:color="auto" w:fill="FFFFFF"/>
              </w:rPr>
              <w:t xml:space="preserve"> database and Dr. Jonathan Goldsmith as a NIH program director for this study. Special thanks to the volunteers who participated in the Walk-</w:t>
            </w:r>
            <w:proofErr w:type="spellStart"/>
            <w:r w:rsidRPr="00904267">
              <w:rPr>
                <w:rFonts w:ascii="Times New Roman" w:hAnsi="Times New Roman" w:cs="Times New Roman"/>
                <w:color w:val="000000"/>
                <w:sz w:val="20"/>
                <w:szCs w:val="20"/>
                <w:shd w:val="clear" w:color="auto" w:fill="FFFFFF"/>
              </w:rPr>
              <w:t>PHaSST</w:t>
            </w:r>
            <w:proofErr w:type="spellEnd"/>
            <w:r w:rsidRPr="00904267">
              <w:rPr>
                <w:rFonts w:ascii="Times New Roman" w:hAnsi="Times New Roman" w:cs="Times New Roman"/>
                <w:color w:val="000000"/>
                <w:sz w:val="20"/>
                <w:szCs w:val="20"/>
                <w:shd w:val="clear" w:color="auto" w:fill="FFFFFF"/>
              </w:rPr>
              <w:t xml:space="preserve"> study. This project was funded with federal funds from the NHLBI, NIH, Department of Health and Human Services, under contract HHSN268200617182C. This study is registered at www.clinicaltrials.gov as NCT00492531.</w:t>
            </w:r>
          </w:p>
        </w:tc>
        <w:tc>
          <w:tcPr>
            <w:tcW w:w="1613" w:type="dxa"/>
          </w:tcPr>
          <w:p w14:paraId="2DA2A485" w14:textId="60469245" w:rsidR="00136DD9" w:rsidRPr="00904267"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color w:val="000000"/>
                <w:sz w:val="20"/>
                <w:szCs w:val="20"/>
                <w:shd w:val="clear" w:color="auto" w:fill="FFFFFF"/>
              </w:rPr>
              <w:t>phs001514</w:t>
            </w:r>
          </w:p>
        </w:tc>
      </w:tr>
      <w:tr w:rsidR="00136DD9" w14:paraId="1F200C7B" w14:textId="538E5F3A" w:rsidTr="00E55A27">
        <w:tc>
          <w:tcPr>
            <w:tcW w:w="1525" w:type="dxa"/>
          </w:tcPr>
          <w:p w14:paraId="6CEE2099" w14:textId="77777777" w:rsidR="00136DD9" w:rsidRPr="002B2A7B" w:rsidRDefault="00136DD9" w:rsidP="00136DD9">
            <w:pPr>
              <w:rPr>
                <w:rFonts w:ascii="Times New Roman" w:hAnsi="Times New Roman" w:cs="Times New Roman"/>
                <w:sz w:val="20"/>
                <w:szCs w:val="20"/>
              </w:rPr>
            </w:pPr>
            <w:r w:rsidRPr="002B2A7B">
              <w:rPr>
                <w:rFonts w:ascii="Times New Roman" w:hAnsi="Times New Roman" w:cs="Times New Roman"/>
                <w:sz w:val="20"/>
                <w:szCs w:val="20"/>
              </w:rPr>
              <w:lastRenderedPageBreak/>
              <w:t>WHI</w:t>
            </w:r>
          </w:p>
        </w:tc>
        <w:tc>
          <w:tcPr>
            <w:tcW w:w="1800" w:type="dxa"/>
          </w:tcPr>
          <w:p w14:paraId="7E5D46F3" w14:textId="50B59C4B" w:rsidR="00136DD9" w:rsidRPr="002B2A7B" w:rsidRDefault="00136DD9" w:rsidP="00136DD9">
            <w:pPr>
              <w:rPr>
                <w:rFonts w:ascii="Times New Roman" w:hAnsi="Times New Roman" w:cs="Times New Roman"/>
                <w:sz w:val="20"/>
                <w:szCs w:val="20"/>
              </w:rPr>
            </w:pPr>
            <w:r w:rsidRPr="00EA617A">
              <w:rPr>
                <w:rFonts w:ascii="Times New Roman" w:hAnsi="Times New Roman" w:cs="Times New Roman"/>
                <w:sz w:val="20"/>
                <w:szCs w:val="20"/>
              </w:rPr>
              <w:t>Women's Health Initiative</w:t>
            </w:r>
          </w:p>
        </w:tc>
        <w:tc>
          <w:tcPr>
            <w:tcW w:w="2599" w:type="dxa"/>
          </w:tcPr>
          <w:p w14:paraId="6F29A53C" w14:textId="1D366C37" w:rsidR="00136DD9" w:rsidRPr="002B2A7B" w:rsidRDefault="00136DD9" w:rsidP="00136DD9">
            <w:pPr>
              <w:rPr>
                <w:rFonts w:ascii="Times New Roman" w:hAnsi="Times New Roman" w:cs="Times New Roman"/>
                <w:sz w:val="20"/>
                <w:szCs w:val="20"/>
              </w:rPr>
            </w:pPr>
            <w:r w:rsidRPr="00334638">
              <w:rPr>
                <w:rFonts w:ascii="Times New Roman" w:hAnsi="Times New Roman" w:cs="Times New Roman"/>
                <w:sz w:val="20"/>
                <w:szCs w:val="20"/>
              </w:rPr>
              <w:t>clk@fredhutch.org</w:t>
            </w:r>
          </w:p>
        </w:tc>
        <w:tc>
          <w:tcPr>
            <w:tcW w:w="5413" w:type="dxa"/>
          </w:tcPr>
          <w:p w14:paraId="7C9EFC25" w14:textId="22854EB8"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sz w:val="20"/>
                <w:szCs w:val="20"/>
              </w:rPr>
              <w:t>The WHI program is funded by the National Heart, Lung, and Blood Institute, National Institutes of Health,</w:t>
            </w:r>
          </w:p>
          <w:p w14:paraId="7A3C1CF6" w14:textId="77777777"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sz w:val="20"/>
                <w:szCs w:val="20"/>
              </w:rPr>
              <w:t>U.S. Department of Health and Human Services through contracts HHSN268201600018C,</w:t>
            </w:r>
          </w:p>
          <w:p w14:paraId="6F2FFD94" w14:textId="77777777" w:rsidR="00136DD9" w:rsidRPr="00904267" w:rsidRDefault="00136DD9" w:rsidP="00136DD9">
            <w:pPr>
              <w:rPr>
                <w:rFonts w:ascii="Times New Roman" w:hAnsi="Times New Roman" w:cs="Times New Roman"/>
                <w:color w:val="000000"/>
                <w:sz w:val="20"/>
                <w:szCs w:val="20"/>
                <w:shd w:val="clear" w:color="auto" w:fill="FFFFFF"/>
              </w:rPr>
            </w:pPr>
            <w:r w:rsidRPr="00904267">
              <w:rPr>
                <w:rFonts w:ascii="Times New Roman" w:hAnsi="Times New Roman" w:cs="Times New Roman"/>
                <w:sz w:val="20"/>
                <w:szCs w:val="20"/>
              </w:rPr>
              <w:t xml:space="preserve">HHSN268201600001C, HHSN268201600002C, HHSN268201600003C, HHSN268201600004C, </w:t>
            </w:r>
            <w:r w:rsidRPr="00904267">
              <w:rPr>
                <w:rFonts w:ascii="Times New Roman" w:hAnsi="Times New Roman" w:cs="Times New Roman"/>
                <w:color w:val="000000"/>
                <w:sz w:val="20"/>
                <w:szCs w:val="20"/>
                <w:shd w:val="clear" w:color="auto" w:fill="FFFFFF"/>
              </w:rPr>
              <w:t>S10OD028685</w:t>
            </w:r>
            <w:r w:rsidRPr="00904267">
              <w:rPr>
                <w:rFonts w:ascii="Times New Roman" w:hAnsi="Times New Roman" w:cs="Times New Roman"/>
                <w:sz w:val="20"/>
                <w:szCs w:val="20"/>
              </w:rPr>
              <w:t>.</w:t>
            </w:r>
          </w:p>
        </w:tc>
        <w:tc>
          <w:tcPr>
            <w:tcW w:w="1613" w:type="dxa"/>
          </w:tcPr>
          <w:p w14:paraId="17E816E7" w14:textId="68DD447B" w:rsidR="00136DD9" w:rsidRPr="00904267" w:rsidRDefault="00136DD9" w:rsidP="00136DD9">
            <w:pPr>
              <w:rPr>
                <w:rFonts w:ascii="Times New Roman" w:hAnsi="Times New Roman" w:cs="Times New Roman"/>
                <w:sz w:val="20"/>
                <w:szCs w:val="20"/>
              </w:rPr>
            </w:pPr>
            <w:r w:rsidRPr="00904267">
              <w:rPr>
                <w:rFonts w:ascii="Times New Roman" w:hAnsi="Times New Roman" w:cs="Times New Roman"/>
                <w:sz w:val="20"/>
                <w:szCs w:val="20"/>
              </w:rPr>
              <w:t>phs001237</w:t>
            </w:r>
          </w:p>
        </w:tc>
      </w:tr>
    </w:tbl>
    <w:p w14:paraId="2B8B8BF3" w14:textId="0B829C67" w:rsidR="002B2A7B" w:rsidRDefault="002B2A7B" w:rsidP="002B2A7B"/>
    <w:p w14:paraId="79EAF617" w14:textId="77777777" w:rsidR="003E0FD5" w:rsidRDefault="003E0FD5" w:rsidP="007B5719">
      <w:pPr>
        <w:rPr>
          <w:rFonts w:ascii="Times New Roman" w:hAnsi="Times New Roman" w:cs="Times New Roman"/>
          <w:b/>
          <w:bCs/>
        </w:rPr>
        <w:sectPr w:rsidR="003E0FD5" w:rsidSect="007B5719">
          <w:pgSz w:w="15840" w:h="12240" w:orient="landscape"/>
          <w:pgMar w:top="1440" w:right="1440" w:bottom="1440" w:left="1440" w:header="720" w:footer="720" w:gutter="0"/>
          <w:cols w:space="720"/>
          <w:docGrid w:linePitch="360"/>
        </w:sectPr>
      </w:pPr>
    </w:p>
    <w:p w14:paraId="02C2ED7D" w14:textId="10098F8F" w:rsidR="007B5719" w:rsidRPr="005C794A" w:rsidRDefault="00720006" w:rsidP="007B5719">
      <w:pPr>
        <w:rPr>
          <w:rFonts w:ascii="Times New Roman" w:hAnsi="Times New Roman" w:cs="Times New Roman"/>
          <w:b/>
          <w:bCs/>
        </w:rPr>
      </w:pPr>
      <w:r>
        <w:rPr>
          <w:rFonts w:ascii="Times New Roman" w:hAnsi="Times New Roman" w:cs="Times New Roman"/>
          <w:b/>
          <w:bCs/>
        </w:rPr>
        <w:lastRenderedPageBreak/>
        <w:t xml:space="preserve">4. </w:t>
      </w:r>
      <w:proofErr w:type="spellStart"/>
      <w:r w:rsidR="007B5719" w:rsidRPr="007B5719">
        <w:rPr>
          <w:rFonts w:ascii="Times New Roman" w:hAnsi="Times New Roman" w:cs="Times New Roman"/>
          <w:b/>
          <w:bCs/>
        </w:rPr>
        <w:t>TOPMed</w:t>
      </w:r>
      <w:proofErr w:type="spellEnd"/>
      <w:r w:rsidR="007B5719" w:rsidRPr="007B5719">
        <w:rPr>
          <w:rFonts w:ascii="Times New Roman" w:hAnsi="Times New Roman" w:cs="Times New Roman"/>
          <w:b/>
          <w:bCs/>
        </w:rPr>
        <w:t xml:space="preserve"> Omics Support Table</w:t>
      </w:r>
      <w:r w:rsidR="005C794A">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524"/>
        <w:gridCol w:w="1889"/>
        <w:gridCol w:w="1051"/>
        <w:gridCol w:w="1927"/>
        <w:gridCol w:w="1794"/>
        <w:gridCol w:w="3968"/>
        <w:gridCol w:w="797"/>
      </w:tblGrid>
      <w:tr w:rsidR="00560B10" w14:paraId="6457BDF8" w14:textId="77777777" w:rsidTr="00F345F1">
        <w:tc>
          <w:tcPr>
            <w:tcW w:w="1524" w:type="dxa"/>
          </w:tcPr>
          <w:p w14:paraId="0B1D9394" w14:textId="77777777" w:rsidR="007B5719" w:rsidRPr="00560B10" w:rsidRDefault="007B5719" w:rsidP="007B5719">
            <w:pPr>
              <w:rPr>
                <w:rFonts w:ascii="Times New Roman" w:hAnsi="Times New Roman" w:cs="Times New Roman"/>
                <w:sz w:val="20"/>
                <w:szCs w:val="20"/>
              </w:rPr>
            </w:pPr>
            <w:proofErr w:type="spellStart"/>
            <w:r w:rsidRPr="00560B10">
              <w:rPr>
                <w:rFonts w:ascii="Times New Roman" w:hAnsi="Times New Roman" w:cs="Times New Roman"/>
                <w:sz w:val="20"/>
                <w:szCs w:val="20"/>
              </w:rPr>
              <w:t>TOPMed</w:t>
            </w:r>
            <w:proofErr w:type="spellEnd"/>
            <w:r w:rsidRPr="00560B10">
              <w:rPr>
                <w:rFonts w:ascii="Times New Roman" w:hAnsi="Times New Roman" w:cs="Times New Roman"/>
                <w:sz w:val="20"/>
                <w:szCs w:val="20"/>
              </w:rPr>
              <w:t xml:space="preserve"> Accession #</w:t>
            </w:r>
          </w:p>
        </w:tc>
        <w:tc>
          <w:tcPr>
            <w:tcW w:w="1889" w:type="dxa"/>
          </w:tcPr>
          <w:p w14:paraId="08B34CF8" w14:textId="77777777" w:rsidR="007B5719" w:rsidRPr="00560B10" w:rsidRDefault="007B5719" w:rsidP="007B5719">
            <w:pPr>
              <w:rPr>
                <w:rFonts w:ascii="Times New Roman" w:hAnsi="Times New Roman" w:cs="Times New Roman"/>
                <w:sz w:val="20"/>
                <w:szCs w:val="20"/>
              </w:rPr>
            </w:pPr>
            <w:proofErr w:type="spellStart"/>
            <w:r w:rsidRPr="00560B10">
              <w:rPr>
                <w:rFonts w:ascii="Times New Roman" w:hAnsi="Times New Roman" w:cs="Times New Roman"/>
                <w:sz w:val="20"/>
                <w:szCs w:val="20"/>
              </w:rPr>
              <w:t>TOPMed</w:t>
            </w:r>
            <w:proofErr w:type="spellEnd"/>
            <w:r w:rsidRPr="00560B10">
              <w:rPr>
                <w:rFonts w:ascii="Times New Roman" w:hAnsi="Times New Roman" w:cs="Times New Roman"/>
                <w:sz w:val="20"/>
                <w:szCs w:val="20"/>
              </w:rPr>
              <w:t xml:space="preserve"> Study Short Name</w:t>
            </w:r>
          </w:p>
        </w:tc>
        <w:tc>
          <w:tcPr>
            <w:tcW w:w="1051" w:type="dxa"/>
          </w:tcPr>
          <w:p w14:paraId="619C730A" w14:textId="77777777" w:rsidR="007B5719" w:rsidRPr="00560B10" w:rsidRDefault="007B5719" w:rsidP="007B5719">
            <w:pPr>
              <w:rPr>
                <w:rFonts w:ascii="Times New Roman" w:hAnsi="Times New Roman" w:cs="Times New Roman"/>
                <w:sz w:val="20"/>
                <w:szCs w:val="20"/>
              </w:rPr>
            </w:pPr>
            <w:proofErr w:type="spellStart"/>
            <w:r w:rsidRPr="00560B10">
              <w:rPr>
                <w:rFonts w:ascii="Times New Roman" w:hAnsi="Times New Roman" w:cs="Times New Roman"/>
                <w:sz w:val="20"/>
                <w:szCs w:val="20"/>
              </w:rPr>
              <w:t>TOPMed</w:t>
            </w:r>
            <w:proofErr w:type="spellEnd"/>
            <w:r w:rsidRPr="00560B10">
              <w:rPr>
                <w:rFonts w:ascii="Times New Roman" w:hAnsi="Times New Roman" w:cs="Times New Roman"/>
                <w:sz w:val="20"/>
                <w:szCs w:val="20"/>
              </w:rPr>
              <w:t xml:space="preserve"> Phase</w:t>
            </w:r>
          </w:p>
        </w:tc>
        <w:tc>
          <w:tcPr>
            <w:tcW w:w="1927" w:type="dxa"/>
          </w:tcPr>
          <w:p w14:paraId="49F636FA" w14:textId="77777777" w:rsidR="007B5719" w:rsidRPr="00560B10" w:rsidRDefault="007B5719" w:rsidP="007B5719">
            <w:pPr>
              <w:rPr>
                <w:rFonts w:ascii="Times New Roman" w:hAnsi="Times New Roman" w:cs="Times New Roman"/>
                <w:sz w:val="20"/>
                <w:szCs w:val="20"/>
              </w:rPr>
            </w:pPr>
            <w:proofErr w:type="spellStart"/>
            <w:r w:rsidRPr="00560B10">
              <w:rPr>
                <w:rFonts w:ascii="Times New Roman" w:hAnsi="Times New Roman" w:cs="Times New Roman"/>
                <w:sz w:val="20"/>
                <w:szCs w:val="20"/>
              </w:rPr>
              <w:t>TOPMed</w:t>
            </w:r>
            <w:proofErr w:type="spellEnd"/>
            <w:r w:rsidRPr="00560B10">
              <w:rPr>
                <w:rFonts w:ascii="Times New Roman" w:hAnsi="Times New Roman" w:cs="Times New Roman"/>
                <w:sz w:val="20"/>
                <w:szCs w:val="20"/>
              </w:rPr>
              <w:t xml:space="preserve"> Project</w:t>
            </w:r>
          </w:p>
        </w:tc>
        <w:tc>
          <w:tcPr>
            <w:tcW w:w="1794" w:type="dxa"/>
          </w:tcPr>
          <w:p w14:paraId="05A800CC" w14:textId="77777777" w:rsidR="007B5719" w:rsidRPr="00560B10" w:rsidRDefault="007B5719" w:rsidP="007B5719">
            <w:pPr>
              <w:rPr>
                <w:rFonts w:ascii="Times New Roman" w:hAnsi="Times New Roman" w:cs="Times New Roman"/>
                <w:sz w:val="20"/>
                <w:szCs w:val="20"/>
              </w:rPr>
            </w:pPr>
            <w:r w:rsidRPr="00560B10">
              <w:rPr>
                <w:rFonts w:ascii="Times New Roman" w:hAnsi="Times New Roman" w:cs="Times New Roman"/>
                <w:sz w:val="20"/>
                <w:szCs w:val="20"/>
              </w:rPr>
              <w:t>Omics Center Short Name</w:t>
            </w:r>
          </w:p>
        </w:tc>
        <w:tc>
          <w:tcPr>
            <w:tcW w:w="3968" w:type="dxa"/>
          </w:tcPr>
          <w:p w14:paraId="19333BC6" w14:textId="77777777" w:rsidR="007B5719" w:rsidRPr="00560B10" w:rsidRDefault="007B5719" w:rsidP="007B5719">
            <w:pPr>
              <w:rPr>
                <w:rFonts w:ascii="Times New Roman" w:hAnsi="Times New Roman" w:cs="Times New Roman"/>
                <w:sz w:val="20"/>
                <w:szCs w:val="20"/>
              </w:rPr>
            </w:pPr>
            <w:r w:rsidRPr="00560B10">
              <w:rPr>
                <w:rFonts w:ascii="Times New Roman" w:hAnsi="Times New Roman" w:cs="Times New Roman"/>
                <w:sz w:val="20"/>
                <w:szCs w:val="20"/>
              </w:rPr>
              <w:t>Omics Support</w:t>
            </w:r>
          </w:p>
        </w:tc>
        <w:tc>
          <w:tcPr>
            <w:tcW w:w="797" w:type="dxa"/>
          </w:tcPr>
          <w:p w14:paraId="5D88CE1B" w14:textId="77777777" w:rsidR="007B5719" w:rsidRPr="00560B10" w:rsidRDefault="007B5719" w:rsidP="007B5719">
            <w:pPr>
              <w:rPr>
                <w:rFonts w:ascii="Times New Roman" w:hAnsi="Times New Roman" w:cs="Times New Roman"/>
                <w:sz w:val="20"/>
                <w:szCs w:val="20"/>
              </w:rPr>
            </w:pPr>
            <w:r w:rsidRPr="00560B10">
              <w:rPr>
                <w:rFonts w:ascii="Times New Roman" w:hAnsi="Times New Roman" w:cs="Times New Roman"/>
                <w:sz w:val="20"/>
                <w:szCs w:val="20"/>
              </w:rPr>
              <w:t>Omics Type</w:t>
            </w:r>
          </w:p>
        </w:tc>
      </w:tr>
      <w:tr w:rsidR="00560B10" w:rsidRPr="007B5719" w14:paraId="627C44A1" w14:textId="77777777" w:rsidTr="00F345F1">
        <w:tc>
          <w:tcPr>
            <w:tcW w:w="1524" w:type="dxa"/>
            <w:hideMark/>
          </w:tcPr>
          <w:p w14:paraId="19E32C39" w14:textId="77777777"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eastAsia="Times New Roman" w:hAnsi="Times New Roman" w:cs="Times New Roman"/>
                <w:sz w:val="20"/>
                <w:szCs w:val="20"/>
              </w:rPr>
              <w:t>phs001211</w:t>
            </w:r>
          </w:p>
        </w:tc>
        <w:tc>
          <w:tcPr>
            <w:tcW w:w="1889" w:type="dxa"/>
            <w:hideMark/>
          </w:tcPr>
          <w:p w14:paraId="3B2440C7" w14:textId="2C85500C"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hAnsi="Times New Roman" w:cs="Times New Roman"/>
                <w:sz w:val="20"/>
                <w:szCs w:val="20"/>
              </w:rPr>
              <w:t>ARIC</w:t>
            </w:r>
          </w:p>
        </w:tc>
        <w:tc>
          <w:tcPr>
            <w:tcW w:w="1051" w:type="dxa"/>
            <w:hideMark/>
          </w:tcPr>
          <w:p w14:paraId="78D5E35D" w14:textId="77777777"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eastAsia="Times New Roman" w:hAnsi="Times New Roman" w:cs="Times New Roman"/>
                <w:sz w:val="20"/>
                <w:szCs w:val="20"/>
              </w:rPr>
              <w:t>2</w:t>
            </w:r>
          </w:p>
        </w:tc>
        <w:tc>
          <w:tcPr>
            <w:tcW w:w="1927" w:type="dxa"/>
            <w:hideMark/>
          </w:tcPr>
          <w:p w14:paraId="40805528" w14:textId="77777777"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eastAsia="Times New Roman" w:hAnsi="Times New Roman" w:cs="Times New Roman"/>
                <w:sz w:val="20"/>
                <w:szCs w:val="20"/>
              </w:rPr>
              <w:t>VTE</w:t>
            </w:r>
          </w:p>
        </w:tc>
        <w:tc>
          <w:tcPr>
            <w:tcW w:w="1794" w:type="dxa"/>
            <w:hideMark/>
          </w:tcPr>
          <w:p w14:paraId="164FA870" w14:textId="77777777"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eastAsia="Times New Roman" w:hAnsi="Times New Roman" w:cs="Times New Roman"/>
                <w:sz w:val="20"/>
                <w:szCs w:val="20"/>
              </w:rPr>
              <w:t>Baylor</w:t>
            </w:r>
          </w:p>
        </w:tc>
        <w:tc>
          <w:tcPr>
            <w:tcW w:w="3968" w:type="dxa"/>
            <w:hideMark/>
          </w:tcPr>
          <w:p w14:paraId="08FDA06A" w14:textId="4D47A490"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eastAsia="Times New Roman" w:hAnsi="Times New Roman" w:cs="Times New Roman"/>
                <w:sz w:val="20"/>
                <w:szCs w:val="20"/>
              </w:rPr>
              <w:t>3U54HG003273-12S2 / HSN268201500015C</w:t>
            </w:r>
          </w:p>
        </w:tc>
        <w:tc>
          <w:tcPr>
            <w:tcW w:w="0" w:type="auto"/>
            <w:hideMark/>
          </w:tcPr>
          <w:p w14:paraId="04FFC02D" w14:textId="77777777" w:rsidR="00BB59CA" w:rsidRPr="00560B10" w:rsidRDefault="00BB59CA" w:rsidP="00BB59CA">
            <w:pPr>
              <w:spacing w:before="150" w:after="150"/>
              <w:rPr>
                <w:rFonts w:ascii="Times New Roman" w:eastAsia="Times New Roman" w:hAnsi="Times New Roman" w:cs="Times New Roman"/>
                <w:sz w:val="20"/>
                <w:szCs w:val="20"/>
              </w:rPr>
            </w:pPr>
            <w:r w:rsidRPr="00560B10">
              <w:rPr>
                <w:rFonts w:ascii="Times New Roman" w:eastAsia="Times New Roman" w:hAnsi="Times New Roman" w:cs="Times New Roman"/>
                <w:sz w:val="20"/>
                <w:szCs w:val="20"/>
              </w:rPr>
              <w:t>WGS</w:t>
            </w:r>
          </w:p>
        </w:tc>
      </w:tr>
      <w:tr w:rsidR="00560B10" w:rsidRPr="00BB59CA" w14:paraId="796BBE42" w14:textId="77777777" w:rsidTr="00F345F1">
        <w:tc>
          <w:tcPr>
            <w:tcW w:w="1524" w:type="dxa"/>
            <w:hideMark/>
          </w:tcPr>
          <w:p w14:paraId="37A6699F"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phs001644</w:t>
            </w:r>
          </w:p>
        </w:tc>
        <w:tc>
          <w:tcPr>
            <w:tcW w:w="1889" w:type="dxa"/>
            <w:hideMark/>
          </w:tcPr>
          <w:p w14:paraId="062EC0B2" w14:textId="77777777" w:rsidR="00BB59CA" w:rsidRPr="00BB59CA" w:rsidRDefault="00BB59CA" w:rsidP="00BB59CA">
            <w:pPr>
              <w:spacing w:before="150" w:after="150"/>
              <w:rPr>
                <w:rFonts w:ascii="Times New Roman" w:eastAsia="Times New Roman" w:hAnsi="Times New Roman" w:cs="Times New Roman"/>
                <w:sz w:val="20"/>
                <w:szCs w:val="20"/>
              </w:rPr>
            </w:pPr>
            <w:proofErr w:type="spellStart"/>
            <w:r w:rsidRPr="00BB59CA">
              <w:rPr>
                <w:rFonts w:ascii="Times New Roman" w:eastAsia="Times New Roman" w:hAnsi="Times New Roman" w:cs="Times New Roman"/>
                <w:sz w:val="20"/>
                <w:szCs w:val="20"/>
              </w:rPr>
              <w:t>BioMe</w:t>
            </w:r>
            <w:proofErr w:type="spellEnd"/>
          </w:p>
        </w:tc>
        <w:tc>
          <w:tcPr>
            <w:tcW w:w="1051" w:type="dxa"/>
            <w:hideMark/>
          </w:tcPr>
          <w:p w14:paraId="4AA32E87"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3</w:t>
            </w:r>
          </w:p>
        </w:tc>
        <w:tc>
          <w:tcPr>
            <w:tcW w:w="1927" w:type="dxa"/>
            <w:hideMark/>
          </w:tcPr>
          <w:p w14:paraId="713CBDEB" w14:textId="77777777" w:rsidR="00BB59CA" w:rsidRPr="00BB59CA" w:rsidRDefault="00BB59CA" w:rsidP="00BB59CA">
            <w:pPr>
              <w:spacing w:before="150" w:after="150"/>
              <w:rPr>
                <w:rFonts w:ascii="Times New Roman" w:eastAsia="Times New Roman" w:hAnsi="Times New Roman" w:cs="Times New Roman"/>
                <w:sz w:val="20"/>
                <w:szCs w:val="20"/>
              </w:rPr>
            </w:pPr>
            <w:proofErr w:type="spellStart"/>
            <w:r w:rsidRPr="00BB59CA">
              <w:rPr>
                <w:rFonts w:ascii="Times New Roman" w:eastAsia="Times New Roman" w:hAnsi="Times New Roman" w:cs="Times New Roman"/>
                <w:sz w:val="20"/>
                <w:szCs w:val="20"/>
              </w:rPr>
              <w:t>BioMe</w:t>
            </w:r>
            <w:proofErr w:type="spellEnd"/>
          </w:p>
        </w:tc>
        <w:tc>
          <w:tcPr>
            <w:tcW w:w="1794" w:type="dxa"/>
            <w:hideMark/>
          </w:tcPr>
          <w:p w14:paraId="424EC826"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Baylor</w:t>
            </w:r>
          </w:p>
        </w:tc>
        <w:tc>
          <w:tcPr>
            <w:tcW w:w="3968" w:type="dxa"/>
            <w:hideMark/>
          </w:tcPr>
          <w:p w14:paraId="6361234F"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HHSN268201600033I</w:t>
            </w:r>
          </w:p>
        </w:tc>
        <w:tc>
          <w:tcPr>
            <w:tcW w:w="0" w:type="auto"/>
            <w:hideMark/>
          </w:tcPr>
          <w:p w14:paraId="20946ECF"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WGS</w:t>
            </w:r>
          </w:p>
        </w:tc>
      </w:tr>
      <w:tr w:rsidR="00560B10" w:rsidRPr="00BB59CA" w14:paraId="3307539B" w14:textId="77777777" w:rsidTr="00F345F1">
        <w:tc>
          <w:tcPr>
            <w:tcW w:w="1524" w:type="dxa"/>
            <w:hideMark/>
          </w:tcPr>
          <w:p w14:paraId="58A7158D"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phs001644</w:t>
            </w:r>
          </w:p>
        </w:tc>
        <w:tc>
          <w:tcPr>
            <w:tcW w:w="1889" w:type="dxa"/>
            <w:hideMark/>
          </w:tcPr>
          <w:p w14:paraId="1CF2A2E2" w14:textId="77777777" w:rsidR="00BB59CA" w:rsidRPr="00BB59CA" w:rsidRDefault="00BB59CA" w:rsidP="00BB59CA">
            <w:pPr>
              <w:spacing w:before="150" w:after="150"/>
              <w:rPr>
                <w:rFonts w:ascii="Times New Roman" w:eastAsia="Times New Roman" w:hAnsi="Times New Roman" w:cs="Times New Roman"/>
                <w:sz w:val="20"/>
                <w:szCs w:val="20"/>
              </w:rPr>
            </w:pPr>
            <w:proofErr w:type="spellStart"/>
            <w:r w:rsidRPr="00BB59CA">
              <w:rPr>
                <w:rFonts w:ascii="Times New Roman" w:eastAsia="Times New Roman" w:hAnsi="Times New Roman" w:cs="Times New Roman"/>
                <w:sz w:val="20"/>
                <w:szCs w:val="20"/>
              </w:rPr>
              <w:t>BioMe</w:t>
            </w:r>
            <w:proofErr w:type="spellEnd"/>
          </w:p>
        </w:tc>
        <w:tc>
          <w:tcPr>
            <w:tcW w:w="1051" w:type="dxa"/>
            <w:hideMark/>
          </w:tcPr>
          <w:p w14:paraId="235F77B8"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3</w:t>
            </w:r>
          </w:p>
        </w:tc>
        <w:tc>
          <w:tcPr>
            <w:tcW w:w="1927" w:type="dxa"/>
            <w:hideMark/>
          </w:tcPr>
          <w:p w14:paraId="2080897D" w14:textId="77777777" w:rsidR="00BB59CA" w:rsidRPr="00BB59CA" w:rsidRDefault="00BB59CA" w:rsidP="00BB59CA">
            <w:pPr>
              <w:spacing w:before="150" w:after="150"/>
              <w:rPr>
                <w:rFonts w:ascii="Times New Roman" w:eastAsia="Times New Roman" w:hAnsi="Times New Roman" w:cs="Times New Roman"/>
                <w:sz w:val="20"/>
                <w:szCs w:val="20"/>
              </w:rPr>
            </w:pPr>
            <w:proofErr w:type="spellStart"/>
            <w:r w:rsidRPr="00BB59CA">
              <w:rPr>
                <w:rFonts w:ascii="Times New Roman" w:eastAsia="Times New Roman" w:hAnsi="Times New Roman" w:cs="Times New Roman"/>
                <w:sz w:val="20"/>
                <w:szCs w:val="20"/>
              </w:rPr>
              <w:t>BioMe</w:t>
            </w:r>
            <w:proofErr w:type="spellEnd"/>
          </w:p>
        </w:tc>
        <w:tc>
          <w:tcPr>
            <w:tcW w:w="1794" w:type="dxa"/>
            <w:hideMark/>
          </w:tcPr>
          <w:p w14:paraId="7E274A5C"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MGI</w:t>
            </w:r>
          </w:p>
        </w:tc>
        <w:tc>
          <w:tcPr>
            <w:tcW w:w="3968" w:type="dxa"/>
            <w:hideMark/>
          </w:tcPr>
          <w:p w14:paraId="445CB657"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HHSN268201600037I</w:t>
            </w:r>
          </w:p>
        </w:tc>
        <w:tc>
          <w:tcPr>
            <w:tcW w:w="0" w:type="auto"/>
            <w:hideMark/>
          </w:tcPr>
          <w:p w14:paraId="33CBF874"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WGS</w:t>
            </w:r>
          </w:p>
        </w:tc>
      </w:tr>
      <w:tr w:rsidR="00F345F1" w:rsidRPr="00F345F1" w14:paraId="12136800" w14:textId="77777777" w:rsidTr="00F345F1">
        <w:tc>
          <w:tcPr>
            <w:tcW w:w="0" w:type="auto"/>
            <w:hideMark/>
          </w:tcPr>
          <w:p w14:paraId="3A69EADA"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phs001368</w:t>
            </w:r>
          </w:p>
        </w:tc>
        <w:tc>
          <w:tcPr>
            <w:tcW w:w="0" w:type="auto"/>
            <w:hideMark/>
          </w:tcPr>
          <w:p w14:paraId="0C637774"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CHS</w:t>
            </w:r>
          </w:p>
        </w:tc>
        <w:tc>
          <w:tcPr>
            <w:tcW w:w="0" w:type="auto"/>
            <w:hideMark/>
          </w:tcPr>
          <w:p w14:paraId="5EEA50D7"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3</w:t>
            </w:r>
          </w:p>
        </w:tc>
        <w:tc>
          <w:tcPr>
            <w:tcW w:w="0" w:type="auto"/>
            <w:hideMark/>
          </w:tcPr>
          <w:p w14:paraId="5E2C2EAE"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CHS</w:t>
            </w:r>
          </w:p>
        </w:tc>
        <w:tc>
          <w:tcPr>
            <w:tcW w:w="0" w:type="auto"/>
            <w:hideMark/>
          </w:tcPr>
          <w:p w14:paraId="6007BC99"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Baylor</w:t>
            </w:r>
          </w:p>
        </w:tc>
        <w:tc>
          <w:tcPr>
            <w:tcW w:w="0" w:type="auto"/>
            <w:hideMark/>
          </w:tcPr>
          <w:p w14:paraId="23DB2F4C"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HHSN268201600033I</w:t>
            </w:r>
          </w:p>
        </w:tc>
        <w:tc>
          <w:tcPr>
            <w:tcW w:w="0" w:type="auto"/>
            <w:hideMark/>
          </w:tcPr>
          <w:p w14:paraId="2AB237CC" w14:textId="77777777" w:rsidR="00F345F1" w:rsidRPr="00F345F1" w:rsidRDefault="00F345F1" w:rsidP="00F345F1">
            <w:pPr>
              <w:spacing w:before="150" w:after="150"/>
              <w:rPr>
                <w:rFonts w:ascii="Times New Roman" w:eastAsia="Times New Roman" w:hAnsi="Times New Roman" w:cs="Times New Roman"/>
                <w:sz w:val="20"/>
                <w:szCs w:val="20"/>
              </w:rPr>
            </w:pPr>
            <w:r w:rsidRPr="00F345F1">
              <w:rPr>
                <w:rFonts w:ascii="Times New Roman" w:eastAsia="Times New Roman" w:hAnsi="Times New Roman" w:cs="Times New Roman"/>
                <w:sz w:val="20"/>
                <w:szCs w:val="20"/>
              </w:rPr>
              <w:t>WGS</w:t>
            </w:r>
          </w:p>
        </w:tc>
      </w:tr>
      <w:tr w:rsidR="00560B10" w:rsidRPr="00BB59CA" w14:paraId="429CEFD2" w14:textId="77777777" w:rsidTr="00F345F1">
        <w:trPr>
          <w:trHeight w:val="566"/>
        </w:trPr>
        <w:tc>
          <w:tcPr>
            <w:tcW w:w="1524" w:type="dxa"/>
            <w:hideMark/>
          </w:tcPr>
          <w:p w14:paraId="6B563070"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phs001368</w:t>
            </w:r>
          </w:p>
        </w:tc>
        <w:tc>
          <w:tcPr>
            <w:tcW w:w="1889" w:type="dxa"/>
            <w:hideMark/>
          </w:tcPr>
          <w:p w14:paraId="648D2E06"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CHS VTE</w:t>
            </w:r>
          </w:p>
        </w:tc>
        <w:tc>
          <w:tcPr>
            <w:tcW w:w="1051" w:type="dxa"/>
            <w:hideMark/>
          </w:tcPr>
          <w:p w14:paraId="172B8768"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2</w:t>
            </w:r>
          </w:p>
        </w:tc>
        <w:tc>
          <w:tcPr>
            <w:tcW w:w="1927" w:type="dxa"/>
            <w:hideMark/>
          </w:tcPr>
          <w:p w14:paraId="7BF6517B"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VTE</w:t>
            </w:r>
          </w:p>
        </w:tc>
        <w:tc>
          <w:tcPr>
            <w:tcW w:w="1794" w:type="dxa"/>
            <w:hideMark/>
          </w:tcPr>
          <w:p w14:paraId="33A0DE6F"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Baylor</w:t>
            </w:r>
          </w:p>
        </w:tc>
        <w:tc>
          <w:tcPr>
            <w:tcW w:w="3968" w:type="dxa"/>
            <w:hideMark/>
          </w:tcPr>
          <w:p w14:paraId="3D8220D1"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3U54HG003273-12S2 / HHSN268201500015C</w:t>
            </w:r>
          </w:p>
        </w:tc>
        <w:tc>
          <w:tcPr>
            <w:tcW w:w="0" w:type="auto"/>
            <w:hideMark/>
          </w:tcPr>
          <w:p w14:paraId="4431B942"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WGS</w:t>
            </w:r>
          </w:p>
        </w:tc>
      </w:tr>
      <w:tr w:rsidR="00560B10" w:rsidRPr="004779A6" w14:paraId="5CFCCF06" w14:textId="77777777" w:rsidTr="00F345F1">
        <w:tc>
          <w:tcPr>
            <w:tcW w:w="1524" w:type="dxa"/>
            <w:hideMark/>
          </w:tcPr>
          <w:p w14:paraId="11B7B496"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phs000951</w:t>
            </w:r>
          </w:p>
        </w:tc>
        <w:tc>
          <w:tcPr>
            <w:tcW w:w="1889" w:type="dxa"/>
            <w:hideMark/>
          </w:tcPr>
          <w:p w14:paraId="4F9794AA"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COPDGene</w:t>
            </w:r>
            <w:proofErr w:type="spellEnd"/>
          </w:p>
        </w:tc>
        <w:tc>
          <w:tcPr>
            <w:tcW w:w="1051" w:type="dxa"/>
            <w:hideMark/>
          </w:tcPr>
          <w:p w14:paraId="052F241D"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2.5</w:t>
            </w:r>
          </w:p>
        </w:tc>
        <w:tc>
          <w:tcPr>
            <w:tcW w:w="1927" w:type="dxa"/>
            <w:hideMark/>
          </w:tcPr>
          <w:p w14:paraId="7C8924A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COPD</w:t>
            </w:r>
          </w:p>
        </w:tc>
        <w:tc>
          <w:tcPr>
            <w:tcW w:w="1794" w:type="dxa"/>
            <w:hideMark/>
          </w:tcPr>
          <w:p w14:paraId="34501CBF"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Broad Genomics</w:t>
            </w:r>
          </w:p>
        </w:tc>
        <w:tc>
          <w:tcPr>
            <w:tcW w:w="3968" w:type="dxa"/>
            <w:hideMark/>
          </w:tcPr>
          <w:p w14:paraId="006B8B74"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HHSN268201500014C</w:t>
            </w:r>
          </w:p>
        </w:tc>
        <w:tc>
          <w:tcPr>
            <w:tcW w:w="0" w:type="auto"/>
            <w:hideMark/>
          </w:tcPr>
          <w:p w14:paraId="38D1A03B"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DC3058" w:rsidRPr="004779A6" w14:paraId="325501C2" w14:textId="77777777" w:rsidTr="00F345F1">
        <w:tc>
          <w:tcPr>
            <w:tcW w:w="1524" w:type="dxa"/>
            <w:hideMark/>
          </w:tcPr>
          <w:p w14:paraId="1C519C94"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phs000951</w:t>
            </w:r>
          </w:p>
        </w:tc>
        <w:tc>
          <w:tcPr>
            <w:tcW w:w="1889" w:type="dxa"/>
            <w:hideMark/>
          </w:tcPr>
          <w:p w14:paraId="01F09B42"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COPDGene</w:t>
            </w:r>
            <w:proofErr w:type="spellEnd"/>
          </w:p>
        </w:tc>
        <w:tc>
          <w:tcPr>
            <w:tcW w:w="1051" w:type="dxa"/>
            <w:hideMark/>
          </w:tcPr>
          <w:p w14:paraId="0680DD04"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1</w:t>
            </w:r>
          </w:p>
        </w:tc>
        <w:tc>
          <w:tcPr>
            <w:tcW w:w="1927" w:type="dxa"/>
            <w:hideMark/>
          </w:tcPr>
          <w:p w14:paraId="18AB921D"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COPD</w:t>
            </w:r>
          </w:p>
        </w:tc>
        <w:tc>
          <w:tcPr>
            <w:tcW w:w="1794" w:type="dxa"/>
            <w:hideMark/>
          </w:tcPr>
          <w:p w14:paraId="09111ABA"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NWGC</w:t>
            </w:r>
          </w:p>
        </w:tc>
        <w:tc>
          <w:tcPr>
            <w:tcW w:w="3968" w:type="dxa"/>
            <w:hideMark/>
          </w:tcPr>
          <w:p w14:paraId="703AFEA3"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3R01HL089856-08S1</w:t>
            </w:r>
          </w:p>
        </w:tc>
        <w:tc>
          <w:tcPr>
            <w:tcW w:w="0" w:type="auto"/>
            <w:hideMark/>
          </w:tcPr>
          <w:p w14:paraId="2247AA1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DC3058" w:rsidRPr="004779A6" w14:paraId="476BE776" w14:textId="77777777" w:rsidTr="00F345F1">
        <w:tc>
          <w:tcPr>
            <w:tcW w:w="1524" w:type="dxa"/>
            <w:hideMark/>
          </w:tcPr>
          <w:p w14:paraId="15245FA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phs000951</w:t>
            </w:r>
          </w:p>
        </w:tc>
        <w:tc>
          <w:tcPr>
            <w:tcW w:w="1889" w:type="dxa"/>
            <w:hideMark/>
          </w:tcPr>
          <w:p w14:paraId="2F7638A6"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COPDGene</w:t>
            </w:r>
            <w:proofErr w:type="spellEnd"/>
          </w:p>
        </w:tc>
        <w:tc>
          <w:tcPr>
            <w:tcW w:w="1051" w:type="dxa"/>
            <w:hideMark/>
          </w:tcPr>
          <w:p w14:paraId="65680DDF"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2</w:t>
            </w:r>
          </w:p>
        </w:tc>
        <w:tc>
          <w:tcPr>
            <w:tcW w:w="1927" w:type="dxa"/>
            <w:hideMark/>
          </w:tcPr>
          <w:p w14:paraId="63E90E7C"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COPD</w:t>
            </w:r>
          </w:p>
        </w:tc>
        <w:tc>
          <w:tcPr>
            <w:tcW w:w="1794" w:type="dxa"/>
            <w:hideMark/>
          </w:tcPr>
          <w:p w14:paraId="7EDD892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Broad Genomics</w:t>
            </w:r>
          </w:p>
        </w:tc>
        <w:tc>
          <w:tcPr>
            <w:tcW w:w="3968" w:type="dxa"/>
            <w:hideMark/>
          </w:tcPr>
          <w:p w14:paraId="13E3A2C5"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HHSN268201500014C</w:t>
            </w:r>
          </w:p>
        </w:tc>
        <w:tc>
          <w:tcPr>
            <w:tcW w:w="0" w:type="auto"/>
            <w:hideMark/>
          </w:tcPr>
          <w:p w14:paraId="1EE80DF3"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DC3058" w:rsidRPr="004779A6" w14:paraId="539A4CF1" w14:textId="77777777" w:rsidTr="00F345F1">
        <w:tc>
          <w:tcPr>
            <w:tcW w:w="1524" w:type="dxa"/>
            <w:hideMark/>
          </w:tcPr>
          <w:p w14:paraId="0870DD0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phs001472</w:t>
            </w:r>
          </w:p>
        </w:tc>
        <w:tc>
          <w:tcPr>
            <w:tcW w:w="1889" w:type="dxa"/>
            <w:hideMark/>
          </w:tcPr>
          <w:p w14:paraId="6CDC02DF"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ECLIPSE</w:t>
            </w:r>
          </w:p>
        </w:tc>
        <w:tc>
          <w:tcPr>
            <w:tcW w:w="1051" w:type="dxa"/>
            <w:hideMark/>
          </w:tcPr>
          <w:p w14:paraId="4F672118"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3</w:t>
            </w:r>
          </w:p>
        </w:tc>
        <w:tc>
          <w:tcPr>
            <w:tcW w:w="1927" w:type="dxa"/>
            <w:hideMark/>
          </w:tcPr>
          <w:p w14:paraId="426D67C4"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ECLIPSE</w:t>
            </w:r>
          </w:p>
        </w:tc>
        <w:tc>
          <w:tcPr>
            <w:tcW w:w="1794" w:type="dxa"/>
            <w:hideMark/>
          </w:tcPr>
          <w:p w14:paraId="7A32A011"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MGI</w:t>
            </w:r>
          </w:p>
        </w:tc>
        <w:tc>
          <w:tcPr>
            <w:tcW w:w="3968" w:type="dxa"/>
            <w:hideMark/>
          </w:tcPr>
          <w:p w14:paraId="0333B28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HHSN268201600037I</w:t>
            </w:r>
          </w:p>
        </w:tc>
        <w:tc>
          <w:tcPr>
            <w:tcW w:w="0" w:type="auto"/>
            <w:hideMark/>
          </w:tcPr>
          <w:p w14:paraId="71548C61"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560B10" w:rsidRPr="00BB59CA" w14:paraId="1AAD6FCA" w14:textId="77777777" w:rsidTr="00F345F1">
        <w:tc>
          <w:tcPr>
            <w:tcW w:w="1524" w:type="dxa"/>
            <w:hideMark/>
          </w:tcPr>
          <w:p w14:paraId="314438BD"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phs000946</w:t>
            </w:r>
          </w:p>
        </w:tc>
        <w:tc>
          <w:tcPr>
            <w:tcW w:w="1889" w:type="dxa"/>
            <w:hideMark/>
          </w:tcPr>
          <w:p w14:paraId="21418028"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EOCOPD</w:t>
            </w:r>
          </w:p>
        </w:tc>
        <w:tc>
          <w:tcPr>
            <w:tcW w:w="1051" w:type="dxa"/>
            <w:hideMark/>
          </w:tcPr>
          <w:p w14:paraId="68DE3BAC"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1</w:t>
            </w:r>
          </w:p>
        </w:tc>
        <w:tc>
          <w:tcPr>
            <w:tcW w:w="1927" w:type="dxa"/>
            <w:hideMark/>
          </w:tcPr>
          <w:p w14:paraId="30A417B7"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COPD</w:t>
            </w:r>
          </w:p>
        </w:tc>
        <w:tc>
          <w:tcPr>
            <w:tcW w:w="1794" w:type="dxa"/>
            <w:hideMark/>
          </w:tcPr>
          <w:p w14:paraId="222EA658"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NWGC</w:t>
            </w:r>
          </w:p>
        </w:tc>
        <w:tc>
          <w:tcPr>
            <w:tcW w:w="3968" w:type="dxa"/>
            <w:hideMark/>
          </w:tcPr>
          <w:p w14:paraId="72B02FCB"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3R01HL089856-08S1</w:t>
            </w:r>
          </w:p>
        </w:tc>
        <w:tc>
          <w:tcPr>
            <w:tcW w:w="0" w:type="auto"/>
            <w:hideMark/>
          </w:tcPr>
          <w:p w14:paraId="6C2676EE" w14:textId="77777777" w:rsidR="00BB59CA" w:rsidRPr="00BB59CA" w:rsidRDefault="00BB59CA" w:rsidP="00BB59CA">
            <w:pPr>
              <w:spacing w:before="150" w:after="150"/>
              <w:rPr>
                <w:rFonts w:ascii="Times New Roman" w:eastAsia="Times New Roman" w:hAnsi="Times New Roman" w:cs="Times New Roman"/>
                <w:sz w:val="20"/>
                <w:szCs w:val="20"/>
              </w:rPr>
            </w:pPr>
            <w:r w:rsidRPr="00BB59CA">
              <w:rPr>
                <w:rFonts w:ascii="Times New Roman" w:eastAsia="Times New Roman" w:hAnsi="Times New Roman" w:cs="Times New Roman"/>
                <w:sz w:val="20"/>
                <w:szCs w:val="20"/>
              </w:rPr>
              <w:t>WGS</w:t>
            </w:r>
          </w:p>
        </w:tc>
      </w:tr>
      <w:tr w:rsidR="00560B10" w:rsidRPr="004779A6" w14:paraId="7246DFC7" w14:textId="77777777" w:rsidTr="00F345F1">
        <w:tc>
          <w:tcPr>
            <w:tcW w:w="1524" w:type="dxa"/>
            <w:hideMark/>
          </w:tcPr>
          <w:p w14:paraId="623C5E1E"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phs000974</w:t>
            </w:r>
          </w:p>
        </w:tc>
        <w:tc>
          <w:tcPr>
            <w:tcW w:w="1889" w:type="dxa"/>
            <w:hideMark/>
          </w:tcPr>
          <w:p w14:paraId="40F391B2"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FHS</w:t>
            </w:r>
          </w:p>
        </w:tc>
        <w:tc>
          <w:tcPr>
            <w:tcW w:w="1051" w:type="dxa"/>
            <w:hideMark/>
          </w:tcPr>
          <w:p w14:paraId="5B29299C"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1</w:t>
            </w:r>
          </w:p>
        </w:tc>
        <w:tc>
          <w:tcPr>
            <w:tcW w:w="1927" w:type="dxa"/>
            <w:hideMark/>
          </w:tcPr>
          <w:p w14:paraId="552E3E9B"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FHS</w:t>
            </w:r>
          </w:p>
        </w:tc>
        <w:tc>
          <w:tcPr>
            <w:tcW w:w="1794" w:type="dxa"/>
            <w:hideMark/>
          </w:tcPr>
          <w:p w14:paraId="6A24A097"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Broad Genomics</w:t>
            </w:r>
          </w:p>
        </w:tc>
        <w:tc>
          <w:tcPr>
            <w:tcW w:w="3968" w:type="dxa"/>
            <w:hideMark/>
          </w:tcPr>
          <w:p w14:paraId="1A31AA5B"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3U54HG003067-12S2</w:t>
            </w:r>
          </w:p>
        </w:tc>
        <w:tc>
          <w:tcPr>
            <w:tcW w:w="0" w:type="auto"/>
            <w:hideMark/>
          </w:tcPr>
          <w:p w14:paraId="7E61354E"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560B10" w:rsidRPr="004779A6" w14:paraId="07557645" w14:textId="77777777" w:rsidTr="00F345F1">
        <w:tc>
          <w:tcPr>
            <w:tcW w:w="1524" w:type="dxa"/>
            <w:hideMark/>
          </w:tcPr>
          <w:p w14:paraId="749B7184"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phs001218</w:t>
            </w:r>
          </w:p>
        </w:tc>
        <w:tc>
          <w:tcPr>
            <w:tcW w:w="1889" w:type="dxa"/>
            <w:hideMark/>
          </w:tcPr>
          <w:p w14:paraId="0A5EDD1A"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GeneSTAR</w:t>
            </w:r>
            <w:proofErr w:type="spellEnd"/>
          </w:p>
        </w:tc>
        <w:tc>
          <w:tcPr>
            <w:tcW w:w="1051" w:type="dxa"/>
            <w:hideMark/>
          </w:tcPr>
          <w:p w14:paraId="7454E391"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legacy</w:t>
            </w:r>
          </w:p>
        </w:tc>
        <w:tc>
          <w:tcPr>
            <w:tcW w:w="1927" w:type="dxa"/>
            <w:hideMark/>
          </w:tcPr>
          <w:p w14:paraId="77AB298F"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GeneSTAR</w:t>
            </w:r>
            <w:proofErr w:type="spellEnd"/>
          </w:p>
        </w:tc>
        <w:tc>
          <w:tcPr>
            <w:tcW w:w="1794" w:type="dxa"/>
            <w:hideMark/>
          </w:tcPr>
          <w:p w14:paraId="7C6644C3"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Illumina</w:t>
            </w:r>
          </w:p>
        </w:tc>
        <w:tc>
          <w:tcPr>
            <w:tcW w:w="3968" w:type="dxa"/>
            <w:hideMark/>
          </w:tcPr>
          <w:p w14:paraId="7A68E9BE"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R01HL112064</w:t>
            </w:r>
          </w:p>
        </w:tc>
        <w:tc>
          <w:tcPr>
            <w:tcW w:w="0" w:type="auto"/>
            <w:hideMark/>
          </w:tcPr>
          <w:p w14:paraId="25DC166F"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560B10" w:rsidRPr="004779A6" w14:paraId="403B66B1" w14:textId="77777777" w:rsidTr="00F345F1">
        <w:tc>
          <w:tcPr>
            <w:tcW w:w="1524" w:type="dxa"/>
            <w:hideMark/>
          </w:tcPr>
          <w:p w14:paraId="14538935"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phs001218</w:t>
            </w:r>
          </w:p>
        </w:tc>
        <w:tc>
          <w:tcPr>
            <w:tcW w:w="1889" w:type="dxa"/>
            <w:hideMark/>
          </w:tcPr>
          <w:p w14:paraId="63C376EA"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GeneSTAR</w:t>
            </w:r>
            <w:proofErr w:type="spellEnd"/>
          </w:p>
        </w:tc>
        <w:tc>
          <w:tcPr>
            <w:tcW w:w="1051" w:type="dxa"/>
            <w:hideMark/>
          </w:tcPr>
          <w:p w14:paraId="5CB5E5D8"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2</w:t>
            </w:r>
          </w:p>
        </w:tc>
        <w:tc>
          <w:tcPr>
            <w:tcW w:w="1927" w:type="dxa"/>
            <w:hideMark/>
          </w:tcPr>
          <w:p w14:paraId="493F6C74"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GeneSTAR</w:t>
            </w:r>
            <w:proofErr w:type="spellEnd"/>
          </w:p>
        </w:tc>
        <w:tc>
          <w:tcPr>
            <w:tcW w:w="1794" w:type="dxa"/>
            <w:hideMark/>
          </w:tcPr>
          <w:p w14:paraId="213087F1" w14:textId="77777777" w:rsidR="004779A6" w:rsidRPr="004779A6" w:rsidRDefault="004779A6" w:rsidP="004779A6">
            <w:pPr>
              <w:spacing w:before="150" w:after="150"/>
              <w:rPr>
                <w:rFonts w:ascii="Times New Roman" w:eastAsia="Times New Roman" w:hAnsi="Times New Roman" w:cs="Times New Roman"/>
                <w:sz w:val="20"/>
                <w:szCs w:val="20"/>
              </w:rPr>
            </w:pPr>
            <w:proofErr w:type="spellStart"/>
            <w:r w:rsidRPr="004779A6">
              <w:rPr>
                <w:rFonts w:ascii="Times New Roman" w:eastAsia="Times New Roman" w:hAnsi="Times New Roman" w:cs="Times New Roman"/>
                <w:sz w:val="20"/>
                <w:szCs w:val="20"/>
              </w:rPr>
              <w:t>Psomagen</w:t>
            </w:r>
            <w:proofErr w:type="spellEnd"/>
          </w:p>
        </w:tc>
        <w:tc>
          <w:tcPr>
            <w:tcW w:w="3968" w:type="dxa"/>
            <w:hideMark/>
          </w:tcPr>
          <w:p w14:paraId="5DDBEE4F"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3R01HL112064-04S1</w:t>
            </w:r>
          </w:p>
        </w:tc>
        <w:tc>
          <w:tcPr>
            <w:tcW w:w="0" w:type="auto"/>
            <w:hideMark/>
          </w:tcPr>
          <w:p w14:paraId="59522AA8" w14:textId="77777777" w:rsidR="004779A6" w:rsidRPr="004779A6" w:rsidRDefault="004779A6" w:rsidP="004779A6">
            <w:pPr>
              <w:spacing w:before="150" w:after="150"/>
              <w:rPr>
                <w:rFonts w:ascii="Times New Roman" w:eastAsia="Times New Roman" w:hAnsi="Times New Roman" w:cs="Times New Roman"/>
                <w:sz w:val="20"/>
                <w:szCs w:val="20"/>
              </w:rPr>
            </w:pPr>
            <w:r w:rsidRPr="004779A6">
              <w:rPr>
                <w:rFonts w:ascii="Times New Roman" w:eastAsia="Times New Roman" w:hAnsi="Times New Roman" w:cs="Times New Roman"/>
                <w:sz w:val="20"/>
                <w:szCs w:val="20"/>
              </w:rPr>
              <w:t>WGS</w:t>
            </w:r>
          </w:p>
        </w:tc>
      </w:tr>
      <w:tr w:rsidR="00560B10" w:rsidRPr="00B52C7B" w14:paraId="4E88465E" w14:textId="77777777" w:rsidTr="00F345F1">
        <w:tc>
          <w:tcPr>
            <w:tcW w:w="1524" w:type="dxa"/>
            <w:hideMark/>
          </w:tcPr>
          <w:p w14:paraId="50783EEA"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phs001359</w:t>
            </w:r>
          </w:p>
        </w:tc>
        <w:tc>
          <w:tcPr>
            <w:tcW w:w="1889" w:type="dxa"/>
            <w:hideMark/>
          </w:tcPr>
          <w:p w14:paraId="301284B4"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GOLDN</w:t>
            </w:r>
          </w:p>
        </w:tc>
        <w:tc>
          <w:tcPr>
            <w:tcW w:w="1051" w:type="dxa"/>
            <w:hideMark/>
          </w:tcPr>
          <w:p w14:paraId="5179C43B"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2</w:t>
            </w:r>
          </w:p>
        </w:tc>
        <w:tc>
          <w:tcPr>
            <w:tcW w:w="1927" w:type="dxa"/>
            <w:hideMark/>
          </w:tcPr>
          <w:p w14:paraId="4769F947"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GOLDN</w:t>
            </w:r>
          </w:p>
        </w:tc>
        <w:tc>
          <w:tcPr>
            <w:tcW w:w="1794" w:type="dxa"/>
            <w:hideMark/>
          </w:tcPr>
          <w:p w14:paraId="478CFD92"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NWGC</w:t>
            </w:r>
          </w:p>
        </w:tc>
        <w:tc>
          <w:tcPr>
            <w:tcW w:w="3968" w:type="dxa"/>
            <w:hideMark/>
          </w:tcPr>
          <w:p w14:paraId="06E8AFA5"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3R01HL104135-04S1</w:t>
            </w:r>
          </w:p>
        </w:tc>
        <w:tc>
          <w:tcPr>
            <w:tcW w:w="0" w:type="auto"/>
            <w:hideMark/>
          </w:tcPr>
          <w:p w14:paraId="27A70C1C"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WGS</w:t>
            </w:r>
          </w:p>
        </w:tc>
      </w:tr>
      <w:tr w:rsidR="00560B10" w:rsidRPr="00B52C7B" w14:paraId="529750B7" w14:textId="77777777" w:rsidTr="00F345F1">
        <w:tc>
          <w:tcPr>
            <w:tcW w:w="1524" w:type="dxa"/>
            <w:hideMark/>
          </w:tcPr>
          <w:p w14:paraId="52BBE67A"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phs001395</w:t>
            </w:r>
          </w:p>
        </w:tc>
        <w:tc>
          <w:tcPr>
            <w:tcW w:w="1889" w:type="dxa"/>
            <w:hideMark/>
          </w:tcPr>
          <w:p w14:paraId="0D85B1A0"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HCHS_SOL</w:t>
            </w:r>
          </w:p>
        </w:tc>
        <w:tc>
          <w:tcPr>
            <w:tcW w:w="1051" w:type="dxa"/>
            <w:hideMark/>
          </w:tcPr>
          <w:p w14:paraId="5CFBF415"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3</w:t>
            </w:r>
          </w:p>
        </w:tc>
        <w:tc>
          <w:tcPr>
            <w:tcW w:w="1927" w:type="dxa"/>
            <w:hideMark/>
          </w:tcPr>
          <w:p w14:paraId="48CFA2DE"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HCHS_SOL</w:t>
            </w:r>
          </w:p>
        </w:tc>
        <w:tc>
          <w:tcPr>
            <w:tcW w:w="1794" w:type="dxa"/>
            <w:hideMark/>
          </w:tcPr>
          <w:p w14:paraId="60A8054C"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Baylor</w:t>
            </w:r>
          </w:p>
        </w:tc>
        <w:tc>
          <w:tcPr>
            <w:tcW w:w="3968" w:type="dxa"/>
            <w:hideMark/>
          </w:tcPr>
          <w:p w14:paraId="28E02EF8"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HHSN268201600033I</w:t>
            </w:r>
          </w:p>
        </w:tc>
        <w:tc>
          <w:tcPr>
            <w:tcW w:w="0" w:type="auto"/>
            <w:hideMark/>
          </w:tcPr>
          <w:p w14:paraId="3B76AB53"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WGS</w:t>
            </w:r>
          </w:p>
        </w:tc>
      </w:tr>
      <w:tr w:rsidR="00560B10" w14:paraId="2E3B751E" w14:textId="77777777" w:rsidTr="00F345F1">
        <w:tc>
          <w:tcPr>
            <w:tcW w:w="1524" w:type="dxa"/>
          </w:tcPr>
          <w:p w14:paraId="478F0E98" w14:textId="1506ABB1" w:rsidR="00B52C7B" w:rsidRPr="00560B10" w:rsidRDefault="00B52C7B" w:rsidP="00B52C7B">
            <w:pPr>
              <w:spacing w:line="480" w:lineRule="auto"/>
              <w:rPr>
                <w:rFonts w:ascii="Times New Roman" w:hAnsi="Times New Roman" w:cs="Times New Roman"/>
                <w:sz w:val="20"/>
                <w:szCs w:val="20"/>
              </w:rPr>
            </w:pPr>
            <w:r w:rsidRPr="00B52C7B">
              <w:rPr>
                <w:rFonts w:ascii="Times New Roman" w:eastAsia="Times New Roman" w:hAnsi="Times New Roman" w:cs="Times New Roman"/>
                <w:sz w:val="20"/>
                <w:szCs w:val="20"/>
              </w:rPr>
              <w:lastRenderedPageBreak/>
              <w:t>phs001293</w:t>
            </w:r>
          </w:p>
        </w:tc>
        <w:tc>
          <w:tcPr>
            <w:tcW w:w="1889" w:type="dxa"/>
          </w:tcPr>
          <w:p w14:paraId="562FC691" w14:textId="3BF55CD3" w:rsidR="00B52C7B" w:rsidRPr="00560B10" w:rsidRDefault="00B52C7B" w:rsidP="00B52C7B">
            <w:pPr>
              <w:spacing w:line="480" w:lineRule="auto"/>
              <w:rPr>
                <w:rFonts w:ascii="Times New Roman" w:hAnsi="Times New Roman" w:cs="Times New Roman"/>
                <w:sz w:val="20"/>
                <w:szCs w:val="20"/>
              </w:rPr>
            </w:pPr>
            <w:proofErr w:type="spellStart"/>
            <w:r w:rsidRPr="00B52C7B">
              <w:rPr>
                <w:rFonts w:ascii="Times New Roman" w:eastAsia="Times New Roman" w:hAnsi="Times New Roman" w:cs="Times New Roman"/>
                <w:sz w:val="20"/>
                <w:szCs w:val="20"/>
              </w:rPr>
              <w:t>HyperGEN</w:t>
            </w:r>
            <w:proofErr w:type="spellEnd"/>
          </w:p>
        </w:tc>
        <w:tc>
          <w:tcPr>
            <w:tcW w:w="1051" w:type="dxa"/>
          </w:tcPr>
          <w:p w14:paraId="01E1915B" w14:textId="4EF6D4FB" w:rsidR="00B52C7B" w:rsidRPr="00560B10" w:rsidRDefault="00B52C7B" w:rsidP="00B52C7B">
            <w:pPr>
              <w:spacing w:line="480" w:lineRule="auto"/>
              <w:rPr>
                <w:rFonts w:ascii="Times New Roman" w:hAnsi="Times New Roman" w:cs="Times New Roman"/>
                <w:sz w:val="20"/>
                <w:szCs w:val="20"/>
              </w:rPr>
            </w:pPr>
            <w:r w:rsidRPr="00B52C7B">
              <w:rPr>
                <w:rFonts w:ascii="Times New Roman" w:eastAsia="Times New Roman" w:hAnsi="Times New Roman" w:cs="Times New Roman"/>
                <w:sz w:val="20"/>
                <w:szCs w:val="20"/>
              </w:rPr>
              <w:t>2</w:t>
            </w:r>
          </w:p>
        </w:tc>
        <w:tc>
          <w:tcPr>
            <w:tcW w:w="1927" w:type="dxa"/>
          </w:tcPr>
          <w:p w14:paraId="4591FA05" w14:textId="6E558237" w:rsidR="00B52C7B" w:rsidRPr="00560B10" w:rsidRDefault="00B52C7B" w:rsidP="00B52C7B">
            <w:pPr>
              <w:spacing w:line="480" w:lineRule="auto"/>
              <w:rPr>
                <w:rFonts w:ascii="Times New Roman" w:hAnsi="Times New Roman" w:cs="Times New Roman"/>
                <w:sz w:val="20"/>
                <w:szCs w:val="20"/>
              </w:rPr>
            </w:pPr>
            <w:proofErr w:type="spellStart"/>
            <w:r w:rsidRPr="00B52C7B">
              <w:rPr>
                <w:rFonts w:ascii="Times New Roman" w:eastAsia="Times New Roman" w:hAnsi="Times New Roman" w:cs="Times New Roman"/>
                <w:sz w:val="20"/>
                <w:szCs w:val="20"/>
              </w:rPr>
              <w:t>HyperGEN_GENOA</w:t>
            </w:r>
            <w:proofErr w:type="spellEnd"/>
          </w:p>
        </w:tc>
        <w:tc>
          <w:tcPr>
            <w:tcW w:w="1794" w:type="dxa"/>
          </w:tcPr>
          <w:p w14:paraId="0C3160DF" w14:textId="61715A6F" w:rsidR="00B52C7B" w:rsidRPr="00560B10" w:rsidRDefault="00B52C7B" w:rsidP="00B52C7B">
            <w:pPr>
              <w:spacing w:line="480" w:lineRule="auto"/>
              <w:rPr>
                <w:rFonts w:ascii="Times New Roman" w:hAnsi="Times New Roman" w:cs="Times New Roman"/>
                <w:sz w:val="20"/>
                <w:szCs w:val="20"/>
              </w:rPr>
            </w:pPr>
            <w:r w:rsidRPr="00B52C7B">
              <w:rPr>
                <w:rFonts w:ascii="Times New Roman" w:eastAsia="Times New Roman" w:hAnsi="Times New Roman" w:cs="Times New Roman"/>
                <w:sz w:val="20"/>
                <w:szCs w:val="20"/>
              </w:rPr>
              <w:t>NWGC</w:t>
            </w:r>
          </w:p>
        </w:tc>
        <w:tc>
          <w:tcPr>
            <w:tcW w:w="3968" w:type="dxa"/>
          </w:tcPr>
          <w:p w14:paraId="5D5E0754" w14:textId="54A7483D" w:rsidR="00B52C7B" w:rsidRPr="00560B10" w:rsidRDefault="00B52C7B" w:rsidP="00B52C7B">
            <w:pPr>
              <w:spacing w:line="480" w:lineRule="auto"/>
              <w:rPr>
                <w:rFonts w:ascii="Times New Roman" w:hAnsi="Times New Roman" w:cs="Times New Roman"/>
                <w:sz w:val="20"/>
                <w:szCs w:val="20"/>
              </w:rPr>
            </w:pPr>
            <w:r w:rsidRPr="00B52C7B">
              <w:rPr>
                <w:rFonts w:ascii="Times New Roman" w:eastAsia="Times New Roman" w:hAnsi="Times New Roman" w:cs="Times New Roman"/>
                <w:sz w:val="20"/>
                <w:szCs w:val="20"/>
              </w:rPr>
              <w:t>3R01HL055673-18S1</w:t>
            </w:r>
          </w:p>
        </w:tc>
        <w:tc>
          <w:tcPr>
            <w:tcW w:w="797" w:type="dxa"/>
          </w:tcPr>
          <w:p w14:paraId="7B4C03D1" w14:textId="308B25ED" w:rsidR="00B52C7B" w:rsidRPr="00560B10" w:rsidRDefault="00B52C7B" w:rsidP="00B52C7B">
            <w:pPr>
              <w:spacing w:line="480" w:lineRule="auto"/>
              <w:rPr>
                <w:rFonts w:ascii="Times New Roman" w:hAnsi="Times New Roman" w:cs="Times New Roman"/>
                <w:sz w:val="20"/>
                <w:szCs w:val="20"/>
              </w:rPr>
            </w:pPr>
            <w:r w:rsidRPr="00B52C7B">
              <w:rPr>
                <w:rFonts w:ascii="Times New Roman" w:eastAsia="Times New Roman" w:hAnsi="Times New Roman" w:cs="Times New Roman"/>
                <w:sz w:val="20"/>
                <w:szCs w:val="20"/>
              </w:rPr>
              <w:t>WGS</w:t>
            </w:r>
          </w:p>
        </w:tc>
      </w:tr>
      <w:tr w:rsidR="00560B10" w:rsidRPr="00B52C7B" w14:paraId="09E785A5" w14:textId="77777777" w:rsidTr="00F345F1">
        <w:tc>
          <w:tcPr>
            <w:tcW w:w="1524" w:type="dxa"/>
            <w:hideMark/>
          </w:tcPr>
          <w:p w14:paraId="7382F832"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phs000993</w:t>
            </w:r>
          </w:p>
        </w:tc>
        <w:tc>
          <w:tcPr>
            <w:tcW w:w="1889" w:type="dxa"/>
            <w:hideMark/>
          </w:tcPr>
          <w:p w14:paraId="027894DF"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HVH</w:t>
            </w:r>
          </w:p>
        </w:tc>
        <w:tc>
          <w:tcPr>
            <w:tcW w:w="1051" w:type="dxa"/>
            <w:hideMark/>
          </w:tcPr>
          <w:p w14:paraId="66F3E87B"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1</w:t>
            </w:r>
          </w:p>
        </w:tc>
        <w:tc>
          <w:tcPr>
            <w:tcW w:w="1927" w:type="dxa"/>
            <w:hideMark/>
          </w:tcPr>
          <w:p w14:paraId="362A9CBD" w14:textId="77777777" w:rsidR="00B52C7B" w:rsidRPr="00B52C7B" w:rsidRDefault="00B52C7B" w:rsidP="00B52C7B">
            <w:pPr>
              <w:spacing w:before="150" w:after="150"/>
              <w:rPr>
                <w:rFonts w:ascii="Times New Roman" w:eastAsia="Times New Roman" w:hAnsi="Times New Roman" w:cs="Times New Roman"/>
                <w:sz w:val="20"/>
                <w:szCs w:val="20"/>
              </w:rPr>
            </w:pPr>
            <w:proofErr w:type="spellStart"/>
            <w:r w:rsidRPr="00B52C7B">
              <w:rPr>
                <w:rFonts w:ascii="Times New Roman" w:eastAsia="Times New Roman" w:hAnsi="Times New Roman" w:cs="Times New Roman"/>
                <w:sz w:val="20"/>
                <w:szCs w:val="20"/>
              </w:rPr>
              <w:t>AFGen</w:t>
            </w:r>
            <w:proofErr w:type="spellEnd"/>
          </w:p>
        </w:tc>
        <w:tc>
          <w:tcPr>
            <w:tcW w:w="1794" w:type="dxa"/>
            <w:hideMark/>
          </w:tcPr>
          <w:p w14:paraId="1BCBD847"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Broad Genomics</w:t>
            </w:r>
          </w:p>
        </w:tc>
        <w:tc>
          <w:tcPr>
            <w:tcW w:w="3968" w:type="dxa"/>
            <w:hideMark/>
          </w:tcPr>
          <w:p w14:paraId="7634D88F"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3R01HL092577-06S1</w:t>
            </w:r>
          </w:p>
        </w:tc>
        <w:tc>
          <w:tcPr>
            <w:tcW w:w="0" w:type="auto"/>
            <w:hideMark/>
          </w:tcPr>
          <w:p w14:paraId="6464CBB3"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WGS</w:t>
            </w:r>
          </w:p>
        </w:tc>
      </w:tr>
      <w:tr w:rsidR="00560B10" w:rsidRPr="00B52C7B" w14:paraId="46EC1A03" w14:textId="77777777" w:rsidTr="00F345F1">
        <w:tc>
          <w:tcPr>
            <w:tcW w:w="1524" w:type="dxa"/>
            <w:hideMark/>
          </w:tcPr>
          <w:p w14:paraId="61A62B45"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phs001607</w:t>
            </w:r>
          </w:p>
        </w:tc>
        <w:tc>
          <w:tcPr>
            <w:tcW w:w="1889" w:type="dxa"/>
            <w:hideMark/>
          </w:tcPr>
          <w:p w14:paraId="3ED6F0E0"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IPF</w:t>
            </w:r>
          </w:p>
        </w:tc>
        <w:tc>
          <w:tcPr>
            <w:tcW w:w="1051" w:type="dxa"/>
            <w:hideMark/>
          </w:tcPr>
          <w:p w14:paraId="56E3900C"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3</w:t>
            </w:r>
          </w:p>
        </w:tc>
        <w:tc>
          <w:tcPr>
            <w:tcW w:w="1927" w:type="dxa"/>
            <w:hideMark/>
          </w:tcPr>
          <w:p w14:paraId="731A11EB"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IPF</w:t>
            </w:r>
          </w:p>
        </w:tc>
        <w:tc>
          <w:tcPr>
            <w:tcW w:w="1794" w:type="dxa"/>
            <w:hideMark/>
          </w:tcPr>
          <w:p w14:paraId="4A2E6459"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MGI</w:t>
            </w:r>
          </w:p>
        </w:tc>
        <w:tc>
          <w:tcPr>
            <w:tcW w:w="3968" w:type="dxa"/>
            <w:hideMark/>
          </w:tcPr>
          <w:p w14:paraId="70CC8D76"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HHSN268201600037I</w:t>
            </w:r>
          </w:p>
        </w:tc>
        <w:tc>
          <w:tcPr>
            <w:tcW w:w="0" w:type="auto"/>
            <w:hideMark/>
          </w:tcPr>
          <w:p w14:paraId="725BCD9E"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WGS</w:t>
            </w:r>
          </w:p>
        </w:tc>
      </w:tr>
      <w:tr w:rsidR="00560B10" w:rsidRPr="00B52C7B" w14:paraId="270E3AC3" w14:textId="77777777" w:rsidTr="00F345F1">
        <w:tc>
          <w:tcPr>
            <w:tcW w:w="1524" w:type="dxa"/>
            <w:hideMark/>
          </w:tcPr>
          <w:p w14:paraId="009CD36B"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phs001416</w:t>
            </w:r>
          </w:p>
        </w:tc>
        <w:tc>
          <w:tcPr>
            <w:tcW w:w="1889" w:type="dxa"/>
            <w:hideMark/>
          </w:tcPr>
          <w:p w14:paraId="1B675590"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MESA AA_CAC</w:t>
            </w:r>
          </w:p>
        </w:tc>
        <w:tc>
          <w:tcPr>
            <w:tcW w:w="1051" w:type="dxa"/>
            <w:hideMark/>
          </w:tcPr>
          <w:p w14:paraId="664A36CD"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2</w:t>
            </w:r>
          </w:p>
        </w:tc>
        <w:tc>
          <w:tcPr>
            <w:tcW w:w="1927" w:type="dxa"/>
            <w:hideMark/>
          </w:tcPr>
          <w:p w14:paraId="4825325F"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AA_CAC</w:t>
            </w:r>
          </w:p>
        </w:tc>
        <w:tc>
          <w:tcPr>
            <w:tcW w:w="1794" w:type="dxa"/>
            <w:hideMark/>
          </w:tcPr>
          <w:p w14:paraId="560A4B37"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Broad Genomics</w:t>
            </w:r>
          </w:p>
        </w:tc>
        <w:tc>
          <w:tcPr>
            <w:tcW w:w="3968" w:type="dxa"/>
            <w:hideMark/>
          </w:tcPr>
          <w:p w14:paraId="63F45B9D"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HHSN268201500014C</w:t>
            </w:r>
          </w:p>
        </w:tc>
        <w:tc>
          <w:tcPr>
            <w:tcW w:w="0" w:type="auto"/>
            <w:hideMark/>
          </w:tcPr>
          <w:p w14:paraId="306B7FAF" w14:textId="77777777" w:rsidR="00B52C7B" w:rsidRPr="00B52C7B" w:rsidRDefault="00B52C7B" w:rsidP="00B52C7B">
            <w:pPr>
              <w:spacing w:before="150" w:after="150"/>
              <w:rPr>
                <w:rFonts w:ascii="Times New Roman" w:eastAsia="Times New Roman" w:hAnsi="Times New Roman" w:cs="Times New Roman"/>
                <w:sz w:val="20"/>
                <w:szCs w:val="20"/>
              </w:rPr>
            </w:pPr>
            <w:r w:rsidRPr="00B52C7B">
              <w:rPr>
                <w:rFonts w:ascii="Times New Roman" w:eastAsia="Times New Roman" w:hAnsi="Times New Roman" w:cs="Times New Roman"/>
                <w:sz w:val="20"/>
                <w:szCs w:val="20"/>
              </w:rPr>
              <w:t>WGS</w:t>
            </w:r>
          </w:p>
        </w:tc>
      </w:tr>
      <w:tr w:rsidR="00560B10" w:rsidRPr="009E2D83" w14:paraId="60189C6C" w14:textId="77777777" w:rsidTr="00F345F1">
        <w:tc>
          <w:tcPr>
            <w:tcW w:w="1524" w:type="dxa"/>
            <w:hideMark/>
          </w:tcPr>
          <w:p w14:paraId="3070012F"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phs001544</w:t>
            </w:r>
          </w:p>
        </w:tc>
        <w:tc>
          <w:tcPr>
            <w:tcW w:w="1889" w:type="dxa"/>
            <w:hideMark/>
          </w:tcPr>
          <w:p w14:paraId="53EA4403"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MPP</w:t>
            </w:r>
          </w:p>
        </w:tc>
        <w:tc>
          <w:tcPr>
            <w:tcW w:w="1051" w:type="dxa"/>
            <w:hideMark/>
          </w:tcPr>
          <w:p w14:paraId="5D3FFC0F"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2.4</w:t>
            </w:r>
          </w:p>
        </w:tc>
        <w:tc>
          <w:tcPr>
            <w:tcW w:w="1927" w:type="dxa"/>
            <w:hideMark/>
          </w:tcPr>
          <w:p w14:paraId="7AB5A489" w14:textId="77777777" w:rsidR="009E2D83" w:rsidRPr="009E2D83" w:rsidRDefault="009E2D83" w:rsidP="009E2D83">
            <w:pPr>
              <w:spacing w:before="150" w:after="150"/>
              <w:rPr>
                <w:rFonts w:ascii="Times New Roman" w:eastAsia="Times New Roman" w:hAnsi="Times New Roman" w:cs="Times New Roman"/>
                <w:sz w:val="20"/>
                <w:szCs w:val="20"/>
              </w:rPr>
            </w:pPr>
            <w:proofErr w:type="spellStart"/>
            <w:r w:rsidRPr="009E2D83">
              <w:rPr>
                <w:rFonts w:ascii="Times New Roman" w:eastAsia="Times New Roman" w:hAnsi="Times New Roman" w:cs="Times New Roman"/>
                <w:sz w:val="20"/>
                <w:szCs w:val="20"/>
              </w:rPr>
              <w:t>AFGen</w:t>
            </w:r>
            <w:proofErr w:type="spellEnd"/>
          </w:p>
        </w:tc>
        <w:tc>
          <w:tcPr>
            <w:tcW w:w="1794" w:type="dxa"/>
            <w:hideMark/>
          </w:tcPr>
          <w:p w14:paraId="25761ADA"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Broad Genomics</w:t>
            </w:r>
          </w:p>
        </w:tc>
        <w:tc>
          <w:tcPr>
            <w:tcW w:w="3968" w:type="dxa"/>
            <w:hideMark/>
          </w:tcPr>
          <w:p w14:paraId="3EF0D312"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3UM1HG008895-01S2</w:t>
            </w:r>
          </w:p>
        </w:tc>
        <w:tc>
          <w:tcPr>
            <w:tcW w:w="0" w:type="auto"/>
            <w:hideMark/>
          </w:tcPr>
          <w:p w14:paraId="37DE2405"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WGS</w:t>
            </w:r>
          </w:p>
        </w:tc>
      </w:tr>
      <w:tr w:rsidR="00DC3058" w:rsidRPr="009E2D83" w14:paraId="6C7B98C5" w14:textId="77777777" w:rsidTr="00F345F1">
        <w:tc>
          <w:tcPr>
            <w:tcW w:w="1524" w:type="dxa"/>
            <w:hideMark/>
          </w:tcPr>
          <w:p w14:paraId="692E6132"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phs001601</w:t>
            </w:r>
          </w:p>
        </w:tc>
        <w:tc>
          <w:tcPr>
            <w:tcW w:w="1889" w:type="dxa"/>
            <w:hideMark/>
          </w:tcPr>
          <w:p w14:paraId="3353ADE1"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PMBB_AF</w:t>
            </w:r>
          </w:p>
        </w:tc>
        <w:tc>
          <w:tcPr>
            <w:tcW w:w="1051" w:type="dxa"/>
            <w:hideMark/>
          </w:tcPr>
          <w:p w14:paraId="2C426E1A"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2.4</w:t>
            </w:r>
          </w:p>
        </w:tc>
        <w:tc>
          <w:tcPr>
            <w:tcW w:w="1927" w:type="dxa"/>
            <w:hideMark/>
          </w:tcPr>
          <w:p w14:paraId="0B869B5D" w14:textId="77777777" w:rsidR="009E2D83" w:rsidRPr="009E2D83" w:rsidRDefault="009E2D83" w:rsidP="009E2D83">
            <w:pPr>
              <w:spacing w:before="150" w:after="150"/>
              <w:rPr>
                <w:rFonts w:ascii="Times New Roman" w:eastAsia="Times New Roman" w:hAnsi="Times New Roman" w:cs="Times New Roman"/>
                <w:sz w:val="20"/>
                <w:szCs w:val="20"/>
              </w:rPr>
            </w:pPr>
            <w:proofErr w:type="spellStart"/>
            <w:r w:rsidRPr="009E2D83">
              <w:rPr>
                <w:rFonts w:ascii="Times New Roman" w:eastAsia="Times New Roman" w:hAnsi="Times New Roman" w:cs="Times New Roman"/>
                <w:sz w:val="20"/>
                <w:szCs w:val="20"/>
              </w:rPr>
              <w:t>AFGen</w:t>
            </w:r>
            <w:proofErr w:type="spellEnd"/>
          </w:p>
        </w:tc>
        <w:tc>
          <w:tcPr>
            <w:tcW w:w="1794" w:type="dxa"/>
            <w:hideMark/>
          </w:tcPr>
          <w:p w14:paraId="4602EFF0"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Broad Genomics</w:t>
            </w:r>
          </w:p>
        </w:tc>
        <w:tc>
          <w:tcPr>
            <w:tcW w:w="3968" w:type="dxa"/>
            <w:hideMark/>
          </w:tcPr>
          <w:p w14:paraId="79BBAA05"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3UM1HG008895-01S2</w:t>
            </w:r>
          </w:p>
        </w:tc>
        <w:tc>
          <w:tcPr>
            <w:tcW w:w="0" w:type="auto"/>
            <w:hideMark/>
          </w:tcPr>
          <w:p w14:paraId="2F7667DF" w14:textId="77777777" w:rsidR="009E2D83" w:rsidRPr="009E2D83" w:rsidRDefault="009E2D83" w:rsidP="009E2D83">
            <w:pPr>
              <w:spacing w:before="150" w:after="150"/>
              <w:rPr>
                <w:rFonts w:ascii="Times New Roman" w:eastAsia="Times New Roman" w:hAnsi="Times New Roman" w:cs="Times New Roman"/>
                <w:sz w:val="20"/>
                <w:szCs w:val="20"/>
              </w:rPr>
            </w:pPr>
            <w:r w:rsidRPr="009E2D83">
              <w:rPr>
                <w:rFonts w:ascii="Times New Roman" w:eastAsia="Times New Roman" w:hAnsi="Times New Roman" w:cs="Times New Roman"/>
                <w:sz w:val="20"/>
                <w:szCs w:val="20"/>
              </w:rPr>
              <w:t>WGS</w:t>
            </w:r>
          </w:p>
        </w:tc>
      </w:tr>
      <w:tr w:rsidR="00DC3058" w:rsidRPr="00DC3058" w14:paraId="36069166" w14:textId="77777777" w:rsidTr="00F345F1">
        <w:tc>
          <w:tcPr>
            <w:tcW w:w="1524" w:type="dxa"/>
            <w:hideMark/>
          </w:tcPr>
          <w:p w14:paraId="46D3B58F"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phs001215</w:t>
            </w:r>
          </w:p>
        </w:tc>
        <w:tc>
          <w:tcPr>
            <w:tcW w:w="1889" w:type="dxa"/>
            <w:hideMark/>
          </w:tcPr>
          <w:p w14:paraId="42E91108"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SAFS</w:t>
            </w:r>
          </w:p>
        </w:tc>
        <w:tc>
          <w:tcPr>
            <w:tcW w:w="1051" w:type="dxa"/>
            <w:hideMark/>
          </w:tcPr>
          <w:p w14:paraId="023F30D5"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1</w:t>
            </w:r>
          </w:p>
        </w:tc>
        <w:tc>
          <w:tcPr>
            <w:tcW w:w="1927" w:type="dxa"/>
            <w:hideMark/>
          </w:tcPr>
          <w:p w14:paraId="4D411573"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SAFS</w:t>
            </w:r>
          </w:p>
        </w:tc>
        <w:tc>
          <w:tcPr>
            <w:tcW w:w="1794" w:type="dxa"/>
            <w:hideMark/>
          </w:tcPr>
          <w:p w14:paraId="54E0ADDA"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Illumina</w:t>
            </w:r>
          </w:p>
        </w:tc>
        <w:tc>
          <w:tcPr>
            <w:tcW w:w="3968" w:type="dxa"/>
            <w:hideMark/>
          </w:tcPr>
          <w:p w14:paraId="4A7A6334"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3R01HL113323-03S1</w:t>
            </w:r>
          </w:p>
        </w:tc>
        <w:tc>
          <w:tcPr>
            <w:tcW w:w="0" w:type="auto"/>
            <w:hideMark/>
          </w:tcPr>
          <w:p w14:paraId="543CA804"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WGS</w:t>
            </w:r>
          </w:p>
        </w:tc>
      </w:tr>
      <w:tr w:rsidR="00DC3058" w:rsidRPr="00DC3058" w14:paraId="2238FAE3" w14:textId="77777777" w:rsidTr="00F345F1">
        <w:tc>
          <w:tcPr>
            <w:tcW w:w="1524" w:type="dxa"/>
            <w:hideMark/>
          </w:tcPr>
          <w:p w14:paraId="1E6E8A18"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phs001215</w:t>
            </w:r>
          </w:p>
        </w:tc>
        <w:tc>
          <w:tcPr>
            <w:tcW w:w="1889" w:type="dxa"/>
            <w:hideMark/>
          </w:tcPr>
          <w:p w14:paraId="11B475D7"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SAFS</w:t>
            </w:r>
          </w:p>
        </w:tc>
        <w:tc>
          <w:tcPr>
            <w:tcW w:w="1051" w:type="dxa"/>
            <w:hideMark/>
          </w:tcPr>
          <w:p w14:paraId="531978A5"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legacy</w:t>
            </w:r>
          </w:p>
        </w:tc>
        <w:tc>
          <w:tcPr>
            <w:tcW w:w="1927" w:type="dxa"/>
            <w:hideMark/>
          </w:tcPr>
          <w:p w14:paraId="13362CFB"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SAFS</w:t>
            </w:r>
          </w:p>
        </w:tc>
        <w:tc>
          <w:tcPr>
            <w:tcW w:w="1794" w:type="dxa"/>
            <w:hideMark/>
          </w:tcPr>
          <w:p w14:paraId="20686743"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Illumina</w:t>
            </w:r>
          </w:p>
        </w:tc>
        <w:tc>
          <w:tcPr>
            <w:tcW w:w="3968" w:type="dxa"/>
            <w:hideMark/>
          </w:tcPr>
          <w:p w14:paraId="604E3327"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R01HL113322</w:t>
            </w:r>
          </w:p>
        </w:tc>
        <w:tc>
          <w:tcPr>
            <w:tcW w:w="0" w:type="auto"/>
            <w:hideMark/>
          </w:tcPr>
          <w:p w14:paraId="330D59C0"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WGS</w:t>
            </w:r>
          </w:p>
        </w:tc>
      </w:tr>
      <w:tr w:rsidR="00DC3058" w:rsidRPr="00DC3058" w14:paraId="209EDD92" w14:textId="77777777" w:rsidTr="00F345F1">
        <w:tc>
          <w:tcPr>
            <w:tcW w:w="1524" w:type="dxa"/>
            <w:hideMark/>
          </w:tcPr>
          <w:p w14:paraId="7BF20DA0"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phs001446</w:t>
            </w:r>
          </w:p>
        </w:tc>
        <w:tc>
          <w:tcPr>
            <w:tcW w:w="1889" w:type="dxa"/>
            <w:hideMark/>
          </w:tcPr>
          <w:p w14:paraId="10019F66"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SARP</w:t>
            </w:r>
          </w:p>
        </w:tc>
        <w:tc>
          <w:tcPr>
            <w:tcW w:w="1051" w:type="dxa"/>
            <w:hideMark/>
          </w:tcPr>
          <w:p w14:paraId="294CD1AA"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2</w:t>
            </w:r>
          </w:p>
        </w:tc>
        <w:tc>
          <w:tcPr>
            <w:tcW w:w="1927" w:type="dxa"/>
            <w:hideMark/>
          </w:tcPr>
          <w:p w14:paraId="031436C9"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SARP</w:t>
            </w:r>
          </w:p>
        </w:tc>
        <w:tc>
          <w:tcPr>
            <w:tcW w:w="1794" w:type="dxa"/>
            <w:hideMark/>
          </w:tcPr>
          <w:p w14:paraId="39867032"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NYGC Genomics</w:t>
            </w:r>
          </w:p>
        </w:tc>
        <w:tc>
          <w:tcPr>
            <w:tcW w:w="3968" w:type="dxa"/>
            <w:hideMark/>
          </w:tcPr>
          <w:p w14:paraId="758B0A53"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HHSN268201500016C</w:t>
            </w:r>
          </w:p>
        </w:tc>
        <w:tc>
          <w:tcPr>
            <w:tcW w:w="0" w:type="auto"/>
            <w:hideMark/>
          </w:tcPr>
          <w:p w14:paraId="72181307"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WGS</w:t>
            </w:r>
          </w:p>
        </w:tc>
      </w:tr>
      <w:tr w:rsidR="00DC3058" w:rsidRPr="00DC3058" w14:paraId="103332E1" w14:textId="77777777" w:rsidTr="00F345F1">
        <w:tc>
          <w:tcPr>
            <w:tcW w:w="1524" w:type="dxa"/>
            <w:hideMark/>
          </w:tcPr>
          <w:p w14:paraId="3914A91A"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phs001402</w:t>
            </w:r>
          </w:p>
        </w:tc>
        <w:tc>
          <w:tcPr>
            <w:tcW w:w="1889" w:type="dxa"/>
            <w:hideMark/>
          </w:tcPr>
          <w:p w14:paraId="68A80CC1" w14:textId="77777777" w:rsidR="00DC3058" w:rsidRPr="00DC3058" w:rsidRDefault="00DC3058" w:rsidP="00DC3058">
            <w:pPr>
              <w:spacing w:before="150" w:after="150"/>
              <w:rPr>
                <w:rFonts w:ascii="Times New Roman" w:eastAsia="Times New Roman" w:hAnsi="Times New Roman" w:cs="Times New Roman"/>
                <w:sz w:val="20"/>
                <w:szCs w:val="20"/>
              </w:rPr>
            </w:pPr>
            <w:proofErr w:type="spellStart"/>
            <w:r w:rsidRPr="00DC3058">
              <w:rPr>
                <w:rFonts w:ascii="Times New Roman" w:eastAsia="Times New Roman" w:hAnsi="Times New Roman" w:cs="Times New Roman"/>
                <w:sz w:val="20"/>
                <w:szCs w:val="20"/>
              </w:rPr>
              <w:t>Mayo_VTE</w:t>
            </w:r>
            <w:proofErr w:type="spellEnd"/>
          </w:p>
        </w:tc>
        <w:tc>
          <w:tcPr>
            <w:tcW w:w="1051" w:type="dxa"/>
            <w:hideMark/>
          </w:tcPr>
          <w:p w14:paraId="11FE3ECE"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2</w:t>
            </w:r>
          </w:p>
        </w:tc>
        <w:tc>
          <w:tcPr>
            <w:tcW w:w="1927" w:type="dxa"/>
            <w:hideMark/>
          </w:tcPr>
          <w:p w14:paraId="61BC0D85"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VTE</w:t>
            </w:r>
          </w:p>
        </w:tc>
        <w:tc>
          <w:tcPr>
            <w:tcW w:w="1794" w:type="dxa"/>
            <w:hideMark/>
          </w:tcPr>
          <w:p w14:paraId="065F995C"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Baylor</w:t>
            </w:r>
          </w:p>
        </w:tc>
        <w:tc>
          <w:tcPr>
            <w:tcW w:w="3968" w:type="dxa"/>
            <w:hideMark/>
          </w:tcPr>
          <w:p w14:paraId="1C8B236F" w14:textId="5080F796"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3U54HG003273-12S2 / HSN268201500015C</w:t>
            </w:r>
          </w:p>
        </w:tc>
        <w:tc>
          <w:tcPr>
            <w:tcW w:w="0" w:type="auto"/>
            <w:hideMark/>
          </w:tcPr>
          <w:p w14:paraId="20DB17F7"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WGS</w:t>
            </w:r>
          </w:p>
        </w:tc>
      </w:tr>
      <w:tr w:rsidR="00560B10" w:rsidRPr="00DC3058" w14:paraId="58F33C70" w14:textId="77777777" w:rsidTr="00F345F1">
        <w:tc>
          <w:tcPr>
            <w:tcW w:w="1524" w:type="dxa"/>
            <w:hideMark/>
          </w:tcPr>
          <w:p w14:paraId="0E022D49"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phs001514</w:t>
            </w:r>
          </w:p>
        </w:tc>
        <w:tc>
          <w:tcPr>
            <w:tcW w:w="1889" w:type="dxa"/>
            <w:hideMark/>
          </w:tcPr>
          <w:p w14:paraId="0490046B" w14:textId="77777777" w:rsidR="00DC3058" w:rsidRPr="00DC3058" w:rsidRDefault="00DC3058" w:rsidP="00DC3058">
            <w:pPr>
              <w:spacing w:before="150" w:after="150"/>
              <w:rPr>
                <w:rFonts w:ascii="Times New Roman" w:eastAsia="Times New Roman" w:hAnsi="Times New Roman" w:cs="Times New Roman"/>
                <w:sz w:val="20"/>
                <w:szCs w:val="20"/>
              </w:rPr>
            </w:pPr>
            <w:proofErr w:type="spellStart"/>
            <w:r w:rsidRPr="00DC3058">
              <w:rPr>
                <w:rFonts w:ascii="Times New Roman" w:eastAsia="Times New Roman" w:hAnsi="Times New Roman" w:cs="Times New Roman"/>
                <w:sz w:val="20"/>
                <w:szCs w:val="20"/>
              </w:rPr>
              <w:t>walk_PHaSST</w:t>
            </w:r>
            <w:proofErr w:type="spellEnd"/>
          </w:p>
        </w:tc>
        <w:tc>
          <w:tcPr>
            <w:tcW w:w="1051" w:type="dxa"/>
            <w:hideMark/>
          </w:tcPr>
          <w:p w14:paraId="24062782"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2</w:t>
            </w:r>
          </w:p>
        </w:tc>
        <w:tc>
          <w:tcPr>
            <w:tcW w:w="1927" w:type="dxa"/>
            <w:hideMark/>
          </w:tcPr>
          <w:p w14:paraId="1B266744" w14:textId="77777777" w:rsidR="00DC3058" w:rsidRPr="00DC3058" w:rsidRDefault="00DC3058" w:rsidP="00DC3058">
            <w:pPr>
              <w:spacing w:before="150" w:after="150"/>
              <w:rPr>
                <w:rFonts w:ascii="Times New Roman" w:eastAsia="Times New Roman" w:hAnsi="Times New Roman" w:cs="Times New Roman"/>
                <w:sz w:val="20"/>
                <w:szCs w:val="20"/>
              </w:rPr>
            </w:pPr>
            <w:proofErr w:type="spellStart"/>
            <w:r w:rsidRPr="00DC3058">
              <w:rPr>
                <w:rFonts w:ascii="Times New Roman" w:eastAsia="Times New Roman" w:hAnsi="Times New Roman" w:cs="Times New Roman"/>
                <w:sz w:val="20"/>
                <w:szCs w:val="20"/>
              </w:rPr>
              <w:t>walk_PHaSST</w:t>
            </w:r>
            <w:proofErr w:type="spellEnd"/>
          </w:p>
        </w:tc>
        <w:tc>
          <w:tcPr>
            <w:tcW w:w="1794" w:type="dxa"/>
            <w:hideMark/>
          </w:tcPr>
          <w:p w14:paraId="2B5468A8"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Baylor</w:t>
            </w:r>
          </w:p>
        </w:tc>
        <w:tc>
          <w:tcPr>
            <w:tcW w:w="3968" w:type="dxa"/>
            <w:hideMark/>
          </w:tcPr>
          <w:p w14:paraId="603FBD69"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HHSN268201500015C</w:t>
            </w:r>
          </w:p>
        </w:tc>
        <w:tc>
          <w:tcPr>
            <w:tcW w:w="0" w:type="auto"/>
            <w:hideMark/>
          </w:tcPr>
          <w:p w14:paraId="085250D2"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WGS</w:t>
            </w:r>
          </w:p>
        </w:tc>
      </w:tr>
      <w:tr w:rsidR="00560B10" w:rsidRPr="00DC3058" w14:paraId="6C033B34" w14:textId="77777777" w:rsidTr="00F345F1">
        <w:tc>
          <w:tcPr>
            <w:tcW w:w="1524" w:type="dxa"/>
            <w:hideMark/>
          </w:tcPr>
          <w:p w14:paraId="69C1A92D"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phs001237</w:t>
            </w:r>
          </w:p>
        </w:tc>
        <w:tc>
          <w:tcPr>
            <w:tcW w:w="1889" w:type="dxa"/>
            <w:hideMark/>
          </w:tcPr>
          <w:p w14:paraId="45840940"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WHI</w:t>
            </w:r>
          </w:p>
        </w:tc>
        <w:tc>
          <w:tcPr>
            <w:tcW w:w="1051" w:type="dxa"/>
            <w:hideMark/>
          </w:tcPr>
          <w:p w14:paraId="7563B749"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2</w:t>
            </w:r>
          </w:p>
        </w:tc>
        <w:tc>
          <w:tcPr>
            <w:tcW w:w="1927" w:type="dxa"/>
            <w:hideMark/>
          </w:tcPr>
          <w:p w14:paraId="0D7B5FF6"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WHI</w:t>
            </w:r>
          </w:p>
        </w:tc>
        <w:tc>
          <w:tcPr>
            <w:tcW w:w="1794" w:type="dxa"/>
            <w:hideMark/>
          </w:tcPr>
          <w:p w14:paraId="511D1E55"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Broad Genomics</w:t>
            </w:r>
          </w:p>
        </w:tc>
        <w:tc>
          <w:tcPr>
            <w:tcW w:w="3968" w:type="dxa"/>
            <w:hideMark/>
          </w:tcPr>
          <w:p w14:paraId="65218508"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HHSN268201500014C</w:t>
            </w:r>
          </w:p>
        </w:tc>
        <w:tc>
          <w:tcPr>
            <w:tcW w:w="0" w:type="auto"/>
            <w:hideMark/>
          </w:tcPr>
          <w:p w14:paraId="51F98229" w14:textId="77777777" w:rsidR="00DC3058" w:rsidRPr="00DC3058" w:rsidRDefault="00DC3058" w:rsidP="00DC3058">
            <w:pPr>
              <w:spacing w:before="150" w:after="150"/>
              <w:rPr>
                <w:rFonts w:ascii="Times New Roman" w:eastAsia="Times New Roman" w:hAnsi="Times New Roman" w:cs="Times New Roman"/>
                <w:sz w:val="20"/>
                <w:szCs w:val="20"/>
              </w:rPr>
            </w:pPr>
            <w:r w:rsidRPr="00DC3058">
              <w:rPr>
                <w:rFonts w:ascii="Times New Roman" w:eastAsia="Times New Roman" w:hAnsi="Times New Roman" w:cs="Times New Roman"/>
                <w:sz w:val="20"/>
                <w:szCs w:val="20"/>
              </w:rPr>
              <w:t>WGS</w:t>
            </w:r>
          </w:p>
        </w:tc>
      </w:tr>
    </w:tbl>
    <w:p w14:paraId="0C24C1CC" w14:textId="0CBB7791" w:rsidR="007B5719" w:rsidRDefault="007B5719" w:rsidP="002B2A7B">
      <w:pPr>
        <w:rPr>
          <w:rFonts w:ascii="Times New Roman" w:hAnsi="Times New Roman" w:cs="Times New Roman"/>
          <w:b/>
          <w:bCs/>
        </w:rPr>
      </w:pPr>
      <w:r>
        <w:rPr>
          <w:rFonts w:ascii="Times New Roman" w:hAnsi="Times New Roman" w:cs="Times New Roman"/>
          <w:b/>
          <w:bCs/>
        </w:rPr>
        <w:br w:type="page"/>
      </w:r>
    </w:p>
    <w:p w14:paraId="4FB3EC84" w14:textId="77777777" w:rsidR="00720006" w:rsidRDefault="00720006" w:rsidP="002B2A7B">
      <w:pPr>
        <w:rPr>
          <w:rFonts w:ascii="Times New Roman" w:hAnsi="Times New Roman" w:cs="Times New Roman"/>
          <w:b/>
          <w:bCs/>
        </w:rPr>
      </w:pPr>
      <w:r>
        <w:rPr>
          <w:rFonts w:ascii="Times New Roman" w:hAnsi="Times New Roman" w:cs="Times New Roman"/>
          <w:b/>
          <w:bCs/>
        </w:rPr>
        <w:lastRenderedPageBreak/>
        <w:t xml:space="preserve">5. Full </w:t>
      </w:r>
      <w:proofErr w:type="spellStart"/>
      <w:r>
        <w:rPr>
          <w:rFonts w:ascii="Times New Roman" w:hAnsi="Times New Roman" w:cs="Times New Roman"/>
          <w:b/>
          <w:bCs/>
        </w:rPr>
        <w:t>TOPMed</w:t>
      </w:r>
      <w:proofErr w:type="spellEnd"/>
      <w:r>
        <w:rPr>
          <w:rFonts w:ascii="Times New Roman" w:hAnsi="Times New Roman" w:cs="Times New Roman"/>
          <w:b/>
          <w:bCs/>
        </w:rPr>
        <w:t xml:space="preserve"> Banner Authorship list</w:t>
      </w:r>
    </w:p>
    <w:p w14:paraId="0EE6B405" w14:textId="2D4167F0" w:rsidR="00720006" w:rsidRPr="00720006" w:rsidRDefault="00720006" w:rsidP="002B2A7B">
      <w:pPr>
        <w:rPr>
          <w:rFonts w:ascii="Times New Roman" w:hAnsi="Times New Roman" w:cs="Times New Roman"/>
        </w:rPr>
      </w:pPr>
      <w:r w:rsidRPr="00720006">
        <w:rPr>
          <w:rFonts w:ascii="Times New Roman" w:hAnsi="Times New Roman" w:cs="Times New Roman"/>
        </w:rPr>
        <w:t xml:space="preserve">Full </w:t>
      </w:r>
      <w:proofErr w:type="spellStart"/>
      <w:r w:rsidRPr="00720006">
        <w:rPr>
          <w:rFonts w:ascii="Times New Roman" w:hAnsi="Times New Roman" w:cs="Times New Roman"/>
        </w:rPr>
        <w:t>TOPMed</w:t>
      </w:r>
      <w:proofErr w:type="spellEnd"/>
      <w:r w:rsidRPr="00720006">
        <w:rPr>
          <w:rFonts w:ascii="Times New Roman" w:hAnsi="Times New Roman" w:cs="Times New Roman"/>
        </w:rPr>
        <w:t xml:space="preserve"> Banner authorship list can be found here: https://www.nhlbiwgs.org/topmed-banner-authorship</w:t>
      </w:r>
    </w:p>
    <w:p w14:paraId="57FF4B4D" w14:textId="77777777" w:rsidR="00720006" w:rsidRDefault="00720006" w:rsidP="002B2A7B">
      <w:pPr>
        <w:rPr>
          <w:rFonts w:ascii="Times New Roman" w:hAnsi="Times New Roman" w:cs="Times New Roman"/>
          <w:b/>
          <w:bCs/>
        </w:rPr>
      </w:pPr>
    </w:p>
    <w:p w14:paraId="4A167D1B" w14:textId="77777777" w:rsidR="00577A8B" w:rsidRPr="00DF3C33" w:rsidRDefault="00577A8B" w:rsidP="00577A8B">
      <w:pPr>
        <w:spacing w:line="480" w:lineRule="auto"/>
        <w:rPr>
          <w:rFonts w:ascii="Times New Roman" w:hAnsi="Times New Roman" w:cs="Times New Roman"/>
        </w:rPr>
      </w:pPr>
    </w:p>
    <w:sectPr w:rsidR="00577A8B" w:rsidRPr="00DF3C33" w:rsidSect="007B57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4043B"/>
    <w:multiLevelType w:val="hybridMultilevel"/>
    <w:tmpl w:val="CF28A970"/>
    <w:lvl w:ilvl="0" w:tplc="E9E0B31C">
      <w:start w:val="1"/>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100AED"/>
    <w:multiLevelType w:val="hybridMultilevel"/>
    <w:tmpl w:val="547A318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22AA7B16"/>
    <w:multiLevelType w:val="hybridMultilevel"/>
    <w:tmpl w:val="6F3E0CD2"/>
    <w:lvl w:ilvl="0" w:tplc="D0A6FD64">
      <w:start w:val="1"/>
      <w:numFmt w:val="bullet"/>
      <w:lvlText w:val="-"/>
      <w:lvlJc w:val="left"/>
      <w:pPr>
        <w:ind w:left="1850" w:hanging="360"/>
      </w:pPr>
      <w:rPr>
        <w:rFonts w:ascii="Calibri" w:eastAsiaTheme="minorEastAsia" w:hAnsi="Calibri" w:cs="Calibri"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3" w15:restartNumberingAfterBreak="0">
    <w:nsid w:val="3EF90630"/>
    <w:multiLevelType w:val="hybridMultilevel"/>
    <w:tmpl w:val="9A4CF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7A7140"/>
    <w:multiLevelType w:val="hybridMultilevel"/>
    <w:tmpl w:val="0F1A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E0042"/>
    <w:multiLevelType w:val="hybridMultilevel"/>
    <w:tmpl w:val="0C662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314A58"/>
    <w:multiLevelType w:val="hybridMultilevel"/>
    <w:tmpl w:val="A3C40DFE"/>
    <w:lvl w:ilvl="0" w:tplc="E9E0B31C">
      <w:start w:val="1"/>
      <w:numFmt w:val="bullet"/>
      <w:lvlText w:val="-"/>
      <w:lvlJc w:val="left"/>
      <w:pPr>
        <w:ind w:left="2625" w:hanging="360"/>
      </w:pPr>
      <w:rPr>
        <w:rFonts w:ascii="Calibri" w:eastAsiaTheme="minorEastAsia" w:hAnsi="Calibri" w:cs="Calibri" w:hint="default"/>
      </w:rPr>
    </w:lvl>
    <w:lvl w:ilvl="1" w:tplc="04090003">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71AA5569"/>
    <w:multiLevelType w:val="hybridMultilevel"/>
    <w:tmpl w:val="E5FA2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733D49"/>
    <w:multiLevelType w:val="hybridMultilevel"/>
    <w:tmpl w:val="D478A8D4"/>
    <w:lvl w:ilvl="0" w:tplc="E9E0B31C">
      <w:start w:val="1"/>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5352B"/>
    <w:multiLevelType w:val="hybridMultilevel"/>
    <w:tmpl w:val="FB8239E8"/>
    <w:lvl w:ilvl="0" w:tplc="E9E0B31C">
      <w:start w:val="1"/>
      <w:numFmt w:val="bullet"/>
      <w:lvlText w:val="-"/>
      <w:lvlJc w:val="left"/>
      <w:pPr>
        <w:ind w:left="1800" w:hanging="360"/>
      </w:pPr>
      <w:rPr>
        <w:rFonts w:ascii="Calibri" w:eastAsiaTheme="minorEastAsia"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3"/>
  </w:num>
  <w:num w:numId="6">
    <w:abstractNumId w:val="6"/>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9F"/>
    <w:rsid w:val="00012390"/>
    <w:rsid w:val="0001332B"/>
    <w:rsid w:val="000213CF"/>
    <w:rsid w:val="000327F3"/>
    <w:rsid w:val="00033EB2"/>
    <w:rsid w:val="00053565"/>
    <w:rsid w:val="00056FA1"/>
    <w:rsid w:val="0007102D"/>
    <w:rsid w:val="0007151A"/>
    <w:rsid w:val="00071AB8"/>
    <w:rsid w:val="00081A4A"/>
    <w:rsid w:val="00082054"/>
    <w:rsid w:val="00082C9A"/>
    <w:rsid w:val="00083BE2"/>
    <w:rsid w:val="00093F1F"/>
    <w:rsid w:val="00095CE8"/>
    <w:rsid w:val="000A01FB"/>
    <w:rsid w:val="000A2465"/>
    <w:rsid w:val="000B5AAD"/>
    <w:rsid w:val="000B62A1"/>
    <w:rsid w:val="000C101F"/>
    <w:rsid w:val="000C5D22"/>
    <w:rsid w:val="000C7C65"/>
    <w:rsid w:val="000D492E"/>
    <w:rsid w:val="000E11A7"/>
    <w:rsid w:val="000E6722"/>
    <w:rsid w:val="000F0CD4"/>
    <w:rsid w:val="000F2A1C"/>
    <w:rsid w:val="000F3E8C"/>
    <w:rsid w:val="001164F5"/>
    <w:rsid w:val="001332F7"/>
    <w:rsid w:val="00136B7A"/>
    <w:rsid w:val="00136DD9"/>
    <w:rsid w:val="0015030A"/>
    <w:rsid w:val="00151960"/>
    <w:rsid w:val="00155898"/>
    <w:rsid w:val="00156FB5"/>
    <w:rsid w:val="00161E4A"/>
    <w:rsid w:val="00166A98"/>
    <w:rsid w:val="00167CC9"/>
    <w:rsid w:val="00170784"/>
    <w:rsid w:val="00171AF4"/>
    <w:rsid w:val="00173268"/>
    <w:rsid w:val="00173B76"/>
    <w:rsid w:val="001751DC"/>
    <w:rsid w:val="0018365C"/>
    <w:rsid w:val="00185CB5"/>
    <w:rsid w:val="00190982"/>
    <w:rsid w:val="001E1211"/>
    <w:rsid w:val="001E1987"/>
    <w:rsid w:val="001F3C2E"/>
    <w:rsid w:val="001F5FF2"/>
    <w:rsid w:val="0023559F"/>
    <w:rsid w:val="00254D3F"/>
    <w:rsid w:val="002573FF"/>
    <w:rsid w:val="0025759B"/>
    <w:rsid w:val="0026413C"/>
    <w:rsid w:val="00273CD0"/>
    <w:rsid w:val="00273CE5"/>
    <w:rsid w:val="00275059"/>
    <w:rsid w:val="002875C4"/>
    <w:rsid w:val="002A3FD5"/>
    <w:rsid w:val="002A6B13"/>
    <w:rsid w:val="002B2A7B"/>
    <w:rsid w:val="002D5C6B"/>
    <w:rsid w:val="002E18C7"/>
    <w:rsid w:val="002E1AA1"/>
    <w:rsid w:val="002F012D"/>
    <w:rsid w:val="003079CB"/>
    <w:rsid w:val="00316276"/>
    <w:rsid w:val="0031766A"/>
    <w:rsid w:val="00321E4E"/>
    <w:rsid w:val="00331808"/>
    <w:rsid w:val="003330A6"/>
    <w:rsid w:val="00334638"/>
    <w:rsid w:val="00336E55"/>
    <w:rsid w:val="00337A52"/>
    <w:rsid w:val="00342380"/>
    <w:rsid w:val="0034766F"/>
    <w:rsid w:val="00352A7E"/>
    <w:rsid w:val="00362A44"/>
    <w:rsid w:val="0036776F"/>
    <w:rsid w:val="00373717"/>
    <w:rsid w:val="003767D8"/>
    <w:rsid w:val="00386BA6"/>
    <w:rsid w:val="003906C7"/>
    <w:rsid w:val="003A1573"/>
    <w:rsid w:val="003B2C5E"/>
    <w:rsid w:val="003B7853"/>
    <w:rsid w:val="003C0A88"/>
    <w:rsid w:val="003C2AE3"/>
    <w:rsid w:val="003C516A"/>
    <w:rsid w:val="003C52BE"/>
    <w:rsid w:val="003C6149"/>
    <w:rsid w:val="003D140C"/>
    <w:rsid w:val="003D312C"/>
    <w:rsid w:val="003E0715"/>
    <w:rsid w:val="003E0FD5"/>
    <w:rsid w:val="003F0774"/>
    <w:rsid w:val="003F0B9F"/>
    <w:rsid w:val="003F3BFA"/>
    <w:rsid w:val="003F7AD3"/>
    <w:rsid w:val="0041390E"/>
    <w:rsid w:val="00414E01"/>
    <w:rsid w:val="00434B73"/>
    <w:rsid w:val="00450B89"/>
    <w:rsid w:val="00454105"/>
    <w:rsid w:val="00456A71"/>
    <w:rsid w:val="00461E3C"/>
    <w:rsid w:val="00461EEB"/>
    <w:rsid w:val="00466F3B"/>
    <w:rsid w:val="004779A6"/>
    <w:rsid w:val="00490530"/>
    <w:rsid w:val="00496F0D"/>
    <w:rsid w:val="0049700A"/>
    <w:rsid w:val="004A2647"/>
    <w:rsid w:val="004B0F0C"/>
    <w:rsid w:val="004B2D1A"/>
    <w:rsid w:val="004B4E61"/>
    <w:rsid w:val="004C32E8"/>
    <w:rsid w:val="004C507B"/>
    <w:rsid w:val="004C6E7B"/>
    <w:rsid w:val="004D5085"/>
    <w:rsid w:val="004D7C47"/>
    <w:rsid w:val="004F2128"/>
    <w:rsid w:val="004F4B32"/>
    <w:rsid w:val="004F6D6B"/>
    <w:rsid w:val="00505009"/>
    <w:rsid w:val="00506964"/>
    <w:rsid w:val="00511CC2"/>
    <w:rsid w:val="005131DF"/>
    <w:rsid w:val="0053052E"/>
    <w:rsid w:val="0053108C"/>
    <w:rsid w:val="0053372B"/>
    <w:rsid w:val="00560B10"/>
    <w:rsid w:val="005659A2"/>
    <w:rsid w:val="00570453"/>
    <w:rsid w:val="00574A2C"/>
    <w:rsid w:val="00577A8B"/>
    <w:rsid w:val="005852CF"/>
    <w:rsid w:val="00597F02"/>
    <w:rsid w:val="005A53F0"/>
    <w:rsid w:val="005B3A37"/>
    <w:rsid w:val="005B6D88"/>
    <w:rsid w:val="005B7143"/>
    <w:rsid w:val="005C0D7D"/>
    <w:rsid w:val="005C251A"/>
    <w:rsid w:val="005C5B4B"/>
    <w:rsid w:val="005C794A"/>
    <w:rsid w:val="005D3738"/>
    <w:rsid w:val="005D527B"/>
    <w:rsid w:val="0060637F"/>
    <w:rsid w:val="00611C0E"/>
    <w:rsid w:val="006143B3"/>
    <w:rsid w:val="006226A5"/>
    <w:rsid w:val="0064389C"/>
    <w:rsid w:val="00653100"/>
    <w:rsid w:val="00656C92"/>
    <w:rsid w:val="00663CB8"/>
    <w:rsid w:val="006661E9"/>
    <w:rsid w:val="006754EA"/>
    <w:rsid w:val="00681EB7"/>
    <w:rsid w:val="00686E4E"/>
    <w:rsid w:val="00694424"/>
    <w:rsid w:val="006A2A24"/>
    <w:rsid w:val="006A2DBF"/>
    <w:rsid w:val="006B4076"/>
    <w:rsid w:val="006D0E1F"/>
    <w:rsid w:val="00704BD9"/>
    <w:rsid w:val="00705882"/>
    <w:rsid w:val="00706632"/>
    <w:rsid w:val="007100C4"/>
    <w:rsid w:val="00714168"/>
    <w:rsid w:val="0071516D"/>
    <w:rsid w:val="00720006"/>
    <w:rsid w:val="00731042"/>
    <w:rsid w:val="00731F06"/>
    <w:rsid w:val="00734A8A"/>
    <w:rsid w:val="007352E0"/>
    <w:rsid w:val="007466DE"/>
    <w:rsid w:val="00751E26"/>
    <w:rsid w:val="007521BD"/>
    <w:rsid w:val="0075705C"/>
    <w:rsid w:val="0077041A"/>
    <w:rsid w:val="007721AA"/>
    <w:rsid w:val="00774587"/>
    <w:rsid w:val="00774A76"/>
    <w:rsid w:val="00776F92"/>
    <w:rsid w:val="007876C0"/>
    <w:rsid w:val="007941A4"/>
    <w:rsid w:val="007A5DD7"/>
    <w:rsid w:val="007B5001"/>
    <w:rsid w:val="007B52C2"/>
    <w:rsid w:val="007B5719"/>
    <w:rsid w:val="007B57FA"/>
    <w:rsid w:val="007C1B4D"/>
    <w:rsid w:val="007C32A2"/>
    <w:rsid w:val="007D284B"/>
    <w:rsid w:val="007F1D6E"/>
    <w:rsid w:val="008009B6"/>
    <w:rsid w:val="008052EB"/>
    <w:rsid w:val="008174D0"/>
    <w:rsid w:val="0083798D"/>
    <w:rsid w:val="00840BD9"/>
    <w:rsid w:val="00853981"/>
    <w:rsid w:val="00865B5E"/>
    <w:rsid w:val="00874560"/>
    <w:rsid w:val="00875735"/>
    <w:rsid w:val="0088299E"/>
    <w:rsid w:val="00885592"/>
    <w:rsid w:val="008967C5"/>
    <w:rsid w:val="008A0820"/>
    <w:rsid w:val="008D5D4D"/>
    <w:rsid w:val="008E07C8"/>
    <w:rsid w:val="008F6658"/>
    <w:rsid w:val="008F679D"/>
    <w:rsid w:val="00904267"/>
    <w:rsid w:val="00920447"/>
    <w:rsid w:val="00933C3D"/>
    <w:rsid w:val="0096482A"/>
    <w:rsid w:val="00970A0D"/>
    <w:rsid w:val="009947E7"/>
    <w:rsid w:val="009A3297"/>
    <w:rsid w:val="009B3698"/>
    <w:rsid w:val="009B4F86"/>
    <w:rsid w:val="009D787D"/>
    <w:rsid w:val="009E1B51"/>
    <w:rsid w:val="009E1E11"/>
    <w:rsid w:val="009E2D83"/>
    <w:rsid w:val="009F1DCB"/>
    <w:rsid w:val="00A00439"/>
    <w:rsid w:val="00A0043A"/>
    <w:rsid w:val="00A03174"/>
    <w:rsid w:val="00A1225B"/>
    <w:rsid w:val="00A17419"/>
    <w:rsid w:val="00A32457"/>
    <w:rsid w:val="00A355E2"/>
    <w:rsid w:val="00A5111B"/>
    <w:rsid w:val="00A85817"/>
    <w:rsid w:val="00AB0762"/>
    <w:rsid w:val="00AC285B"/>
    <w:rsid w:val="00AC3AE8"/>
    <w:rsid w:val="00AD1680"/>
    <w:rsid w:val="00AD1FC0"/>
    <w:rsid w:val="00AF34B0"/>
    <w:rsid w:val="00B179AE"/>
    <w:rsid w:val="00B23D1C"/>
    <w:rsid w:val="00B317D7"/>
    <w:rsid w:val="00B34566"/>
    <w:rsid w:val="00B50D7E"/>
    <w:rsid w:val="00B52C7B"/>
    <w:rsid w:val="00B543E8"/>
    <w:rsid w:val="00B705FE"/>
    <w:rsid w:val="00B716C5"/>
    <w:rsid w:val="00B75D03"/>
    <w:rsid w:val="00B77337"/>
    <w:rsid w:val="00B90E5E"/>
    <w:rsid w:val="00B9352E"/>
    <w:rsid w:val="00B97F6C"/>
    <w:rsid w:val="00BA362C"/>
    <w:rsid w:val="00BA7136"/>
    <w:rsid w:val="00BA7786"/>
    <w:rsid w:val="00BA79B9"/>
    <w:rsid w:val="00BB59CA"/>
    <w:rsid w:val="00BD4842"/>
    <w:rsid w:val="00BE574B"/>
    <w:rsid w:val="00BE74A6"/>
    <w:rsid w:val="00C05A06"/>
    <w:rsid w:val="00C05F17"/>
    <w:rsid w:val="00C07214"/>
    <w:rsid w:val="00C14B8B"/>
    <w:rsid w:val="00C1519D"/>
    <w:rsid w:val="00C2218F"/>
    <w:rsid w:val="00C444F2"/>
    <w:rsid w:val="00C66578"/>
    <w:rsid w:val="00C741DF"/>
    <w:rsid w:val="00C74326"/>
    <w:rsid w:val="00C77856"/>
    <w:rsid w:val="00CB31A0"/>
    <w:rsid w:val="00CB73CB"/>
    <w:rsid w:val="00CC0136"/>
    <w:rsid w:val="00CC540A"/>
    <w:rsid w:val="00CC5FA8"/>
    <w:rsid w:val="00CD4883"/>
    <w:rsid w:val="00CE0FFD"/>
    <w:rsid w:val="00CE1ADF"/>
    <w:rsid w:val="00CF08EF"/>
    <w:rsid w:val="00CF311E"/>
    <w:rsid w:val="00CF6074"/>
    <w:rsid w:val="00D00262"/>
    <w:rsid w:val="00D04266"/>
    <w:rsid w:val="00D11A20"/>
    <w:rsid w:val="00D13F15"/>
    <w:rsid w:val="00D1427B"/>
    <w:rsid w:val="00D15EE4"/>
    <w:rsid w:val="00D17BEA"/>
    <w:rsid w:val="00D3376B"/>
    <w:rsid w:val="00D458C1"/>
    <w:rsid w:val="00D46E00"/>
    <w:rsid w:val="00D630BC"/>
    <w:rsid w:val="00D70997"/>
    <w:rsid w:val="00D77623"/>
    <w:rsid w:val="00D94FBB"/>
    <w:rsid w:val="00D9779A"/>
    <w:rsid w:val="00DA3E49"/>
    <w:rsid w:val="00DA4F23"/>
    <w:rsid w:val="00DC1DE9"/>
    <w:rsid w:val="00DC3058"/>
    <w:rsid w:val="00DC4E00"/>
    <w:rsid w:val="00DE0969"/>
    <w:rsid w:val="00DE1DE2"/>
    <w:rsid w:val="00DE2C3A"/>
    <w:rsid w:val="00DF3C33"/>
    <w:rsid w:val="00DF4A47"/>
    <w:rsid w:val="00E025F4"/>
    <w:rsid w:val="00E05424"/>
    <w:rsid w:val="00E11C07"/>
    <w:rsid w:val="00E12915"/>
    <w:rsid w:val="00E21830"/>
    <w:rsid w:val="00E2264D"/>
    <w:rsid w:val="00E27A34"/>
    <w:rsid w:val="00E42E45"/>
    <w:rsid w:val="00E43B72"/>
    <w:rsid w:val="00E55A27"/>
    <w:rsid w:val="00E57D98"/>
    <w:rsid w:val="00E6263B"/>
    <w:rsid w:val="00E7028B"/>
    <w:rsid w:val="00E96BDA"/>
    <w:rsid w:val="00EA617A"/>
    <w:rsid w:val="00EB00F2"/>
    <w:rsid w:val="00EB390D"/>
    <w:rsid w:val="00EB7083"/>
    <w:rsid w:val="00EC6B8C"/>
    <w:rsid w:val="00EC6F5C"/>
    <w:rsid w:val="00ED446D"/>
    <w:rsid w:val="00ED7FD3"/>
    <w:rsid w:val="00F04416"/>
    <w:rsid w:val="00F20C7E"/>
    <w:rsid w:val="00F30E86"/>
    <w:rsid w:val="00F32B69"/>
    <w:rsid w:val="00F345F1"/>
    <w:rsid w:val="00F34811"/>
    <w:rsid w:val="00F50D36"/>
    <w:rsid w:val="00F5470C"/>
    <w:rsid w:val="00F57A67"/>
    <w:rsid w:val="00F76FEE"/>
    <w:rsid w:val="00F77257"/>
    <w:rsid w:val="00F80C3F"/>
    <w:rsid w:val="00F82DED"/>
    <w:rsid w:val="00F87662"/>
    <w:rsid w:val="00F97C0E"/>
    <w:rsid w:val="00FA2CA6"/>
    <w:rsid w:val="00FA3BDC"/>
    <w:rsid w:val="00FB3075"/>
    <w:rsid w:val="00FE39FB"/>
    <w:rsid w:val="00FF54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0878"/>
  <w15:chartTrackingRefBased/>
  <w15:docId w15:val="{8124313C-1D30-4A7A-A2D8-43BB3E2A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B9F"/>
    <w:pPr>
      <w:ind w:left="720"/>
      <w:contextualSpacing/>
    </w:pPr>
  </w:style>
  <w:style w:type="table" w:styleId="TableGrid">
    <w:name w:val="Table Grid"/>
    <w:basedOn w:val="TableNormal"/>
    <w:uiPriority w:val="39"/>
    <w:rsid w:val="00B9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F3E8C"/>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57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5C"/>
    <w:rPr>
      <w:rFonts w:ascii="Segoe UI" w:hAnsi="Segoe UI" w:cs="Segoe UI"/>
      <w:sz w:val="18"/>
      <w:szCs w:val="18"/>
    </w:rPr>
  </w:style>
  <w:style w:type="paragraph" w:styleId="Bibliography">
    <w:name w:val="Bibliography"/>
    <w:basedOn w:val="Normal"/>
    <w:next w:val="Normal"/>
    <w:uiPriority w:val="37"/>
    <w:unhideWhenUsed/>
    <w:rsid w:val="00577A8B"/>
    <w:pPr>
      <w:spacing w:after="240" w:line="240" w:lineRule="auto"/>
    </w:pPr>
  </w:style>
  <w:style w:type="character" w:styleId="PlaceholderText">
    <w:name w:val="Placeholder Text"/>
    <w:basedOn w:val="DefaultParagraphFont"/>
    <w:uiPriority w:val="99"/>
    <w:semiHidden/>
    <w:rsid w:val="00A355E2"/>
    <w:rPr>
      <w:color w:val="808080"/>
    </w:rPr>
  </w:style>
  <w:style w:type="character" w:styleId="CommentReference">
    <w:name w:val="annotation reference"/>
    <w:basedOn w:val="DefaultParagraphFont"/>
    <w:uiPriority w:val="99"/>
    <w:semiHidden/>
    <w:unhideWhenUsed/>
    <w:rsid w:val="00C66578"/>
    <w:rPr>
      <w:sz w:val="16"/>
      <w:szCs w:val="16"/>
    </w:rPr>
  </w:style>
  <w:style w:type="paragraph" w:styleId="CommentText">
    <w:name w:val="annotation text"/>
    <w:basedOn w:val="Normal"/>
    <w:link w:val="CommentTextChar"/>
    <w:uiPriority w:val="99"/>
    <w:semiHidden/>
    <w:unhideWhenUsed/>
    <w:rsid w:val="00C66578"/>
    <w:pPr>
      <w:spacing w:line="240" w:lineRule="auto"/>
    </w:pPr>
    <w:rPr>
      <w:sz w:val="20"/>
      <w:szCs w:val="20"/>
    </w:rPr>
  </w:style>
  <w:style w:type="character" w:customStyle="1" w:styleId="CommentTextChar">
    <w:name w:val="Comment Text Char"/>
    <w:basedOn w:val="DefaultParagraphFont"/>
    <w:link w:val="CommentText"/>
    <w:uiPriority w:val="99"/>
    <w:semiHidden/>
    <w:rsid w:val="00C66578"/>
    <w:rPr>
      <w:sz w:val="20"/>
      <w:szCs w:val="20"/>
    </w:rPr>
  </w:style>
  <w:style w:type="paragraph" w:styleId="CommentSubject">
    <w:name w:val="annotation subject"/>
    <w:basedOn w:val="CommentText"/>
    <w:next w:val="CommentText"/>
    <w:link w:val="CommentSubjectChar"/>
    <w:uiPriority w:val="99"/>
    <w:semiHidden/>
    <w:unhideWhenUsed/>
    <w:rsid w:val="00C66578"/>
    <w:rPr>
      <w:b/>
      <w:bCs/>
    </w:rPr>
  </w:style>
  <w:style w:type="character" w:customStyle="1" w:styleId="CommentSubjectChar">
    <w:name w:val="Comment Subject Char"/>
    <w:basedOn w:val="CommentTextChar"/>
    <w:link w:val="CommentSubject"/>
    <w:uiPriority w:val="99"/>
    <w:semiHidden/>
    <w:rsid w:val="00C66578"/>
    <w:rPr>
      <w:b/>
      <w:bCs/>
      <w:sz w:val="20"/>
      <w:szCs w:val="20"/>
    </w:rPr>
  </w:style>
  <w:style w:type="character" w:styleId="Hyperlink">
    <w:name w:val="Hyperlink"/>
    <w:basedOn w:val="DefaultParagraphFont"/>
    <w:uiPriority w:val="99"/>
    <w:unhideWhenUsed/>
    <w:rsid w:val="007C1B4D"/>
    <w:rPr>
      <w:color w:val="0000FF"/>
      <w:u w:val="single"/>
    </w:rPr>
  </w:style>
  <w:style w:type="character" w:styleId="UnresolvedMention">
    <w:name w:val="Unresolved Mention"/>
    <w:basedOn w:val="DefaultParagraphFont"/>
    <w:uiPriority w:val="99"/>
    <w:semiHidden/>
    <w:unhideWhenUsed/>
    <w:rsid w:val="003C52BE"/>
    <w:rPr>
      <w:color w:val="605E5C"/>
      <w:shd w:val="clear" w:color="auto" w:fill="E1DFDD"/>
    </w:rPr>
  </w:style>
  <w:style w:type="character" w:customStyle="1" w:styleId="il">
    <w:name w:val="il"/>
    <w:basedOn w:val="DefaultParagraphFont"/>
    <w:rsid w:val="00EC6F5C"/>
  </w:style>
  <w:style w:type="paragraph" w:customStyle="1" w:styleId="Default">
    <w:name w:val="Default"/>
    <w:rsid w:val="009042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720">
      <w:bodyDiv w:val="1"/>
      <w:marLeft w:val="0"/>
      <w:marRight w:val="0"/>
      <w:marTop w:val="0"/>
      <w:marBottom w:val="0"/>
      <w:divBdr>
        <w:top w:val="none" w:sz="0" w:space="0" w:color="auto"/>
        <w:left w:val="none" w:sz="0" w:space="0" w:color="auto"/>
        <w:bottom w:val="none" w:sz="0" w:space="0" w:color="auto"/>
        <w:right w:val="none" w:sz="0" w:space="0" w:color="auto"/>
      </w:divBdr>
    </w:div>
    <w:div w:id="33313241">
      <w:bodyDiv w:val="1"/>
      <w:marLeft w:val="0"/>
      <w:marRight w:val="0"/>
      <w:marTop w:val="0"/>
      <w:marBottom w:val="0"/>
      <w:divBdr>
        <w:top w:val="none" w:sz="0" w:space="0" w:color="auto"/>
        <w:left w:val="none" w:sz="0" w:space="0" w:color="auto"/>
        <w:bottom w:val="none" w:sz="0" w:space="0" w:color="auto"/>
        <w:right w:val="none" w:sz="0" w:space="0" w:color="auto"/>
      </w:divBdr>
    </w:div>
    <w:div w:id="35132139">
      <w:bodyDiv w:val="1"/>
      <w:marLeft w:val="0"/>
      <w:marRight w:val="0"/>
      <w:marTop w:val="0"/>
      <w:marBottom w:val="0"/>
      <w:divBdr>
        <w:top w:val="none" w:sz="0" w:space="0" w:color="auto"/>
        <w:left w:val="none" w:sz="0" w:space="0" w:color="auto"/>
        <w:bottom w:val="none" w:sz="0" w:space="0" w:color="auto"/>
        <w:right w:val="none" w:sz="0" w:space="0" w:color="auto"/>
      </w:divBdr>
    </w:div>
    <w:div w:id="75052289">
      <w:bodyDiv w:val="1"/>
      <w:marLeft w:val="0"/>
      <w:marRight w:val="0"/>
      <w:marTop w:val="0"/>
      <w:marBottom w:val="0"/>
      <w:divBdr>
        <w:top w:val="none" w:sz="0" w:space="0" w:color="auto"/>
        <w:left w:val="none" w:sz="0" w:space="0" w:color="auto"/>
        <w:bottom w:val="none" w:sz="0" w:space="0" w:color="auto"/>
        <w:right w:val="none" w:sz="0" w:space="0" w:color="auto"/>
      </w:divBdr>
    </w:div>
    <w:div w:id="84765230">
      <w:bodyDiv w:val="1"/>
      <w:marLeft w:val="0"/>
      <w:marRight w:val="0"/>
      <w:marTop w:val="0"/>
      <w:marBottom w:val="0"/>
      <w:divBdr>
        <w:top w:val="none" w:sz="0" w:space="0" w:color="auto"/>
        <w:left w:val="none" w:sz="0" w:space="0" w:color="auto"/>
        <w:bottom w:val="none" w:sz="0" w:space="0" w:color="auto"/>
        <w:right w:val="none" w:sz="0" w:space="0" w:color="auto"/>
      </w:divBdr>
    </w:div>
    <w:div w:id="111091477">
      <w:bodyDiv w:val="1"/>
      <w:marLeft w:val="0"/>
      <w:marRight w:val="0"/>
      <w:marTop w:val="0"/>
      <w:marBottom w:val="0"/>
      <w:divBdr>
        <w:top w:val="none" w:sz="0" w:space="0" w:color="auto"/>
        <w:left w:val="none" w:sz="0" w:space="0" w:color="auto"/>
        <w:bottom w:val="none" w:sz="0" w:space="0" w:color="auto"/>
        <w:right w:val="none" w:sz="0" w:space="0" w:color="auto"/>
      </w:divBdr>
    </w:div>
    <w:div w:id="145247147">
      <w:bodyDiv w:val="1"/>
      <w:marLeft w:val="0"/>
      <w:marRight w:val="0"/>
      <w:marTop w:val="0"/>
      <w:marBottom w:val="0"/>
      <w:divBdr>
        <w:top w:val="none" w:sz="0" w:space="0" w:color="auto"/>
        <w:left w:val="none" w:sz="0" w:space="0" w:color="auto"/>
        <w:bottom w:val="none" w:sz="0" w:space="0" w:color="auto"/>
        <w:right w:val="none" w:sz="0" w:space="0" w:color="auto"/>
      </w:divBdr>
    </w:div>
    <w:div w:id="157810995">
      <w:bodyDiv w:val="1"/>
      <w:marLeft w:val="0"/>
      <w:marRight w:val="0"/>
      <w:marTop w:val="0"/>
      <w:marBottom w:val="0"/>
      <w:divBdr>
        <w:top w:val="none" w:sz="0" w:space="0" w:color="auto"/>
        <w:left w:val="none" w:sz="0" w:space="0" w:color="auto"/>
        <w:bottom w:val="none" w:sz="0" w:space="0" w:color="auto"/>
        <w:right w:val="none" w:sz="0" w:space="0" w:color="auto"/>
      </w:divBdr>
    </w:div>
    <w:div w:id="226260575">
      <w:bodyDiv w:val="1"/>
      <w:marLeft w:val="0"/>
      <w:marRight w:val="0"/>
      <w:marTop w:val="0"/>
      <w:marBottom w:val="0"/>
      <w:divBdr>
        <w:top w:val="none" w:sz="0" w:space="0" w:color="auto"/>
        <w:left w:val="none" w:sz="0" w:space="0" w:color="auto"/>
        <w:bottom w:val="none" w:sz="0" w:space="0" w:color="auto"/>
        <w:right w:val="none" w:sz="0" w:space="0" w:color="auto"/>
      </w:divBdr>
    </w:div>
    <w:div w:id="247425802">
      <w:bodyDiv w:val="1"/>
      <w:marLeft w:val="0"/>
      <w:marRight w:val="0"/>
      <w:marTop w:val="0"/>
      <w:marBottom w:val="0"/>
      <w:divBdr>
        <w:top w:val="none" w:sz="0" w:space="0" w:color="auto"/>
        <w:left w:val="none" w:sz="0" w:space="0" w:color="auto"/>
        <w:bottom w:val="none" w:sz="0" w:space="0" w:color="auto"/>
        <w:right w:val="none" w:sz="0" w:space="0" w:color="auto"/>
      </w:divBdr>
    </w:div>
    <w:div w:id="264465890">
      <w:bodyDiv w:val="1"/>
      <w:marLeft w:val="0"/>
      <w:marRight w:val="0"/>
      <w:marTop w:val="0"/>
      <w:marBottom w:val="0"/>
      <w:divBdr>
        <w:top w:val="none" w:sz="0" w:space="0" w:color="auto"/>
        <w:left w:val="none" w:sz="0" w:space="0" w:color="auto"/>
        <w:bottom w:val="none" w:sz="0" w:space="0" w:color="auto"/>
        <w:right w:val="none" w:sz="0" w:space="0" w:color="auto"/>
      </w:divBdr>
    </w:div>
    <w:div w:id="292710840">
      <w:bodyDiv w:val="1"/>
      <w:marLeft w:val="0"/>
      <w:marRight w:val="0"/>
      <w:marTop w:val="0"/>
      <w:marBottom w:val="0"/>
      <w:divBdr>
        <w:top w:val="none" w:sz="0" w:space="0" w:color="auto"/>
        <w:left w:val="none" w:sz="0" w:space="0" w:color="auto"/>
        <w:bottom w:val="none" w:sz="0" w:space="0" w:color="auto"/>
        <w:right w:val="none" w:sz="0" w:space="0" w:color="auto"/>
      </w:divBdr>
    </w:div>
    <w:div w:id="303777087">
      <w:bodyDiv w:val="1"/>
      <w:marLeft w:val="0"/>
      <w:marRight w:val="0"/>
      <w:marTop w:val="0"/>
      <w:marBottom w:val="0"/>
      <w:divBdr>
        <w:top w:val="none" w:sz="0" w:space="0" w:color="auto"/>
        <w:left w:val="none" w:sz="0" w:space="0" w:color="auto"/>
        <w:bottom w:val="none" w:sz="0" w:space="0" w:color="auto"/>
        <w:right w:val="none" w:sz="0" w:space="0" w:color="auto"/>
      </w:divBdr>
    </w:div>
    <w:div w:id="338968279">
      <w:bodyDiv w:val="1"/>
      <w:marLeft w:val="0"/>
      <w:marRight w:val="0"/>
      <w:marTop w:val="0"/>
      <w:marBottom w:val="0"/>
      <w:divBdr>
        <w:top w:val="none" w:sz="0" w:space="0" w:color="auto"/>
        <w:left w:val="none" w:sz="0" w:space="0" w:color="auto"/>
        <w:bottom w:val="none" w:sz="0" w:space="0" w:color="auto"/>
        <w:right w:val="none" w:sz="0" w:space="0" w:color="auto"/>
      </w:divBdr>
    </w:div>
    <w:div w:id="351105923">
      <w:bodyDiv w:val="1"/>
      <w:marLeft w:val="0"/>
      <w:marRight w:val="0"/>
      <w:marTop w:val="0"/>
      <w:marBottom w:val="0"/>
      <w:divBdr>
        <w:top w:val="none" w:sz="0" w:space="0" w:color="auto"/>
        <w:left w:val="none" w:sz="0" w:space="0" w:color="auto"/>
        <w:bottom w:val="none" w:sz="0" w:space="0" w:color="auto"/>
        <w:right w:val="none" w:sz="0" w:space="0" w:color="auto"/>
      </w:divBdr>
    </w:div>
    <w:div w:id="357656104">
      <w:bodyDiv w:val="1"/>
      <w:marLeft w:val="0"/>
      <w:marRight w:val="0"/>
      <w:marTop w:val="0"/>
      <w:marBottom w:val="0"/>
      <w:divBdr>
        <w:top w:val="none" w:sz="0" w:space="0" w:color="auto"/>
        <w:left w:val="none" w:sz="0" w:space="0" w:color="auto"/>
        <w:bottom w:val="none" w:sz="0" w:space="0" w:color="auto"/>
        <w:right w:val="none" w:sz="0" w:space="0" w:color="auto"/>
      </w:divBdr>
    </w:div>
    <w:div w:id="385296557">
      <w:bodyDiv w:val="1"/>
      <w:marLeft w:val="0"/>
      <w:marRight w:val="0"/>
      <w:marTop w:val="0"/>
      <w:marBottom w:val="0"/>
      <w:divBdr>
        <w:top w:val="none" w:sz="0" w:space="0" w:color="auto"/>
        <w:left w:val="none" w:sz="0" w:space="0" w:color="auto"/>
        <w:bottom w:val="none" w:sz="0" w:space="0" w:color="auto"/>
        <w:right w:val="none" w:sz="0" w:space="0" w:color="auto"/>
      </w:divBdr>
    </w:div>
    <w:div w:id="466583142">
      <w:bodyDiv w:val="1"/>
      <w:marLeft w:val="0"/>
      <w:marRight w:val="0"/>
      <w:marTop w:val="0"/>
      <w:marBottom w:val="0"/>
      <w:divBdr>
        <w:top w:val="none" w:sz="0" w:space="0" w:color="auto"/>
        <w:left w:val="none" w:sz="0" w:space="0" w:color="auto"/>
        <w:bottom w:val="none" w:sz="0" w:space="0" w:color="auto"/>
        <w:right w:val="none" w:sz="0" w:space="0" w:color="auto"/>
      </w:divBdr>
    </w:div>
    <w:div w:id="664867677">
      <w:bodyDiv w:val="1"/>
      <w:marLeft w:val="0"/>
      <w:marRight w:val="0"/>
      <w:marTop w:val="0"/>
      <w:marBottom w:val="0"/>
      <w:divBdr>
        <w:top w:val="none" w:sz="0" w:space="0" w:color="auto"/>
        <w:left w:val="none" w:sz="0" w:space="0" w:color="auto"/>
        <w:bottom w:val="none" w:sz="0" w:space="0" w:color="auto"/>
        <w:right w:val="none" w:sz="0" w:space="0" w:color="auto"/>
      </w:divBdr>
    </w:div>
    <w:div w:id="673337771">
      <w:bodyDiv w:val="1"/>
      <w:marLeft w:val="0"/>
      <w:marRight w:val="0"/>
      <w:marTop w:val="0"/>
      <w:marBottom w:val="0"/>
      <w:divBdr>
        <w:top w:val="none" w:sz="0" w:space="0" w:color="auto"/>
        <w:left w:val="none" w:sz="0" w:space="0" w:color="auto"/>
        <w:bottom w:val="none" w:sz="0" w:space="0" w:color="auto"/>
        <w:right w:val="none" w:sz="0" w:space="0" w:color="auto"/>
      </w:divBdr>
    </w:div>
    <w:div w:id="688068875">
      <w:bodyDiv w:val="1"/>
      <w:marLeft w:val="0"/>
      <w:marRight w:val="0"/>
      <w:marTop w:val="0"/>
      <w:marBottom w:val="0"/>
      <w:divBdr>
        <w:top w:val="none" w:sz="0" w:space="0" w:color="auto"/>
        <w:left w:val="none" w:sz="0" w:space="0" w:color="auto"/>
        <w:bottom w:val="none" w:sz="0" w:space="0" w:color="auto"/>
        <w:right w:val="none" w:sz="0" w:space="0" w:color="auto"/>
      </w:divBdr>
    </w:div>
    <w:div w:id="707753549">
      <w:bodyDiv w:val="1"/>
      <w:marLeft w:val="0"/>
      <w:marRight w:val="0"/>
      <w:marTop w:val="0"/>
      <w:marBottom w:val="0"/>
      <w:divBdr>
        <w:top w:val="none" w:sz="0" w:space="0" w:color="auto"/>
        <w:left w:val="none" w:sz="0" w:space="0" w:color="auto"/>
        <w:bottom w:val="none" w:sz="0" w:space="0" w:color="auto"/>
        <w:right w:val="none" w:sz="0" w:space="0" w:color="auto"/>
      </w:divBdr>
    </w:div>
    <w:div w:id="722603780">
      <w:bodyDiv w:val="1"/>
      <w:marLeft w:val="0"/>
      <w:marRight w:val="0"/>
      <w:marTop w:val="0"/>
      <w:marBottom w:val="0"/>
      <w:divBdr>
        <w:top w:val="none" w:sz="0" w:space="0" w:color="auto"/>
        <w:left w:val="none" w:sz="0" w:space="0" w:color="auto"/>
        <w:bottom w:val="none" w:sz="0" w:space="0" w:color="auto"/>
        <w:right w:val="none" w:sz="0" w:space="0" w:color="auto"/>
      </w:divBdr>
    </w:div>
    <w:div w:id="726534527">
      <w:bodyDiv w:val="1"/>
      <w:marLeft w:val="0"/>
      <w:marRight w:val="0"/>
      <w:marTop w:val="0"/>
      <w:marBottom w:val="0"/>
      <w:divBdr>
        <w:top w:val="none" w:sz="0" w:space="0" w:color="auto"/>
        <w:left w:val="none" w:sz="0" w:space="0" w:color="auto"/>
        <w:bottom w:val="none" w:sz="0" w:space="0" w:color="auto"/>
        <w:right w:val="none" w:sz="0" w:space="0" w:color="auto"/>
      </w:divBdr>
    </w:div>
    <w:div w:id="746732962">
      <w:bodyDiv w:val="1"/>
      <w:marLeft w:val="0"/>
      <w:marRight w:val="0"/>
      <w:marTop w:val="0"/>
      <w:marBottom w:val="0"/>
      <w:divBdr>
        <w:top w:val="none" w:sz="0" w:space="0" w:color="auto"/>
        <w:left w:val="none" w:sz="0" w:space="0" w:color="auto"/>
        <w:bottom w:val="none" w:sz="0" w:space="0" w:color="auto"/>
        <w:right w:val="none" w:sz="0" w:space="0" w:color="auto"/>
      </w:divBdr>
    </w:div>
    <w:div w:id="778380588">
      <w:bodyDiv w:val="1"/>
      <w:marLeft w:val="0"/>
      <w:marRight w:val="0"/>
      <w:marTop w:val="0"/>
      <w:marBottom w:val="0"/>
      <w:divBdr>
        <w:top w:val="none" w:sz="0" w:space="0" w:color="auto"/>
        <w:left w:val="none" w:sz="0" w:space="0" w:color="auto"/>
        <w:bottom w:val="none" w:sz="0" w:space="0" w:color="auto"/>
        <w:right w:val="none" w:sz="0" w:space="0" w:color="auto"/>
      </w:divBdr>
    </w:div>
    <w:div w:id="788669413">
      <w:bodyDiv w:val="1"/>
      <w:marLeft w:val="0"/>
      <w:marRight w:val="0"/>
      <w:marTop w:val="0"/>
      <w:marBottom w:val="0"/>
      <w:divBdr>
        <w:top w:val="none" w:sz="0" w:space="0" w:color="auto"/>
        <w:left w:val="none" w:sz="0" w:space="0" w:color="auto"/>
        <w:bottom w:val="none" w:sz="0" w:space="0" w:color="auto"/>
        <w:right w:val="none" w:sz="0" w:space="0" w:color="auto"/>
      </w:divBdr>
    </w:div>
    <w:div w:id="843127544">
      <w:bodyDiv w:val="1"/>
      <w:marLeft w:val="0"/>
      <w:marRight w:val="0"/>
      <w:marTop w:val="0"/>
      <w:marBottom w:val="0"/>
      <w:divBdr>
        <w:top w:val="none" w:sz="0" w:space="0" w:color="auto"/>
        <w:left w:val="none" w:sz="0" w:space="0" w:color="auto"/>
        <w:bottom w:val="none" w:sz="0" w:space="0" w:color="auto"/>
        <w:right w:val="none" w:sz="0" w:space="0" w:color="auto"/>
      </w:divBdr>
    </w:div>
    <w:div w:id="843935859">
      <w:bodyDiv w:val="1"/>
      <w:marLeft w:val="0"/>
      <w:marRight w:val="0"/>
      <w:marTop w:val="0"/>
      <w:marBottom w:val="0"/>
      <w:divBdr>
        <w:top w:val="none" w:sz="0" w:space="0" w:color="auto"/>
        <w:left w:val="none" w:sz="0" w:space="0" w:color="auto"/>
        <w:bottom w:val="none" w:sz="0" w:space="0" w:color="auto"/>
        <w:right w:val="none" w:sz="0" w:space="0" w:color="auto"/>
      </w:divBdr>
    </w:div>
    <w:div w:id="862286526">
      <w:bodyDiv w:val="1"/>
      <w:marLeft w:val="0"/>
      <w:marRight w:val="0"/>
      <w:marTop w:val="0"/>
      <w:marBottom w:val="0"/>
      <w:divBdr>
        <w:top w:val="none" w:sz="0" w:space="0" w:color="auto"/>
        <w:left w:val="none" w:sz="0" w:space="0" w:color="auto"/>
        <w:bottom w:val="none" w:sz="0" w:space="0" w:color="auto"/>
        <w:right w:val="none" w:sz="0" w:space="0" w:color="auto"/>
      </w:divBdr>
    </w:div>
    <w:div w:id="902184441">
      <w:bodyDiv w:val="1"/>
      <w:marLeft w:val="0"/>
      <w:marRight w:val="0"/>
      <w:marTop w:val="0"/>
      <w:marBottom w:val="0"/>
      <w:divBdr>
        <w:top w:val="none" w:sz="0" w:space="0" w:color="auto"/>
        <w:left w:val="none" w:sz="0" w:space="0" w:color="auto"/>
        <w:bottom w:val="none" w:sz="0" w:space="0" w:color="auto"/>
        <w:right w:val="none" w:sz="0" w:space="0" w:color="auto"/>
      </w:divBdr>
    </w:div>
    <w:div w:id="940793710">
      <w:bodyDiv w:val="1"/>
      <w:marLeft w:val="0"/>
      <w:marRight w:val="0"/>
      <w:marTop w:val="0"/>
      <w:marBottom w:val="0"/>
      <w:divBdr>
        <w:top w:val="none" w:sz="0" w:space="0" w:color="auto"/>
        <w:left w:val="none" w:sz="0" w:space="0" w:color="auto"/>
        <w:bottom w:val="none" w:sz="0" w:space="0" w:color="auto"/>
        <w:right w:val="none" w:sz="0" w:space="0" w:color="auto"/>
      </w:divBdr>
    </w:div>
    <w:div w:id="986519731">
      <w:bodyDiv w:val="1"/>
      <w:marLeft w:val="0"/>
      <w:marRight w:val="0"/>
      <w:marTop w:val="0"/>
      <w:marBottom w:val="0"/>
      <w:divBdr>
        <w:top w:val="none" w:sz="0" w:space="0" w:color="auto"/>
        <w:left w:val="none" w:sz="0" w:space="0" w:color="auto"/>
        <w:bottom w:val="none" w:sz="0" w:space="0" w:color="auto"/>
        <w:right w:val="none" w:sz="0" w:space="0" w:color="auto"/>
      </w:divBdr>
    </w:div>
    <w:div w:id="1075006144">
      <w:bodyDiv w:val="1"/>
      <w:marLeft w:val="0"/>
      <w:marRight w:val="0"/>
      <w:marTop w:val="0"/>
      <w:marBottom w:val="0"/>
      <w:divBdr>
        <w:top w:val="none" w:sz="0" w:space="0" w:color="auto"/>
        <w:left w:val="none" w:sz="0" w:space="0" w:color="auto"/>
        <w:bottom w:val="none" w:sz="0" w:space="0" w:color="auto"/>
        <w:right w:val="none" w:sz="0" w:space="0" w:color="auto"/>
      </w:divBdr>
    </w:div>
    <w:div w:id="1151749254">
      <w:bodyDiv w:val="1"/>
      <w:marLeft w:val="0"/>
      <w:marRight w:val="0"/>
      <w:marTop w:val="0"/>
      <w:marBottom w:val="0"/>
      <w:divBdr>
        <w:top w:val="none" w:sz="0" w:space="0" w:color="auto"/>
        <w:left w:val="none" w:sz="0" w:space="0" w:color="auto"/>
        <w:bottom w:val="none" w:sz="0" w:space="0" w:color="auto"/>
        <w:right w:val="none" w:sz="0" w:space="0" w:color="auto"/>
      </w:divBdr>
    </w:div>
    <w:div w:id="1172791320">
      <w:bodyDiv w:val="1"/>
      <w:marLeft w:val="0"/>
      <w:marRight w:val="0"/>
      <w:marTop w:val="0"/>
      <w:marBottom w:val="0"/>
      <w:divBdr>
        <w:top w:val="none" w:sz="0" w:space="0" w:color="auto"/>
        <w:left w:val="none" w:sz="0" w:space="0" w:color="auto"/>
        <w:bottom w:val="none" w:sz="0" w:space="0" w:color="auto"/>
        <w:right w:val="none" w:sz="0" w:space="0" w:color="auto"/>
      </w:divBdr>
    </w:div>
    <w:div w:id="1181889866">
      <w:bodyDiv w:val="1"/>
      <w:marLeft w:val="0"/>
      <w:marRight w:val="0"/>
      <w:marTop w:val="0"/>
      <w:marBottom w:val="0"/>
      <w:divBdr>
        <w:top w:val="none" w:sz="0" w:space="0" w:color="auto"/>
        <w:left w:val="none" w:sz="0" w:space="0" w:color="auto"/>
        <w:bottom w:val="none" w:sz="0" w:space="0" w:color="auto"/>
        <w:right w:val="none" w:sz="0" w:space="0" w:color="auto"/>
      </w:divBdr>
    </w:div>
    <w:div w:id="1198588882">
      <w:bodyDiv w:val="1"/>
      <w:marLeft w:val="0"/>
      <w:marRight w:val="0"/>
      <w:marTop w:val="0"/>
      <w:marBottom w:val="0"/>
      <w:divBdr>
        <w:top w:val="none" w:sz="0" w:space="0" w:color="auto"/>
        <w:left w:val="none" w:sz="0" w:space="0" w:color="auto"/>
        <w:bottom w:val="none" w:sz="0" w:space="0" w:color="auto"/>
        <w:right w:val="none" w:sz="0" w:space="0" w:color="auto"/>
      </w:divBdr>
    </w:div>
    <w:div w:id="1229993912">
      <w:bodyDiv w:val="1"/>
      <w:marLeft w:val="0"/>
      <w:marRight w:val="0"/>
      <w:marTop w:val="0"/>
      <w:marBottom w:val="0"/>
      <w:divBdr>
        <w:top w:val="none" w:sz="0" w:space="0" w:color="auto"/>
        <w:left w:val="none" w:sz="0" w:space="0" w:color="auto"/>
        <w:bottom w:val="none" w:sz="0" w:space="0" w:color="auto"/>
        <w:right w:val="none" w:sz="0" w:space="0" w:color="auto"/>
      </w:divBdr>
    </w:div>
    <w:div w:id="1241676001">
      <w:bodyDiv w:val="1"/>
      <w:marLeft w:val="0"/>
      <w:marRight w:val="0"/>
      <w:marTop w:val="0"/>
      <w:marBottom w:val="0"/>
      <w:divBdr>
        <w:top w:val="none" w:sz="0" w:space="0" w:color="auto"/>
        <w:left w:val="none" w:sz="0" w:space="0" w:color="auto"/>
        <w:bottom w:val="none" w:sz="0" w:space="0" w:color="auto"/>
        <w:right w:val="none" w:sz="0" w:space="0" w:color="auto"/>
      </w:divBdr>
    </w:div>
    <w:div w:id="1264459524">
      <w:bodyDiv w:val="1"/>
      <w:marLeft w:val="0"/>
      <w:marRight w:val="0"/>
      <w:marTop w:val="0"/>
      <w:marBottom w:val="0"/>
      <w:divBdr>
        <w:top w:val="none" w:sz="0" w:space="0" w:color="auto"/>
        <w:left w:val="none" w:sz="0" w:space="0" w:color="auto"/>
        <w:bottom w:val="none" w:sz="0" w:space="0" w:color="auto"/>
        <w:right w:val="none" w:sz="0" w:space="0" w:color="auto"/>
      </w:divBdr>
    </w:div>
    <w:div w:id="1310162267">
      <w:bodyDiv w:val="1"/>
      <w:marLeft w:val="0"/>
      <w:marRight w:val="0"/>
      <w:marTop w:val="0"/>
      <w:marBottom w:val="0"/>
      <w:divBdr>
        <w:top w:val="none" w:sz="0" w:space="0" w:color="auto"/>
        <w:left w:val="none" w:sz="0" w:space="0" w:color="auto"/>
        <w:bottom w:val="none" w:sz="0" w:space="0" w:color="auto"/>
        <w:right w:val="none" w:sz="0" w:space="0" w:color="auto"/>
      </w:divBdr>
    </w:div>
    <w:div w:id="1323124409">
      <w:bodyDiv w:val="1"/>
      <w:marLeft w:val="0"/>
      <w:marRight w:val="0"/>
      <w:marTop w:val="0"/>
      <w:marBottom w:val="0"/>
      <w:divBdr>
        <w:top w:val="none" w:sz="0" w:space="0" w:color="auto"/>
        <w:left w:val="none" w:sz="0" w:space="0" w:color="auto"/>
        <w:bottom w:val="none" w:sz="0" w:space="0" w:color="auto"/>
        <w:right w:val="none" w:sz="0" w:space="0" w:color="auto"/>
      </w:divBdr>
    </w:div>
    <w:div w:id="1366835552">
      <w:bodyDiv w:val="1"/>
      <w:marLeft w:val="0"/>
      <w:marRight w:val="0"/>
      <w:marTop w:val="0"/>
      <w:marBottom w:val="0"/>
      <w:divBdr>
        <w:top w:val="none" w:sz="0" w:space="0" w:color="auto"/>
        <w:left w:val="none" w:sz="0" w:space="0" w:color="auto"/>
        <w:bottom w:val="none" w:sz="0" w:space="0" w:color="auto"/>
        <w:right w:val="none" w:sz="0" w:space="0" w:color="auto"/>
      </w:divBdr>
    </w:div>
    <w:div w:id="1456871436">
      <w:bodyDiv w:val="1"/>
      <w:marLeft w:val="0"/>
      <w:marRight w:val="0"/>
      <w:marTop w:val="0"/>
      <w:marBottom w:val="0"/>
      <w:divBdr>
        <w:top w:val="none" w:sz="0" w:space="0" w:color="auto"/>
        <w:left w:val="none" w:sz="0" w:space="0" w:color="auto"/>
        <w:bottom w:val="none" w:sz="0" w:space="0" w:color="auto"/>
        <w:right w:val="none" w:sz="0" w:space="0" w:color="auto"/>
      </w:divBdr>
    </w:div>
    <w:div w:id="1557668897">
      <w:bodyDiv w:val="1"/>
      <w:marLeft w:val="0"/>
      <w:marRight w:val="0"/>
      <w:marTop w:val="0"/>
      <w:marBottom w:val="0"/>
      <w:divBdr>
        <w:top w:val="none" w:sz="0" w:space="0" w:color="auto"/>
        <w:left w:val="none" w:sz="0" w:space="0" w:color="auto"/>
        <w:bottom w:val="none" w:sz="0" w:space="0" w:color="auto"/>
        <w:right w:val="none" w:sz="0" w:space="0" w:color="auto"/>
      </w:divBdr>
    </w:div>
    <w:div w:id="1592860372">
      <w:bodyDiv w:val="1"/>
      <w:marLeft w:val="0"/>
      <w:marRight w:val="0"/>
      <w:marTop w:val="0"/>
      <w:marBottom w:val="0"/>
      <w:divBdr>
        <w:top w:val="none" w:sz="0" w:space="0" w:color="auto"/>
        <w:left w:val="none" w:sz="0" w:space="0" w:color="auto"/>
        <w:bottom w:val="none" w:sz="0" w:space="0" w:color="auto"/>
        <w:right w:val="none" w:sz="0" w:space="0" w:color="auto"/>
      </w:divBdr>
    </w:div>
    <w:div w:id="1718778191">
      <w:bodyDiv w:val="1"/>
      <w:marLeft w:val="0"/>
      <w:marRight w:val="0"/>
      <w:marTop w:val="0"/>
      <w:marBottom w:val="0"/>
      <w:divBdr>
        <w:top w:val="none" w:sz="0" w:space="0" w:color="auto"/>
        <w:left w:val="none" w:sz="0" w:space="0" w:color="auto"/>
        <w:bottom w:val="none" w:sz="0" w:space="0" w:color="auto"/>
        <w:right w:val="none" w:sz="0" w:space="0" w:color="auto"/>
      </w:divBdr>
    </w:div>
    <w:div w:id="1725371386">
      <w:bodyDiv w:val="1"/>
      <w:marLeft w:val="0"/>
      <w:marRight w:val="0"/>
      <w:marTop w:val="0"/>
      <w:marBottom w:val="0"/>
      <w:divBdr>
        <w:top w:val="none" w:sz="0" w:space="0" w:color="auto"/>
        <w:left w:val="none" w:sz="0" w:space="0" w:color="auto"/>
        <w:bottom w:val="none" w:sz="0" w:space="0" w:color="auto"/>
        <w:right w:val="none" w:sz="0" w:space="0" w:color="auto"/>
      </w:divBdr>
    </w:div>
    <w:div w:id="1736315483">
      <w:bodyDiv w:val="1"/>
      <w:marLeft w:val="0"/>
      <w:marRight w:val="0"/>
      <w:marTop w:val="0"/>
      <w:marBottom w:val="0"/>
      <w:divBdr>
        <w:top w:val="none" w:sz="0" w:space="0" w:color="auto"/>
        <w:left w:val="none" w:sz="0" w:space="0" w:color="auto"/>
        <w:bottom w:val="none" w:sz="0" w:space="0" w:color="auto"/>
        <w:right w:val="none" w:sz="0" w:space="0" w:color="auto"/>
      </w:divBdr>
    </w:div>
    <w:div w:id="1759522922">
      <w:bodyDiv w:val="1"/>
      <w:marLeft w:val="0"/>
      <w:marRight w:val="0"/>
      <w:marTop w:val="0"/>
      <w:marBottom w:val="0"/>
      <w:divBdr>
        <w:top w:val="none" w:sz="0" w:space="0" w:color="auto"/>
        <w:left w:val="none" w:sz="0" w:space="0" w:color="auto"/>
        <w:bottom w:val="none" w:sz="0" w:space="0" w:color="auto"/>
        <w:right w:val="none" w:sz="0" w:space="0" w:color="auto"/>
      </w:divBdr>
    </w:div>
    <w:div w:id="1762606245">
      <w:bodyDiv w:val="1"/>
      <w:marLeft w:val="0"/>
      <w:marRight w:val="0"/>
      <w:marTop w:val="0"/>
      <w:marBottom w:val="0"/>
      <w:divBdr>
        <w:top w:val="none" w:sz="0" w:space="0" w:color="auto"/>
        <w:left w:val="none" w:sz="0" w:space="0" w:color="auto"/>
        <w:bottom w:val="none" w:sz="0" w:space="0" w:color="auto"/>
        <w:right w:val="none" w:sz="0" w:space="0" w:color="auto"/>
      </w:divBdr>
    </w:div>
    <w:div w:id="1796212582">
      <w:bodyDiv w:val="1"/>
      <w:marLeft w:val="0"/>
      <w:marRight w:val="0"/>
      <w:marTop w:val="0"/>
      <w:marBottom w:val="0"/>
      <w:divBdr>
        <w:top w:val="none" w:sz="0" w:space="0" w:color="auto"/>
        <w:left w:val="none" w:sz="0" w:space="0" w:color="auto"/>
        <w:bottom w:val="none" w:sz="0" w:space="0" w:color="auto"/>
        <w:right w:val="none" w:sz="0" w:space="0" w:color="auto"/>
      </w:divBdr>
    </w:div>
    <w:div w:id="1940140987">
      <w:bodyDiv w:val="1"/>
      <w:marLeft w:val="0"/>
      <w:marRight w:val="0"/>
      <w:marTop w:val="0"/>
      <w:marBottom w:val="0"/>
      <w:divBdr>
        <w:top w:val="none" w:sz="0" w:space="0" w:color="auto"/>
        <w:left w:val="none" w:sz="0" w:space="0" w:color="auto"/>
        <w:bottom w:val="none" w:sz="0" w:space="0" w:color="auto"/>
        <w:right w:val="none" w:sz="0" w:space="0" w:color="auto"/>
      </w:divBdr>
    </w:div>
    <w:div w:id="1940866017">
      <w:bodyDiv w:val="1"/>
      <w:marLeft w:val="0"/>
      <w:marRight w:val="0"/>
      <w:marTop w:val="0"/>
      <w:marBottom w:val="0"/>
      <w:divBdr>
        <w:top w:val="none" w:sz="0" w:space="0" w:color="auto"/>
        <w:left w:val="none" w:sz="0" w:space="0" w:color="auto"/>
        <w:bottom w:val="none" w:sz="0" w:space="0" w:color="auto"/>
        <w:right w:val="none" w:sz="0" w:space="0" w:color="auto"/>
      </w:divBdr>
    </w:div>
    <w:div w:id="1969626224">
      <w:bodyDiv w:val="1"/>
      <w:marLeft w:val="0"/>
      <w:marRight w:val="0"/>
      <w:marTop w:val="0"/>
      <w:marBottom w:val="0"/>
      <w:divBdr>
        <w:top w:val="none" w:sz="0" w:space="0" w:color="auto"/>
        <w:left w:val="none" w:sz="0" w:space="0" w:color="auto"/>
        <w:bottom w:val="none" w:sz="0" w:space="0" w:color="auto"/>
        <w:right w:val="none" w:sz="0" w:space="0" w:color="auto"/>
      </w:divBdr>
    </w:div>
    <w:div w:id="1974015373">
      <w:bodyDiv w:val="1"/>
      <w:marLeft w:val="0"/>
      <w:marRight w:val="0"/>
      <w:marTop w:val="0"/>
      <w:marBottom w:val="0"/>
      <w:divBdr>
        <w:top w:val="none" w:sz="0" w:space="0" w:color="auto"/>
        <w:left w:val="none" w:sz="0" w:space="0" w:color="auto"/>
        <w:bottom w:val="none" w:sz="0" w:space="0" w:color="auto"/>
        <w:right w:val="none" w:sz="0" w:space="0" w:color="auto"/>
      </w:divBdr>
    </w:div>
    <w:div w:id="1988194691">
      <w:bodyDiv w:val="1"/>
      <w:marLeft w:val="0"/>
      <w:marRight w:val="0"/>
      <w:marTop w:val="0"/>
      <w:marBottom w:val="0"/>
      <w:divBdr>
        <w:top w:val="none" w:sz="0" w:space="0" w:color="auto"/>
        <w:left w:val="none" w:sz="0" w:space="0" w:color="auto"/>
        <w:bottom w:val="none" w:sz="0" w:space="0" w:color="auto"/>
        <w:right w:val="none" w:sz="0" w:space="0" w:color="auto"/>
      </w:divBdr>
    </w:div>
    <w:div w:id="2041390234">
      <w:bodyDiv w:val="1"/>
      <w:marLeft w:val="0"/>
      <w:marRight w:val="0"/>
      <w:marTop w:val="0"/>
      <w:marBottom w:val="0"/>
      <w:divBdr>
        <w:top w:val="none" w:sz="0" w:space="0" w:color="auto"/>
        <w:left w:val="none" w:sz="0" w:space="0" w:color="auto"/>
        <w:bottom w:val="none" w:sz="0" w:space="0" w:color="auto"/>
        <w:right w:val="none" w:sz="0" w:space="0" w:color="auto"/>
      </w:divBdr>
    </w:div>
    <w:div w:id="2111464069">
      <w:bodyDiv w:val="1"/>
      <w:marLeft w:val="0"/>
      <w:marRight w:val="0"/>
      <w:marTop w:val="0"/>
      <w:marBottom w:val="0"/>
      <w:divBdr>
        <w:top w:val="none" w:sz="0" w:space="0" w:color="auto"/>
        <w:left w:val="none" w:sz="0" w:space="0" w:color="auto"/>
        <w:bottom w:val="none" w:sz="0" w:space="0" w:color="auto"/>
        <w:right w:val="none" w:sz="0" w:space="0" w:color="auto"/>
      </w:divBdr>
    </w:div>
    <w:div w:id="2124038355">
      <w:bodyDiv w:val="1"/>
      <w:marLeft w:val="0"/>
      <w:marRight w:val="0"/>
      <w:marTop w:val="0"/>
      <w:marBottom w:val="0"/>
      <w:divBdr>
        <w:top w:val="none" w:sz="0" w:space="0" w:color="auto"/>
        <w:left w:val="none" w:sz="0" w:space="0" w:color="auto"/>
        <w:bottom w:val="none" w:sz="0" w:space="0" w:color="auto"/>
        <w:right w:val="none" w:sz="0" w:space="0" w:color="auto"/>
      </w:divBdr>
    </w:div>
    <w:div w:id="2133674109">
      <w:bodyDiv w:val="1"/>
      <w:marLeft w:val="0"/>
      <w:marRight w:val="0"/>
      <w:marTop w:val="0"/>
      <w:marBottom w:val="0"/>
      <w:divBdr>
        <w:top w:val="none" w:sz="0" w:space="0" w:color="auto"/>
        <w:left w:val="none" w:sz="0" w:space="0" w:color="auto"/>
        <w:bottom w:val="none" w:sz="0" w:space="0" w:color="auto"/>
        <w:right w:val="none" w:sz="0" w:space="0" w:color="auto"/>
      </w:divBdr>
    </w:div>
    <w:div w:id="21363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EFAB4-28F8-44BC-AD09-AF50621E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18</Pages>
  <Words>6530</Words>
  <Characters>37224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SeonKyeong Jang</dc:creator>
  <cp:keywords/>
  <dc:description/>
  <cp:lastModifiedBy>SeonKyeong Jang</cp:lastModifiedBy>
  <cp:revision>48</cp:revision>
  <dcterms:created xsi:type="dcterms:W3CDTF">2020-12-13T21:35:00Z</dcterms:created>
  <dcterms:modified xsi:type="dcterms:W3CDTF">2021-04-14T23:30:00Z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id="6kaeXqMg"/&gt;&lt;style id="http://www.zotero.org/styles/the-american-journal-of-human-genetics" hasBibliography="1" bibliographyStyleHasBeenSet="1"/&gt;&lt;prefs&gt;&lt;pref name="fieldType" value="Field"/&gt;&lt;/pr</vt:lpwstr>
  </property>
  <property fmtid="{D5CDD505-2E9C-101B-9397-08002B2CF9AE}" pid="3" name="ZOTERO_PREF_2">
    <vt:lpwstr>efs&gt;&lt;/data&gt;</vt:lpwstr>
  </property>
</Properties>
</file>