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83B5" w14:textId="77777777" w:rsidR="002276CF" w:rsidRPr="0038672D" w:rsidRDefault="002276CF" w:rsidP="002276CF">
      <w:pPr>
        <w:spacing w:after="0"/>
        <w:rPr>
          <w:rFonts w:eastAsia="SimSun" w:cs="Calibri"/>
          <w:i/>
          <w:iCs/>
          <w:sz w:val="18"/>
          <w:szCs w:val="18"/>
          <w:lang w:val="en-US"/>
        </w:rPr>
      </w:pPr>
    </w:p>
    <w:p w14:paraId="718BA439" w14:textId="3AABD2B5" w:rsidR="002276CF" w:rsidRPr="0038672D" w:rsidRDefault="002276CF" w:rsidP="002276CF">
      <w:pPr>
        <w:ind w:right="39"/>
        <w:contextualSpacing/>
        <w:jc w:val="both"/>
        <w:rPr>
          <w:rFonts w:eastAsia="SimSun" w:cs="Calibri"/>
          <w:b/>
          <w:iCs/>
          <w:lang w:val="en-US"/>
        </w:rPr>
      </w:pPr>
      <w:r>
        <w:rPr>
          <w:rFonts w:eastAsia="SimSun" w:cs="Calibri"/>
          <w:b/>
          <w:iCs/>
          <w:lang w:val="en-US"/>
        </w:rPr>
        <w:t>Supplement</w:t>
      </w:r>
      <w:r w:rsidR="00652309">
        <w:rPr>
          <w:rFonts w:eastAsia="SimSun" w:cs="Calibri"/>
          <w:b/>
          <w:iCs/>
          <w:lang w:val="en-US"/>
        </w:rPr>
        <w:t>ary File</w:t>
      </w:r>
      <w:r>
        <w:rPr>
          <w:rFonts w:eastAsia="SimSun" w:cs="Calibri"/>
          <w:b/>
          <w:iCs/>
          <w:lang w:val="en-US"/>
        </w:rPr>
        <w:t xml:space="preserve"> </w:t>
      </w:r>
      <w:r w:rsidRPr="0038672D">
        <w:rPr>
          <w:rFonts w:eastAsia="SimSun" w:cs="Calibri"/>
          <w:b/>
          <w:iCs/>
          <w:lang w:val="en-US"/>
        </w:rPr>
        <w:t>1. Patient cases in standardized patient assessments (SPAs)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889"/>
        <w:gridCol w:w="1889"/>
        <w:gridCol w:w="1889"/>
        <w:gridCol w:w="1890"/>
      </w:tblGrid>
      <w:tr w:rsidR="002276CF" w:rsidRPr="0038672D" w14:paraId="620EED77" w14:textId="77777777" w:rsidTr="00D54C83">
        <w:tc>
          <w:tcPr>
            <w:tcW w:w="1510" w:type="dxa"/>
            <w:shd w:val="clear" w:color="auto" w:fill="auto"/>
          </w:tcPr>
          <w:p w14:paraId="15280703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</w:p>
        </w:tc>
        <w:tc>
          <w:tcPr>
            <w:tcW w:w="3778" w:type="dxa"/>
            <w:gridSpan w:val="2"/>
            <w:shd w:val="clear" w:color="auto" w:fill="auto"/>
          </w:tcPr>
          <w:p w14:paraId="3BA1AB92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>
              <w:rPr>
                <w:rFonts w:eastAsia="SimSun" w:cs="Calibri"/>
                <w:b/>
                <w:iCs/>
                <w:lang w:val="en-US"/>
              </w:rPr>
              <w:t>Palliative setting</w:t>
            </w:r>
          </w:p>
        </w:tc>
        <w:tc>
          <w:tcPr>
            <w:tcW w:w="3779" w:type="dxa"/>
            <w:gridSpan w:val="2"/>
            <w:shd w:val="clear" w:color="auto" w:fill="auto"/>
          </w:tcPr>
          <w:p w14:paraId="443FE3B2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>
              <w:rPr>
                <w:rFonts w:eastAsia="SimSun" w:cs="Calibri"/>
                <w:b/>
                <w:iCs/>
                <w:lang w:val="en-US"/>
              </w:rPr>
              <w:t>Curative setting</w:t>
            </w:r>
          </w:p>
        </w:tc>
      </w:tr>
      <w:tr w:rsidR="002276CF" w:rsidRPr="0038672D" w14:paraId="0D3B48FF" w14:textId="77777777" w:rsidTr="00D54C83">
        <w:tc>
          <w:tcPr>
            <w:tcW w:w="1510" w:type="dxa"/>
            <w:shd w:val="clear" w:color="auto" w:fill="auto"/>
          </w:tcPr>
          <w:p w14:paraId="71B8EB35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</w:p>
        </w:tc>
        <w:tc>
          <w:tcPr>
            <w:tcW w:w="1889" w:type="dxa"/>
            <w:shd w:val="clear" w:color="auto" w:fill="auto"/>
          </w:tcPr>
          <w:p w14:paraId="5E244F8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Case 1</w:t>
            </w:r>
          </w:p>
        </w:tc>
        <w:tc>
          <w:tcPr>
            <w:tcW w:w="1889" w:type="dxa"/>
            <w:shd w:val="clear" w:color="auto" w:fill="auto"/>
          </w:tcPr>
          <w:p w14:paraId="320CEBC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Case 2</w:t>
            </w:r>
          </w:p>
        </w:tc>
        <w:tc>
          <w:tcPr>
            <w:tcW w:w="1889" w:type="dxa"/>
            <w:shd w:val="clear" w:color="auto" w:fill="auto"/>
          </w:tcPr>
          <w:p w14:paraId="34BF02EC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Case 1</w:t>
            </w:r>
          </w:p>
        </w:tc>
        <w:tc>
          <w:tcPr>
            <w:tcW w:w="1890" w:type="dxa"/>
            <w:shd w:val="clear" w:color="auto" w:fill="auto"/>
          </w:tcPr>
          <w:p w14:paraId="1EDFDD58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Case 2</w:t>
            </w:r>
          </w:p>
        </w:tc>
      </w:tr>
      <w:tr w:rsidR="002276CF" w:rsidRPr="0038672D" w14:paraId="1619641F" w14:textId="77777777" w:rsidTr="00D54C83">
        <w:tc>
          <w:tcPr>
            <w:tcW w:w="1510" w:type="dxa"/>
            <w:shd w:val="clear" w:color="auto" w:fill="auto"/>
          </w:tcPr>
          <w:p w14:paraId="366C11D0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Sex</w:t>
            </w:r>
          </w:p>
        </w:tc>
        <w:tc>
          <w:tcPr>
            <w:tcW w:w="1889" w:type="dxa"/>
            <w:shd w:val="clear" w:color="auto" w:fill="auto"/>
          </w:tcPr>
          <w:p w14:paraId="6AF434B9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Male</w:t>
            </w:r>
          </w:p>
        </w:tc>
        <w:tc>
          <w:tcPr>
            <w:tcW w:w="1889" w:type="dxa"/>
            <w:shd w:val="clear" w:color="auto" w:fill="auto"/>
          </w:tcPr>
          <w:p w14:paraId="35978715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Male</w:t>
            </w:r>
          </w:p>
        </w:tc>
        <w:tc>
          <w:tcPr>
            <w:tcW w:w="1889" w:type="dxa"/>
            <w:shd w:val="clear" w:color="auto" w:fill="auto"/>
          </w:tcPr>
          <w:p w14:paraId="1125FD6F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Male</w:t>
            </w:r>
          </w:p>
        </w:tc>
        <w:tc>
          <w:tcPr>
            <w:tcW w:w="1890" w:type="dxa"/>
            <w:shd w:val="clear" w:color="auto" w:fill="auto"/>
          </w:tcPr>
          <w:p w14:paraId="797845C4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Male</w:t>
            </w:r>
          </w:p>
        </w:tc>
      </w:tr>
      <w:tr w:rsidR="002276CF" w:rsidRPr="0038672D" w14:paraId="34C6ABFA" w14:textId="77777777" w:rsidTr="00D54C83">
        <w:tc>
          <w:tcPr>
            <w:tcW w:w="1510" w:type="dxa"/>
            <w:shd w:val="clear" w:color="auto" w:fill="auto"/>
          </w:tcPr>
          <w:p w14:paraId="6722ACBC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Age</w:t>
            </w:r>
          </w:p>
        </w:tc>
        <w:tc>
          <w:tcPr>
            <w:tcW w:w="1889" w:type="dxa"/>
            <w:shd w:val="clear" w:color="auto" w:fill="auto"/>
          </w:tcPr>
          <w:p w14:paraId="3849A055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58</w:t>
            </w:r>
          </w:p>
        </w:tc>
        <w:tc>
          <w:tcPr>
            <w:tcW w:w="1889" w:type="dxa"/>
            <w:shd w:val="clear" w:color="auto" w:fill="auto"/>
          </w:tcPr>
          <w:p w14:paraId="7B98B644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63</w:t>
            </w:r>
          </w:p>
        </w:tc>
        <w:tc>
          <w:tcPr>
            <w:tcW w:w="1889" w:type="dxa"/>
            <w:shd w:val="clear" w:color="auto" w:fill="auto"/>
          </w:tcPr>
          <w:p w14:paraId="2C95434B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76</w:t>
            </w:r>
          </w:p>
        </w:tc>
        <w:tc>
          <w:tcPr>
            <w:tcW w:w="1890" w:type="dxa"/>
            <w:shd w:val="clear" w:color="auto" w:fill="auto"/>
          </w:tcPr>
          <w:p w14:paraId="75435FFF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74</w:t>
            </w:r>
          </w:p>
        </w:tc>
      </w:tr>
      <w:tr w:rsidR="002276CF" w:rsidRPr="0038672D" w14:paraId="49BA877B" w14:textId="77777777" w:rsidTr="00D54C83">
        <w:tc>
          <w:tcPr>
            <w:tcW w:w="1510" w:type="dxa"/>
            <w:shd w:val="clear" w:color="auto" w:fill="auto"/>
          </w:tcPr>
          <w:p w14:paraId="44C076DA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Occupation</w:t>
            </w:r>
          </w:p>
        </w:tc>
        <w:tc>
          <w:tcPr>
            <w:tcW w:w="1889" w:type="dxa"/>
            <w:shd w:val="clear" w:color="auto" w:fill="auto"/>
          </w:tcPr>
          <w:p w14:paraId="269C6BA7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Accountant</w:t>
            </w:r>
          </w:p>
        </w:tc>
        <w:tc>
          <w:tcPr>
            <w:tcW w:w="1889" w:type="dxa"/>
            <w:shd w:val="clear" w:color="auto" w:fill="auto"/>
          </w:tcPr>
          <w:p w14:paraId="59DAB311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Retiree</w:t>
            </w:r>
          </w:p>
        </w:tc>
        <w:tc>
          <w:tcPr>
            <w:tcW w:w="1889" w:type="dxa"/>
            <w:shd w:val="clear" w:color="auto" w:fill="auto"/>
          </w:tcPr>
          <w:p w14:paraId="3614855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Retiree</w:t>
            </w:r>
          </w:p>
        </w:tc>
        <w:tc>
          <w:tcPr>
            <w:tcW w:w="1890" w:type="dxa"/>
            <w:shd w:val="clear" w:color="auto" w:fill="auto"/>
          </w:tcPr>
          <w:p w14:paraId="4C4D3A18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Retiree</w:t>
            </w:r>
          </w:p>
        </w:tc>
      </w:tr>
      <w:tr w:rsidR="002276CF" w:rsidRPr="0038672D" w14:paraId="6B7BB9FE" w14:textId="77777777" w:rsidTr="00D54C83">
        <w:tc>
          <w:tcPr>
            <w:tcW w:w="1510" w:type="dxa"/>
            <w:shd w:val="clear" w:color="auto" w:fill="auto"/>
          </w:tcPr>
          <w:p w14:paraId="13EC4E95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Type of cancer</w:t>
            </w:r>
          </w:p>
        </w:tc>
        <w:tc>
          <w:tcPr>
            <w:tcW w:w="1889" w:type="dxa"/>
            <w:shd w:val="clear" w:color="auto" w:fill="auto"/>
          </w:tcPr>
          <w:p w14:paraId="6B8F55E2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lang w:val="en-US"/>
              </w:rPr>
              <w:t xml:space="preserve">Metastasized gastric </w:t>
            </w:r>
          </w:p>
        </w:tc>
        <w:tc>
          <w:tcPr>
            <w:tcW w:w="1889" w:type="dxa"/>
            <w:shd w:val="clear" w:color="auto" w:fill="auto"/>
          </w:tcPr>
          <w:p w14:paraId="74DEC24C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 xml:space="preserve">Metastasized esophageal </w:t>
            </w:r>
          </w:p>
        </w:tc>
        <w:tc>
          <w:tcPr>
            <w:tcW w:w="1889" w:type="dxa"/>
            <w:shd w:val="clear" w:color="auto" w:fill="auto"/>
          </w:tcPr>
          <w:p w14:paraId="20D0DFE9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 xml:space="preserve">Localized esophageal </w:t>
            </w:r>
          </w:p>
        </w:tc>
        <w:tc>
          <w:tcPr>
            <w:tcW w:w="1890" w:type="dxa"/>
            <w:shd w:val="clear" w:color="auto" w:fill="auto"/>
          </w:tcPr>
          <w:p w14:paraId="082AC2B1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 xml:space="preserve">Localized esophageal </w:t>
            </w:r>
          </w:p>
        </w:tc>
      </w:tr>
      <w:tr w:rsidR="002276CF" w:rsidRPr="0038672D" w14:paraId="15B76ADF" w14:textId="77777777" w:rsidTr="00D54C83">
        <w:tc>
          <w:tcPr>
            <w:tcW w:w="1510" w:type="dxa"/>
            <w:shd w:val="clear" w:color="auto" w:fill="auto"/>
          </w:tcPr>
          <w:p w14:paraId="049B403C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Indicated treatment</w:t>
            </w:r>
          </w:p>
        </w:tc>
        <w:tc>
          <w:tcPr>
            <w:tcW w:w="1889" w:type="dxa"/>
            <w:shd w:val="clear" w:color="auto" w:fill="auto"/>
          </w:tcPr>
          <w:p w14:paraId="52FBF41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lang w:val="en-US"/>
              </w:rPr>
              <w:t xml:space="preserve">Palliative systemic treatment </w:t>
            </w:r>
          </w:p>
        </w:tc>
        <w:tc>
          <w:tcPr>
            <w:tcW w:w="1889" w:type="dxa"/>
            <w:shd w:val="clear" w:color="auto" w:fill="auto"/>
          </w:tcPr>
          <w:p w14:paraId="26D11730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lang w:val="en-US"/>
              </w:rPr>
              <w:t xml:space="preserve">Palliative systemic treatment </w:t>
            </w:r>
          </w:p>
        </w:tc>
        <w:tc>
          <w:tcPr>
            <w:tcW w:w="1889" w:type="dxa"/>
            <w:shd w:val="clear" w:color="auto" w:fill="auto"/>
          </w:tcPr>
          <w:p w14:paraId="3E7362A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Curative treatment</w:t>
            </w:r>
          </w:p>
        </w:tc>
        <w:tc>
          <w:tcPr>
            <w:tcW w:w="1890" w:type="dxa"/>
            <w:shd w:val="clear" w:color="auto" w:fill="auto"/>
          </w:tcPr>
          <w:p w14:paraId="6B9D89AC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Curative treatment</w:t>
            </w:r>
          </w:p>
        </w:tc>
      </w:tr>
      <w:tr w:rsidR="002276CF" w:rsidRPr="00504735" w14:paraId="71942BAF" w14:textId="77777777" w:rsidTr="00D54C83">
        <w:tc>
          <w:tcPr>
            <w:tcW w:w="1510" w:type="dxa"/>
            <w:shd w:val="clear" w:color="auto" w:fill="auto"/>
          </w:tcPr>
          <w:p w14:paraId="388BA954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Substance and use</w:t>
            </w:r>
          </w:p>
        </w:tc>
        <w:tc>
          <w:tcPr>
            <w:tcW w:w="1889" w:type="dxa"/>
            <w:shd w:val="clear" w:color="auto" w:fill="auto"/>
          </w:tcPr>
          <w:p w14:paraId="60EBDDD2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Alcohol, 5-6 glasses a day in the weekends</w:t>
            </w:r>
          </w:p>
        </w:tc>
        <w:tc>
          <w:tcPr>
            <w:tcW w:w="1889" w:type="dxa"/>
            <w:shd w:val="clear" w:color="auto" w:fill="auto"/>
          </w:tcPr>
          <w:p w14:paraId="53A9A71E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Smoking, half a pack of cigarettes a day</w:t>
            </w:r>
          </w:p>
        </w:tc>
        <w:tc>
          <w:tcPr>
            <w:tcW w:w="1889" w:type="dxa"/>
            <w:shd w:val="clear" w:color="auto" w:fill="auto"/>
          </w:tcPr>
          <w:p w14:paraId="2E7CFDF8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Alcohol, 5-6 glasses a day in the weekends</w:t>
            </w:r>
          </w:p>
        </w:tc>
        <w:tc>
          <w:tcPr>
            <w:tcW w:w="1890" w:type="dxa"/>
            <w:shd w:val="clear" w:color="auto" w:fill="auto"/>
          </w:tcPr>
          <w:p w14:paraId="0C27E54B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Smoking, half a pack of cigarettes a day</w:t>
            </w:r>
          </w:p>
        </w:tc>
      </w:tr>
      <w:tr w:rsidR="002276CF" w:rsidRPr="0038672D" w14:paraId="64C602E0" w14:textId="77777777" w:rsidTr="00D54C83">
        <w:tc>
          <w:tcPr>
            <w:tcW w:w="1510" w:type="dxa"/>
            <w:shd w:val="clear" w:color="auto" w:fill="auto"/>
          </w:tcPr>
          <w:p w14:paraId="5C5CD6AD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b/>
                <w:iCs/>
                <w:lang w:val="en-US"/>
              </w:rPr>
            </w:pPr>
            <w:r w:rsidRPr="0038672D">
              <w:rPr>
                <w:rFonts w:eastAsia="SimSun" w:cs="Calibri"/>
                <w:b/>
                <w:iCs/>
                <w:lang w:val="en-US"/>
              </w:rPr>
              <w:t>Comorbidity</w:t>
            </w:r>
          </w:p>
        </w:tc>
        <w:tc>
          <w:tcPr>
            <w:tcW w:w="1889" w:type="dxa"/>
            <w:shd w:val="clear" w:color="auto" w:fill="auto"/>
          </w:tcPr>
          <w:p w14:paraId="70A49FA9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Hypertension</w:t>
            </w:r>
          </w:p>
        </w:tc>
        <w:tc>
          <w:tcPr>
            <w:tcW w:w="1889" w:type="dxa"/>
            <w:shd w:val="clear" w:color="auto" w:fill="auto"/>
          </w:tcPr>
          <w:p w14:paraId="768DF70D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</w:p>
        </w:tc>
        <w:tc>
          <w:tcPr>
            <w:tcW w:w="1889" w:type="dxa"/>
            <w:shd w:val="clear" w:color="auto" w:fill="auto"/>
          </w:tcPr>
          <w:p w14:paraId="3F4B93DA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Hypertension; heart attack (10 years ago)</w:t>
            </w:r>
          </w:p>
        </w:tc>
        <w:tc>
          <w:tcPr>
            <w:tcW w:w="1890" w:type="dxa"/>
            <w:shd w:val="clear" w:color="auto" w:fill="auto"/>
          </w:tcPr>
          <w:p w14:paraId="5173DBD9" w14:textId="77777777" w:rsidR="002276CF" w:rsidRPr="0038672D" w:rsidRDefault="002276CF" w:rsidP="00D54C83">
            <w:pPr>
              <w:spacing w:after="0" w:line="240" w:lineRule="auto"/>
              <w:ind w:right="39"/>
              <w:contextualSpacing/>
              <w:rPr>
                <w:rFonts w:eastAsia="SimSun" w:cs="Calibri"/>
                <w:iCs/>
                <w:lang w:val="en-US"/>
              </w:rPr>
            </w:pPr>
            <w:r w:rsidRPr="0038672D">
              <w:rPr>
                <w:rFonts w:eastAsia="SimSun" w:cs="Calibri"/>
                <w:iCs/>
                <w:lang w:val="en-US"/>
              </w:rPr>
              <w:t>Hypertension; type 2 diabetes; arthrosis</w:t>
            </w:r>
          </w:p>
        </w:tc>
      </w:tr>
    </w:tbl>
    <w:p w14:paraId="1B692C8F" w14:textId="77777777" w:rsidR="002276CF" w:rsidRPr="0038672D" w:rsidRDefault="002276CF" w:rsidP="002276CF">
      <w:pPr>
        <w:spacing w:after="0"/>
        <w:rPr>
          <w:b/>
          <w:lang w:val="en-US"/>
        </w:rPr>
      </w:pPr>
      <w:r>
        <w:rPr>
          <w:sz w:val="18"/>
          <w:lang w:val="en-US"/>
        </w:rPr>
        <w:t xml:space="preserve">*The same three actors took on the patient roles in these four cases </w:t>
      </w:r>
    </w:p>
    <w:p w14:paraId="2CDF33FB" w14:textId="77777777" w:rsidR="002276CF" w:rsidRPr="0038672D" w:rsidRDefault="002276CF" w:rsidP="002276CF">
      <w:pPr>
        <w:spacing w:after="0"/>
        <w:rPr>
          <w:b/>
          <w:lang w:val="en-US"/>
        </w:rPr>
      </w:pPr>
    </w:p>
    <w:p w14:paraId="09D9E959" w14:textId="77777777" w:rsidR="002276CF" w:rsidRPr="0038672D" w:rsidRDefault="002276CF" w:rsidP="002276CF">
      <w:pPr>
        <w:spacing w:after="0"/>
        <w:rPr>
          <w:b/>
          <w:lang w:val="en-US"/>
        </w:rPr>
      </w:pPr>
    </w:p>
    <w:p w14:paraId="07D9A18D" w14:textId="77777777" w:rsidR="002276CF" w:rsidRPr="0038672D" w:rsidRDefault="002276CF" w:rsidP="002276CF">
      <w:pPr>
        <w:spacing w:after="0"/>
        <w:rPr>
          <w:b/>
          <w:lang w:val="en-US"/>
        </w:rPr>
      </w:pPr>
    </w:p>
    <w:p w14:paraId="3A2B60CF" w14:textId="77777777" w:rsidR="00505539" w:rsidRPr="002276CF" w:rsidRDefault="00505539" w:rsidP="00E1684F">
      <w:pPr>
        <w:rPr>
          <w:lang w:val="en-US"/>
        </w:rPr>
      </w:pPr>
    </w:p>
    <w:sectPr w:rsidR="00505539" w:rsidRPr="00227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CF"/>
    <w:rsid w:val="001A71D9"/>
    <w:rsid w:val="00225B02"/>
    <w:rsid w:val="002276CF"/>
    <w:rsid w:val="00476272"/>
    <w:rsid w:val="004E10E2"/>
    <w:rsid w:val="00505539"/>
    <w:rsid w:val="00506189"/>
    <w:rsid w:val="005147C8"/>
    <w:rsid w:val="005B2AF3"/>
    <w:rsid w:val="005E4B36"/>
    <w:rsid w:val="00652309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16B4"/>
  <w15:chartTrackingRefBased/>
  <w15:docId w15:val="{24A8AF62-566C-42E2-8E6D-D3AC9F71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76CF"/>
    <w:pPr>
      <w:spacing w:after="160" w:line="259" w:lineRule="auto"/>
    </w:pPr>
    <w:rPr>
      <w:rFonts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 w:line="288" w:lineRule="auto"/>
      <w:outlineLvl w:val="0"/>
    </w:pPr>
    <w:rPr>
      <w:rFonts w:ascii="Trebuchet MS" w:eastAsiaTheme="majorEastAsia" w:hAnsi="Trebuchet MS" w:cstheme="majorBidi"/>
      <w:b/>
      <w:bCs/>
      <w:kern w:val="32"/>
      <w:sz w:val="28"/>
      <w:szCs w:val="32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 w:line="288" w:lineRule="auto"/>
      <w:outlineLvl w:val="1"/>
    </w:pPr>
    <w:rPr>
      <w:rFonts w:ascii="Trebuchet MS" w:eastAsia="Times New Roman" w:hAnsi="Trebuchet MS" w:cs="Times New Roman"/>
      <w:bCs/>
      <w:iCs/>
      <w:kern w:val="2"/>
      <w:sz w:val="24"/>
      <w:szCs w:val="28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 w:line="288" w:lineRule="auto"/>
      <w:contextualSpacing/>
      <w:outlineLvl w:val="2"/>
    </w:pPr>
    <w:rPr>
      <w:rFonts w:ascii="Trebuchet MS" w:eastAsia="Times New Roman" w:hAnsi="Trebuchet MS" w:cs="Times New Roman"/>
      <w:b/>
      <w:bCs/>
      <w:smallCaps/>
      <w:kern w:val="2"/>
      <w:szCs w:val="26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 w:after="0" w:line="288" w:lineRule="auto"/>
      <w:outlineLvl w:val="3"/>
    </w:pPr>
    <w:rPr>
      <w:rFonts w:ascii="Trebuchet MS" w:eastAsiaTheme="minorEastAsia" w:hAnsi="Trebuchet MS" w:cstheme="minorBidi"/>
      <w:b/>
      <w:bCs/>
      <w:kern w:val="2"/>
      <w:sz w:val="20"/>
      <w:szCs w:val="28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 w:line="288" w:lineRule="auto"/>
      <w:jc w:val="center"/>
      <w:outlineLvl w:val="0"/>
    </w:pPr>
    <w:rPr>
      <w:rFonts w:ascii="Trebuchet MS" w:eastAsiaTheme="majorEastAsia" w:hAnsi="Trebuchet MS" w:cstheme="majorBidi"/>
      <w:b/>
      <w:bCs/>
      <w:kern w:val="28"/>
      <w:sz w:val="32"/>
      <w:szCs w:val="32"/>
      <w14:ligatures w14:val="standardContextual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 w:line="288" w:lineRule="auto"/>
      <w:jc w:val="center"/>
      <w:outlineLvl w:val="1"/>
    </w:pPr>
    <w:rPr>
      <w:rFonts w:ascii="Trebuchet MS" w:eastAsia="Times New Roman" w:hAnsi="Trebuchet MS" w:cs="Times New Roman"/>
      <w:kern w:val="2"/>
      <w:sz w:val="24"/>
      <w:szCs w:val="24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spacing w:after="0" w:line="288" w:lineRule="auto"/>
      <w:ind w:left="708"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 w:line="288" w:lineRule="auto"/>
    </w:pPr>
    <w:rPr>
      <w:rFonts w:ascii="Trebuchet MS" w:hAnsi="Trebuchet MS" w:cs="Times New Roman"/>
      <w:kern w:val="2"/>
      <w:sz w:val="20"/>
      <w:lang w:eastAsia="nl-NL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 w:line="288" w:lineRule="auto"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 w:line="288" w:lineRule="auto"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 w:line="288" w:lineRule="auto"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 w:line="288" w:lineRule="auto"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spacing w:after="0" w:line="288" w:lineRule="auto"/>
      <w:contextualSpacing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spacing w:after="0" w:line="288" w:lineRule="auto"/>
      <w:contextualSpacing/>
    </w:pPr>
    <w:rPr>
      <w:rFonts w:ascii="Trebuchet MS" w:hAnsi="Trebuchet MS" w:cs="Times New Roman"/>
      <w:kern w:val="2"/>
      <w:sz w:val="20"/>
      <w:szCs w:val="20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line="288" w:lineRule="auto"/>
      <w:ind w:left="864" w:right="864"/>
      <w:jc w:val="center"/>
    </w:pPr>
    <w:rPr>
      <w:rFonts w:ascii="Trebuchet MS" w:hAnsi="Trebuchet MS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Henselmans, I. (Inge)</dc:creator>
  <cp:keywords/>
  <dc:description/>
  <cp:lastModifiedBy>Henselmans, I. (Inge)</cp:lastModifiedBy>
  <cp:revision>2</cp:revision>
  <dcterms:created xsi:type="dcterms:W3CDTF">2024-07-09T18:48:00Z</dcterms:created>
  <dcterms:modified xsi:type="dcterms:W3CDTF">2024-07-09T18:56:00Z</dcterms:modified>
</cp:coreProperties>
</file>