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3466"/>
        <w:gridCol w:w="1276"/>
        <w:gridCol w:w="1559"/>
        <w:gridCol w:w="1670"/>
      </w:tblGrid>
      <w:tr w:rsidR="00376BB6" w:rsidRPr="000E3EEB" w14:paraId="26B746EC" w14:textId="5DA702B6" w:rsidTr="00684178">
        <w:trPr>
          <w:trHeight w:val="269"/>
          <w:jc w:val="center"/>
        </w:trPr>
        <w:tc>
          <w:tcPr>
            <w:tcW w:w="4390" w:type="dxa"/>
            <w:vMerge w:val="restart"/>
            <w:shd w:val="clear" w:color="auto" w:fill="F1A983" w:themeFill="accent2" w:themeFillTint="99"/>
          </w:tcPr>
          <w:p w14:paraId="36E3F5F0" w14:textId="792F5054" w:rsidR="00703400" w:rsidRPr="00FF43B1" w:rsidRDefault="00CB4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F3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Recommendations to improve health checks quality and effectiveness</w:t>
            </w:r>
          </w:p>
        </w:tc>
        <w:tc>
          <w:tcPr>
            <w:tcW w:w="13466" w:type="dxa"/>
            <w:vMerge w:val="restart"/>
            <w:shd w:val="clear" w:color="auto" w:fill="F1A983" w:themeFill="accent2" w:themeFillTint="99"/>
          </w:tcPr>
          <w:p w14:paraId="625ED9AB" w14:textId="6498818F" w:rsidR="00703400" w:rsidRPr="00FF43B1" w:rsidRDefault="00703400" w:rsidP="00B70E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8882102"/>
            <w:r w:rsidRPr="00FF4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How </w:t>
            </w:r>
            <w:r w:rsidR="00032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it</w:t>
            </w:r>
            <w:r w:rsidRPr="00FF4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 achieved?</w:t>
            </w:r>
            <w:bookmarkEnd w:id="0"/>
          </w:p>
        </w:tc>
        <w:tc>
          <w:tcPr>
            <w:tcW w:w="2835" w:type="dxa"/>
            <w:gridSpan w:val="2"/>
            <w:shd w:val="clear" w:color="auto" w:fill="F1A983" w:themeFill="accent2" w:themeFillTint="99"/>
          </w:tcPr>
          <w:p w14:paraId="59FD07A1" w14:textId="06EA0195" w:rsidR="00703400" w:rsidRPr="00FF43B1" w:rsidRDefault="0070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3B1">
              <w:rPr>
                <w:rFonts w:ascii="Times New Roman" w:hAnsi="Times New Roman" w:cs="Times New Roman"/>
                <w:sz w:val="24"/>
                <w:szCs w:val="24"/>
              </w:rPr>
              <w:t>POLICY RECOMMENDATIONS</w:t>
            </w:r>
          </w:p>
        </w:tc>
        <w:tc>
          <w:tcPr>
            <w:tcW w:w="1670" w:type="dxa"/>
            <w:vMerge w:val="restart"/>
            <w:shd w:val="clear" w:color="auto" w:fill="F1A983" w:themeFill="accent2" w:themeFillTint="99"/>
          </w:tcPr>
          <w:p w14:paraId="7C9BDC08" w14:textId="167D310C" w:rsidR="00703400" w:rsidRPr="00FF43B1" w:rsidRDefault="0070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3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0463C" w:rsidRPr="00FF43B1">
              <w:rPr>
                <w:rFonts w:ascii="Times New Roman" w:hAnsi="Times New Roman" w:cs="Times New Roman"/>
                <w:sz w:val="24"/>
                <w:szCs w:val="24"/>
              </w:rPr>
              <w:t>RACTICE RECOMMENDATION</w:t>
            </w:r>
            <w:r w:rsidR="00B7103B" w:rsidRPr="00FF43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6B1FD83B" w14:textId="5BCF48CA" w:rsidR="00703400" w:rsidRPr="00FF43B1" w:rsidRDefault="00703400" w:rsidP="0033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EEB" w:rsidRPr="000E3EEB" w14:paraId="55913842" w14:textId="252A9098" w:rsidTr="00684178">
        <w:trPr>
          <w:jc w:val="center"/>
        </w:trPr>
        <w:tc>
          <w:tcPr>
            <w:tcW w:w="4390" w:type="dxa"/>
            <w:vMerge/>
            <w:shd w:val="clear" w:color="auto" w:fill="F1A983" w:themeFill="accent2" w:themeFillTint="99"/>
          </w:tcPr>
          <w:p w14:paraId="60289BD5" w14:textId="77777777" w:rsidR="00703400" w:rsidRPr="000E3EEB" w:rsidRDefault="00703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  <w:vMerge/>
            <w:shd w:val="clear" w:color="auto" w:fill="F1A983" w:themeFill="accent2" w:themeFillTint="99"/>
          </w:tcPr>
          <w:p w14:paraId="10EF1AE4" w14:textId="77777777" w:rsidR="00703400" w:rsidRPr="000E3EEB" w:rsidRDefault="00703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1A983" w:themeFill="accent2" w:themeFillTint="99"/>
          </w:tcPr>
          <w:p w14:paraId="2D378255" w14:textId="362188CD" w:rsidR="00703400" w:rsidRPr="000E3EEB" w:rsidRDefault="00703400">
            <w:p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Funding </w:t>
            </w:r>
            <w:r w:rsidR="00F0463C" w:rsidRPr="000E3EEB">
              <w:rPr>
                <w:rFonts w:ascii="Times New Roman" w:hAnsi="Times New Roman" w:cs="Times New Roman"/>
              </w:rPr>
              <w:t xml:space="preserve">priorities 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4BB2D02D" w14:textId="3F8A00D5" w:rsidR="00703400" w:rsidRPr="000E3EEB" w:rsidRDefault="00703400">
            <w:p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Specific polic</w:t>
            </w:r>
            <w:r w:rsidR="00F0463C" w:rsidRPr="000E3EEB">
              <w:rPr>
                <w:rFonts w:ascii="Times New Roman" w:hAnsi="Times New Roman" w:cs="Times New Roman"/>
              </w:rPr>
              <w:t xml:space="preserve">y recommendations </w:t>
            </w:r>
            <w:r w:rsidRPr="000E3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0" w:type="dxa"/>
            <w:vMerge/>
            <w:shd w:val="clear" w:color="auto" w:fill="F1A983" w:themeFill="accent2" w:themeFillTint="99"/>
          </w:tcPr>
          <w:p w14:paraId="6CF9E345" w14:textId="60FE0713" w:rsidR="00703400" w:rsidRPr="000E3EEB" w:rsidRDefault="00703400">
            <w:pPr>
              <w:rPr>
                <w:rFonts w:ascii="Times New Roman" w:hAnsi="Times New Roman" w:cs="Times New Roman"/>
              </w:rPr>
            </w:pPr>
          </w:p>
        </w:tc>
      </w:tr>
      <w:tr w:rsidR="000E3EEB" w:rsidRPr="000E3EEB" w14:paraId="778C47C6" w14:textId="77777777" w:rsidTr="00376BB6">
        <w:trPr>
          <w:jc w:val="center"/>
        </w:trPr>
        <w:tc>
          <w:tcPr>
            <w:tcW w:w="22361" w:type="dxa"/>
            <w:gridSpan w:val="5"/>
            <w:shd w:val="clear" w:color="auto" w:fill="CAEDFB" w:themeFill="accent4" w:themeFillTint="33"/>
          </w:tcPr>
          <w:p w14:paraId="0E7D49FE" w14:textId="48C51E17" w:rsidR="000E3EEB" w:rsidRPr="000E3EEB" w:rsidRDefault="000E3EEB" w:rsidP="000E3EE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Ensure HCs Content is </w:t>
            </w:r>
            <w:r w:rsidR="0044073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evidence based and </w:t>
            </w:r>
            <w:r w:rsidRPr="000E3E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culturally safe</w:t>
            </w:r>
          </w:p>
        </w:tc>
      </w:tr>
      <w:tr w:rsidR="00376BB6" w:rsidRPr="000E3EEB" w14:paraId="08B8A5BB" w14:textId="3FEBC353" w:rsidTr="00684178">
        <w:trPr>
          <w:jc w:val="center"/>
        </w:trPr>
        <w:tc>
          <w:tcPr>
            <w:tcW w:w="4390" w:type="dxa"/>
          </w:tcPr>
          <w:p w14:paraId="7F1FA92C" w14:textId="7BFDCE3F" w:rsidR="00CB5B87" w:rsidRPr="000E3EEB" w:rsidRDefault="00421215" w:rsidP="001A268F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Maintain supp</w:t>
            </w:r>
            <w:r w:rsidR="005136D8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ort to review </w:t>
            </w:r>
            <w:r w:rsidR="00B27A42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components</w:t>
            </w:r>
            <w:r w:rsidR="005136D8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content</w:t>
            </w:r>
            <w:r w:rsidR="00B27A42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of </w:t>
            </w:r>
            <w:r w:rsidR="00CB5B87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</w:t>
            </w:r>
            <w:r w:rsidR="005136D8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s.</w:t>
            </w:r>
          </w:p>
        </w:tc>
        <w:tc>
          <w:tcPr>
            <w:tcW w:w="13466" w:type="dxa"/>
          </w:tcPr>
          <w:p w14:paraId="7CA9F1B8" w14:textId="03887537" w:rsidR="00CB5B87" w:rsidRPr="002958E0" w:rsidRDefault="00CB5B87" w:rsidP="002958E0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2958E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Continue</w:t>
            </w:r>
            <w:r w:rsidRPr="002958E0">
              <w:rPr>
                <w:rFonts w:ascii="Times New Roman" w:hAnsi="Times New Roman" w:cs="Times New Roman"/>
              </w:rPr>
              <w:t xml:space="preserve"> to support expert </w:t>
            </w:r>
            <w:r w:rsidR="00B27A42" w:rsidRPr="002958E0">
              <w:rPr>
                <w:rFonts w:ascii="Times New Roman" w:hAnsi="Times New Roman" w:cs="Times New Roman"/>
              </w:rPr>
              <w:t>groups</w:t>
            </w:r>
            <w:r w:rsidRPr="002958E0">
              <w:rPr>
                <w:rFonts w:ascii="Times New Roman" w:hAnsi="Times New Roman" w:cs="Times New Roman"/>
              </w:rPr>
              <w:t xml:space="preserve"> </w:t>
            </w:r>
            <w:r w:rsidR="00421215" w:rsidRPr="002958E0">
              <w:rPr>
                <w:rFonts w:ascii="Times New Roman" w:hAnsi="Times New Roman" w:cs="Times New Roman"/>
              </w:rPr>
              <w:t xml:space="preserve">through </w:t>
            </w:r>
            <w:r w:rsidRPr="002958E0">
              <w:rPr>
                <w:rFonts w:ascii="Times New Roman" w:hAnsi="Times New Roman" w:cs="Times New Roman"/>
              </w:rPr>
              <w:t xml:space="preserve">national processes led by NACCHO and RACGP </w:t>
            </w:r>
            <w:r w:rsidR="00A47E6E" w:rsidRPr="002958E0">
              <w:rPr>
                <w:rFonts w:ascii="Times New Roman" w:hAnsi="Times New Roman" w:cs="Times New Roman"/>
              </w:rPr>
              <w:t xml:space="preserve">to provide guidance about delivering </w:t>
            </w:r>
            <w:r w:rsidR="0084355B" w:rsidRPr="002958E0">
              <w:rPr>
                <w:rFonts w:ascii="Times New Roman" w:hAnsi="Times New Roman" w:cs="Times New Roman"/>
              </w:rPr>
              <w:t>high-quality</w:t>
            </w:r>
            <w:r w:rsidR="00A47E6E" w:rsidRPr="002958E0">
              <w:rPr>
                <w:rFonts w:ascii="Times New Roman" w:hAnsi="Times New Roman" w:cs="Times New Roman"/>
              </w:rPr>
              <w:t xml:space="preserve"> health </w:t>
            </w:r>
            <w:proofErr w:type="gramStart"/>
            <w:r w:rsidR="00A47E6E" w:rsidRPr="002958E0">
              <w:rPr>
                <w:rFonts w:ascii="Times New Roman" w:hAnsi="Times New Roman" w:cs="Times New Roman"/>
              </w:rPr>
              <w:t>checks</w:t>
            </w:r>
            <w:r w:rsidR="002D645F">
              <w:rPr>
                <w:rFonts w:ascii="Times New Roman" w:hAnsi="Times New Roman" w:cs="Times New Roman"/>
              </w:rPr>
              <w:t>[</w:t>
            </w:r>
            <w:proofErr w:type="gramEnd"/>
            <w:r w:rsidR="002D645F">
              <w:rPr>
                <w:rFonts w:ascii="Times New Roman" w:hAnsi="Times New Roman" w:cs="Times New Roman"/>
              </w:rPr>
              <w:t xml:space="preserve">63]. </w:t>
            </w:r>
            <w:r w:rsidR="00421215" w:rsidRPr="002958E0">
              <w:rPr>
                <w:rFonts w:ascii="Times New Roman" w:hAnsi="Times New Roman" w:cs="Times New Roman"/>
              </w:rPr>
              <w:t xml:space="preserve"> Additionally support local adaptation of HC templates to local community needs through working with communities to receive and apply feedback on templates</w:t>
            </w:r>
            <w:r w:rsidR="005136D8" w:rsidRPr="002958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081E8D80" w14:textId="5CA3D1FD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7E4222AD" w14:textId="4B197710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52B12CD4" w14:textId="04CE8CF4" w:rsidR="00CB5B87" w:rsidRPr="000E3EEB" w:rsidRDefault="00B27A42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0E3EEB" w:rsidRPr="000E3EEB" w14:paraId="52BBDAEB" w14:textId="77777777" w:rsidTr="00376BB6">
        <w:trPr>
          <w:jc w:val="center"/>
        </w:trPr>
        <w:tc>
          <w:tcPr>
            <w:tcW w:w="22361" w:type="dxa"/>
            <w:gridSpan w:val="5"/>
            <w:shd w:val="clear" w:color="auto" w:fill="C1E4F5" w:themeFill="accent1" w:themeFillTint="33"/>
          </w:tcPr>
          <w:p w14:paraId="45F13CF2" w14:textId="3A2396CA" w:rsidR="000E3EEB" w:rsidRPr="000E3EEB" w:rsidRDefault="000E3EEB" w:rsidP="000E3EE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Facilitate optimal HC integration into workflow and clinical records</w:t>
            </w:r>
          </w:p>
        </w:tc>
      </w:tr>
      <w:tr w:rsidR="00376BB6" w:rsidRPr="000E3EEB" w14:paraId="7954ED61" w14:textId="77777777" w:rsidTr="00684178">
        <w:trPr>
          <w:trHeight w:val="895"/>
          <w:jc w:val="center"/>
        </w:trPr>
        <w:tc>
          <w:tcPr>
            <w:tcW w:w="4390" w:type="dxa"/>
          </w:tcPr>
          <w:p w14:paraId="0BCA3C65" w14:textId="18AF7498" w:rsidR="00421215" w:rsidRPr="000E3EEB" w:rsidRDefault="00421215" w:rsidP="00B27A42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Incorporate novel functionalities into the platform where the HCs template is embedded </w:t>
            </w:r>
          </w:p>
        </w:tc>
        <w:tc>
          <w:tcPr>
            <w:tcW w:w="13466" w:type="dxa"/>
          </w:tcPr>
          <w:p w14:paraId="6CB8AE16" w14:textId="77777777" w:rsidR="00421215" w:rsidRDefault="00421215" w:rsidP="002958E0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58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Progress integration </w:t>
            </w:r>
            <w:proofErr w:type="gramStart"/>
            <w:r w:rsidRPr="002958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  chronic</w:t>
            </w:r>
            <w:proofErr w:type="gramEnd"/>
            <w:r w:rsidRPr="002958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disease risk calculators into clinical software in conjunction with software developers, peak bodies, and clinical services </w:t>
            </w:r>
          </w:p>
          <w:p w14:paraId="687BAC0E" w14:textId="612B8F3B" w:rsidR="00832D62" w:rsidRPr="002958E0" w:rsidRDefault="003C78B2" w:rsidP="002958E0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Practice recall and reminder systems are used effectively to support follow-up of health needs identified in the health check </w:t>
            </w:r>
          </w:p>
        </w:tc>
        <w:tc>
          <w:tcPr>
            <w:tcW w:w="1276" w:type="dxa"/>
          </w:tcPr>
          <w:p w14:paraId="6B848C38" w14:textId="77777777" w:rsidR="00421215" w:rsidRPr="000E3EEB" w:rsidRDefault="00421215" w:rsidP="00421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043934" w14:textId="617229E5" w:rsidR="00421215" w:rsidRPr="000E3EEB" w:rsidRDefault="00421215" w:rsidP="00421215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58135947" w14:textId="724ECE6B" w:rsidR="00421215" w:rsidRPr="000E3EEB" w:rsidRDefault="00421215" w:rsidP="00421215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• </w:t>
            </w:r>
          </w:p>
        </w:tc>
      </w:tr>
      <w:tr w:rsidR="00376BB6" w:rsidRPr="000E3EEB" w14:paraId="5744193E" w14:textId="77DCD0AC" w:rsidTr="00684178">
        <w:trPr>
          <w:trHeight w:val="619"/>
          <w:jc w:val="center"/>
        </w:trPr>
        <w:tc>
          <w:tcPr>
            <w:tcW w:w="4390" w:type="dxa"/>
          </w:tcPr>
          <w:p w14:paraId="3F280F86" w14:textId="74948675" w:rsidR="00CB5B87" w:rsidRPr="000E3EEB" w:rsidRDefault="00D01972" w:rsidP="00CC73F3">
            <w:pPr>
              <w:pStyle w:val="ListParagraph"/>
              <w:spacing w:before="100" w:beforeAutospacing="1" w:after="100" w:afterAutospacing="1"/>
              <w:ind w:left="10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b.</w:t>
            </w:r>
            <w:r w:rsidR="00405E51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B5B87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Maintain support for integration of digital HCs</w:t>
            </w:r>
          </w:p>
        </w:tc>
        <w:tc>
          <w:tcPr>
            <w:tcW w:w="13466" w:type="dxa"/>
          </w:tcPr>
          <w:p w14:paraId="7EE84F75" w14:textId="1772545A" w:rsidR="00CB5B87" w:rsidRPr="002958E0" w:rsidRDefault="00CB5B87" w:rsidP="002958E0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2958E0">
              <w:rPr>
                <w:rFonts w:ascii="Times New Roman" w:hAnsi="Times New Roman" w:cs="Times New Roman"/>
                <w:shd w:val="clear" w:color="auto" w:fill="FFFFFF"/>
              </w:rPr>
              <w:t xml:space="preserve">Support piloting </w:t>
            </w:r>
            <w:r w:rsidR="008529EB" w:rsidRPr="002958E0">
              <w:rPr>
                <w:rFonts w:ascii="Times New Roman" w:hAnsi="Times New Roman" w:cs="Times New Roman"/>
                <w:shd w:val="clear" w:color="auto" w:fill="FFFFFF"/>
              </w:rPr>
              <w:t xml:space="preserve">and </w:t>
            </w:r>
            <w:r w:rsidR="00B907D6" w:rsidRPr="002958E0">
              <w:rPr>
                <w:rFonts w:ascii="Times New Roman" w:hAnsi="Times New Roman" w:cs="Times New Roman"/>
                <w:shd w:val="clear" w:color="auto" w:fill="FFFFFF"/>
              </w:rPr>
              <w:t xml:space="preserve">use of </w:t>
            </w:r>
            <w:r w:rsidRPr="002958E0">
              <w:rPr>
                <w:rFonts w:ascii="Times New Roman" w:hAnsi="Times New Roman" w:cs="Times New Roman"/>
                <w:shd w:val="clear" w:color="auto" w:fill="FFFFFF"/>
              </w:rPr>
              <w:t>digital HCs</w:t>
            </w:r>
            <w:r w:rsidR="008C2E79" w:rsidRPr="002958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958E0">
              <w:rPr>
                <w:rFonts w:ascii="Times New Roman" w:hAnsi="Times New Roman" w:cs="Times New Roman"/>
                <w:shd w:val="clear" w:color="auto" w:fill="FFFFFF"/>
              </w:rPr>
              <w:t>(with space for local customization to ensure maximum impact), which PHC or GP providers can add to their local software in use for HC delivery</w:t>
            </w:r>
            <w:r w:rsidR="002D645F">
              <w:rPr>
                <w:rFonts w:ascii="Times New Roman" w:hAnsi="Times New Roman" w:cs="Times New Roman"/>
                <w:shd w:val="clear" w:color="auto" w:fill="FFFFFF"/>
              </w:rPr>
              <w:t xml:space="preserve"> [</w:t>
            </w:r>
            <w:r w:rsidR="005909FB" w:rsidRPr="002D645F">
              <w:rPr>
                <w:rFonts w:ascii="Times New Roman" w:hAnsi="Times New Roman" w:cs="Times New Roman"/>
                <w:shd w:val="clear" w:color="auto" w:fill="FFFFFF"/>
              </w:rPr>
              <w:t>64</w:t>
            </w:r>
            <w:r w:rsidR="002D645F">
              <w:rPr>
                <w:rFonts w:ascii="Times New Roman" w:hAnsi="Times New Roman" w:cs="Times New Roman"/>
                <w:shd w:val="clear" w:color="auto" w:fill="FFFFFF"/>
              </w:rPr>
              <w:t>].</w:t>
            </w:r>
          </w:p>
        </w:tc>
        <w:tc>
          <w:tcPr>
            <w:tcW w:w="1276" w:type="dxa"/>
          </w:tcPr>
          <w:p w14:paraId="444E396A" w14:textId="3543D5D2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28B551" w14:textId="4B5DC324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6D3E3C3C" w14:textId="6C7D17BD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7DAB2F31" w14:textId="77777777" w:rsidTr="00684178">
        <w:trPr>
          <w:jc w:val="center"/>
        </w:trPr>
        <w:tc>
          <w:tcPr>
            <w:tcW w:w="4390" w:type="dxa"/>
          </w:tcPr>
          <w:p w14:paraId="2074F995" w14:textId="17AF8E2A" w:rsidR="00CB5B87" w:rsidRPr="000E3EEB" w:rsidRDefault="00E34780" w:rsidP="00CC73F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Simplify MBS item </w:t>
            </w:r>
            <w:r w:rsidR="00F054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  <w:r w:rsidR="0084355B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escriptor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</w:t>
            </w:r>
            <w:r w:rsidR="00F054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ssociate</w:t>
            </w:r>
            <w:r w:rsidR="00F054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gramStart"/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notes </w:t>
            </w:r>
            <w:r w:rsidR="00CB5B87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</w:t>
            </w:r>
            <w:proofErr w:type="gramEnd"/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support better </w:t>
            </w:r>
            <w:r w:rsidR="0084355B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evidence-based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84355B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patient-</w:t>
            </w:r>
            <w:proofErr w:type="spellStart"/>
            <w:r w:rsidR="0084355B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centered</w:t>
            </w:r>
            <w:proofErr w:type="spellEnd"/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care </w:t>
            </w:r>
          </w:p>
        </w:tc>
        <w:tc>
          <w:tcPr>
            <w:tcW w:w="13466" w:type="dxa"/>
          </w:tcPr>
          <w:p w14:paraId="42979747" w14:textId="70C56428" w:rsidR="00CB5B87" w:rsidRPr="002958E0" w:rsidRDefault="00CB5B87" w:rsidP="002958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958E0">
              <w:rPr>
                <w:rFonts w:ascii="Times New Roman" w:hAnsi="Times New Roman" w:cs="Times New Roman"/>
                <w:color w:val="000000" w:themeColor="text1"/>
              </w:rPr>
              <w:t xml:space="preserve">Continue to support the MBS </w:t>
            </w:r>
            <w:r w:rsidR="0078708F" w:rsidRPr="002958E0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2958E0">
              <w:rPr>
                <w:rFonts w:ascii="Times New Roman" w:hAnsi="Times New Roman" w:cs="Times New Roman"/>
                <w:color w:val="000000" w:themeColor="text1"/>
              </w:rPr>
              <w:t xml:space="preserve">ask </w:t>
            </w:r>
            <w:r w:rsidR="0078708F" w:rsidRPr="002958E0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2958E0">
              <w:rPr>
                <w:rFonts w:ascii="Times New Roman" w:hAnsi="Times New Roman" w:cs="Times New Roman"/>
                <w:color w:val="000000" w:themeColor="text1"/>
              </w:rPr>
              <w:t>orce group to review MBS rebates to recognize and remunerate flexible service</w:t>
            </w:r>
            <w:r w:rsidR="001919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85987" w:rsidRPr="002958E0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2B3B2B" w:rsidRPr="002958E0">
              <w:rPr>
                <w:rFonts w:ascii="Times New Roman" w:hAnsi="Times New Roman" w:cs="Times New Roman"/>
                <w:color w:val="000000" w:themeColor="text1"/>
              </w:rPr>
              <w:t xml:space="preserve">in terms of </w:t>
            </w:r>
            <w:r w:rsidR="005F10B1" w:rsidRPr="002958E0">
              <w:rPr>
                <w:rFonts w:ascii="Times New Roman" w:hAnsi="Times New Roman" w:cs="Times New Roman"/>
                <w:color w:val="000000" w:themeColor="text1"/>
              </w:rPr>
              <w:t xml:space="preserve">the flexibility of the person who delivers </w:t>
            </w:r>
            <w:proofErr w:type="gramStart"/>
            <w:r w:rsidR="005F10B1" w:rsidRPr="002958E0">
              <w:rPr>
                <w:rFonts w:ascii="Times New Roman" w:hAnsi="Times New Roman" w:cs="Times New Roman"/>
                <w:color w:val="000000" w:themeColor="text1"/>
              </w:rPr>
              <w:t xml:space="preserve">services) </w:t>
            </w:r>
            <w:r w:rsidRPr="002958E0">
              <w:rPr>
                <w:rFonts w:ascii="Times New Roman" w:hAnsi="Times New Roman" w:cs="Times New Roman"/>
                <w:color w:val="000000" w:themeColor="text1"/>
              </w:rPr>
              <w:t xml:space="preserve"> delivery</w:t>
            </w:r>
            <w:proofErr w:type="gramEnd"/>
            <w:r w:rsidRPr="002958E0">
              <w:rPr>
                <w:rFonts w:ascii="Times New Roman" w:hAnsi="Times New Roman" w:cs="Times New Roman"/>
                <w:color w:val="000000" w:themeColor="text1"/>
              </w:rPr>
              <w:t xml:space="preserve"> for HCs</w:t>
            </w:r>
            <w:r w:rsidR="002B3B2B" w:rsidRPr="002958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  <w:r w:rsidR="002B3B2B" w:rsidRPr="002958E0">
              <w:rPr>
                <w:rFonts w:ascii="Times New Roman" w:hAnsi="Times New Roman" w:cs="Times New Roman"/>
                <w:color w:val="000000" w:themeColor="text1"/>
              </w:rPr>
              <w:t xml:space="preserve">as identified </w:t>
            </w:r>
            <w:proofErr w:type="spellStart"/>
            <w:r w:rsidR="002B3B2B" w:rsidRPr="002958E0">
              <w:rPr>
                <w:rFonts w:ascii="Times New Roman" w:hAnsi="Times New Roman" w:cs="Times New Roman"/>
                <w:color w:val="000000" w:themeColor="text1"/>
              </w:rPr>
              <w:t>by</w:t>
            </w:r>
            <w:r w:rsidR="00EC3EEE" w:rsidRPr="002958E0">
              <w:rPr>
                <w:rFonts w:ascii="Times New Roman" w:hAnsi="Times New Roman" w:cs="Times New Roman"/>
                <w:color w:val="000000" w:themeColor="text1"/>
              </w:rPr>
              <w:t>NACCHO</w:t>
            </w:r>
            <w:proofErr w:type="spellEnd"/>
            <w:r w:rsidR="00191981">
              <w:rPr>
                <w:rFonts w:ascii="Times New Roman" w:hAnsi="Times New Roman" w:cs="Times New Roman"/>
                <w:color w:val="000000" w:themeColor="text1"/>
              </w:rPr>
              <w:t>-RACGP</w:t>
            </w:r>
            <w:r w:rsidR="00EC3EEE" w:rsidRPr="002958E0">
              <w:rPr>
                <w:rFonts w:ascii="Times New Roman" w:hAnsi="Times New Roman" w:cs="Times New Roman"/>
                <w:color w:val="000000" w:themeColor="text1"/>
              </w:rPr>
              <w:t xml:space="preserve"> National guide to a preventive health assessment for Aboriginal and Torres Strait Islander people</w:t>
            </w:r>
            <w:r w:rsidR="00910895">
              <w:rPr>
                <w:rFonts w:ascii="Times New Roman" w:hAnsi="Times New Roman" w:cs="Times New Roman"/>
                <w:color w:val="000000" w:themeColor="text1"/>
              </w:rPr>
              <w:t>[65</w:t>
            </w:r>
            <w:r w:rsidR="003723A7">
              <w:rPr>
                <w:rFonts w:ascii="Times New Roman" w:hAnsi="Times New Roman" w:cs="Times New Roman"/>
                <w:color w:val="000000" w:themeColor="text1"/>
              </w:rPr>
              <w:t>].</w:t>
            </w:r>
          </w:p>
        </w:tc>
        <w:tc>
          <w:tcPr>
            <w:tcW w:w="1276" w:type="dxa"/>
          </w:tcPr>
          <w:p w14:paraId="4C9369F1" w14:textId="2CD6FA70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4E5412A6" w14:textId="67DBC8FF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1AEE59B" w14:textId="77777777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EEB" w:rsidRPr="000E3EEB" w14:paraId="1A7E62A3" w14:textId="77777777" w:rsidTr="00376BB6">
        <w:trPr>
          <w:jc w:val="center"/>
        </w:trPr>
        <w:tc>
          <w:tcPr>
            <w:tcW w:w="22361" w:type="dxa"/>
            <w:gridSpan w:val="5"/>
            <w:shd w:val="clear" w:color="auto" w:fill="CAEDFB" w:themeFill="accent4" w:themeFillTint="33"/>
          </w:tcPr>
          <w:p w14:paraId="55FB0868" w14:textId="4008FEA8" w:rsidR="000E3EEB" w:rsidRPr="000E3EEB" w:rsidRDefault="000E3EEB" w:rsidP="000E3EE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proofErr w:type="spellStart"/>
            <w:r w:rsidRPr="000E3EEB">
              <w:rPr>
                <w:rFonts w:ascii="Times New Roman" w:hAnsi="Times New Roman" w:cs="Times New Roman"/>
                <w:b/>
                <w:bCs/>
              </w:rPr>
              <w:t>Esuring</w:t>
            </w:r>
            <w:proofErr w:type="spellEnd"/>
            <w:r w:rsidRPr="000E3EEB">
              <w:rPr>
                <w:rFonts w:ascii="Times New Roman" w:hAnsi="Times New Roman" w:cs="Times New Roman"/>
                <w:b/>
                <w:bCs/>
              </w:rPr>
              <w:t xml:space="preserve"> HCs are delivered within a robust primary care system  </w:t>
            </w:r>
          </w:p>
        </w:tc>
      </w:tr>
      <w:tr w:rsidR="00376BB6" w:rsidRPr="000E3EEB" w14:paraId="377DC0AD" w14:textId="77777777" w:rsidTr="00684178">
        <w:trPr>
          <w:jc w:val="center"/>
        </w:trPr>
        <w:tc>
          <w:tcPr>
            <w:tcW w:w="4390" w:type="dxa"/>
            <w:vMerge w:val="restart"/>
          </w:tcPr>
          <w:p w14:paraId="1690D345" w14:textId="19F386EC" w:rsidR="00CB5B87" w:rsidRPr="000E3EEB" w:rsidRDefault="00CB5B87" w:rsidP="00B27A4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hd w:val="clear" w:color="auto" w:fill="FBFAF8"/>
              </w:rPr>
            </w:pPr>
            <w:r w:rsidRPr="000E3EEB">
              <w:rPr>
                <w:rFonts w:ascii="Times New Roman" w:hAnsi="Times New Roman" w:cs="Times New Roman"/>
                <w:shd w:val="clear" w:color="auto" w:fill="FBFAF8"/>
              </w:rPr>
              <w:t xml:space="preserve">Create a welcoming and culturally safe care </w:t>
            </w:r>
          </w:p>
          <w:p w14:paraId="73456930" w14:textId="00EC9C15" w:rsidR="00CB5B87" w:rsidRPr="000E3EEB" w:rsidRDefault="00CB5B87" w:rsidP="0055012F">
            <w:pPr>
              <w:rPr>
                <w:rFonts w:ascii="Times New Roman" w:hAnsi="Times New Roman" w:cs="Times New Roman"/>
                <w:shd w:val="clear" w:color="auto" w:fill="FBFAF8"/>
              </w:rPr>
            </w:pPr>
          </w:p>
        </w:tc>
        <w:tc>
          <w:tcPr>
            <w:tcW w:w="13466" w:type="dxa"/>
          </w:tcPr>
          <w:p w14:paraId="48E15B5C" w14:textId="7BA9C6CE" w:rsidR="001A0DA9" w:rsidRPr="000E3EEB" w:rsidRDefault="00CB5B87" w:rsidP="00B27A4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Cs/>
              </w:rPr>
            </w:pPr>
            <w:r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Enhance welcoming environments and waiting areas; potentially including</w:t>
            </w:r>
            <w:r w:rsidR="004E04AB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77FA7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healthy snacks</w:t>
            </w:r>
            <w:r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B3122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tea/coffee, </w:t>
            </w:r>
            <w:r w:rsidR="001A0DA9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Aboriginal and Torres Strait Islander flags</w:t>
            </w:r>
            <w:r w:rsidR="00405E51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72F99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arts</w:t>
            </w:r>
            <w:r w:rsidR="001A0DA9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and</w:t>
            </w:r>
            <w:r w:rsidR="00405E51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2F99" w:rsidRPr="000E3E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crafts </w:t>
            </w:r>
            <w:r w:rsidR="00405E51" w:rsidRPr="000E3EEB">
              <w:rPr>
                <w:rFonts w:ascii="Times New Roman" w:hAnsi="Times New Roman" w:cs="Times New Roman"/>
              </w:rPr>
              <w:t>to build trust and facilitate engagement with PHC.</w:t>
            </w:r>
          </w:p>
        </w:tc>
        <w:tc>
          <w:tcPr>
            <w:tcW w:w="1276" w:type="dxa"/>
          </w:tcPr>
          <w:p w14:paraId="087ABB42" w14:textId="7BA97CB8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676E767E" w14:textId="66FE267A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78D5A73D" w14:textId="19223122" w:rsidR="00CB5B87" w:rsidRPr="000E3EEB" w:rsidRDefault="00CB5B87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41DAFE00" w14:textId="77777777" w:rsidTr="00684178">
        <w:trPr>
          <w:trHeight w:val="444"/>
          <w:jc w:val="center"/>
        </w:trPr>
        <w:tc>
          <w:tcPr>
            <w:tcW w:w="4390" w:type="dxa"/>
            <w:vMerge/>
          </w:tcPr>
          <w:p w14:paraId="2CBDD1BC" w14:textId="77777777" w:rsidR="00DA1A2E" w:rsidRPr="000E3EEB" w:rsidRDefault="00DA1A2E" w:rsidP="0055012F">
            <w:pPr>
              <w:rPr>
                <w:rFonts w:ascii="Times New Roman" w:hAnsi="Times New Roman" w:cs="Times New Roman"/>
                <w:shd w:val="clear" w:color="auto" w:fill="FBFAF8"/>
              </w:rPr>
            </w:pPr>
          </w:p>
        </w:tc>
        <w:tc>
          <w:tcPr>
            <w:tcW w:w="13466" w:type="dxa"/>
          </w:tcPr>
          <w:p w14:paraId="0923E92D" w14:textId="76AF5644" w:rsidR="00DA1A2E" w:rsidRPr="000E3EEB" w:rsidRDefault="00DA1A2E" w:rsidP="004350CD">
            <w:pPr>
              <w:pStyle w:val="ListParagraph"/>
              <w:numPr>
                <w:ilvl w:val="0"/>
                <w:numId w:val="15"/>
              </w:numPr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0E3EEB">
              <w:rPr>
                <w:rFonts w:ascii="Times New Roman" w:hAnsi="Times New Roman" w:cs="Times New Roman"/>
                <w:iCs/>
              </w:rPr>
              <w:t>Ensure cultural competency is a core element in staff recruitment, professional development review, and other education/training opportunities.</w:t>
            </w:r>
          </w:p>
        </w:tc>
        <w:tc>
          <w:tcPr>
            <w:tcW w:w="1276" w:type="dxa"/>
          </w:tcPr>
          <w:p w14:paraId="41B50896" w14:textId="3F170F08" w:rsidR="00DA1A2E" w:rsidRPr="000E3EEB" w:rsidRDefault="00DA1A2E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91746E5" w14:textId="742900C7" w:rsidR="00DA1A2E" w:rsidRPr="000E3EEB" w:rsidRDefault="00DA1A2E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59D0FF32" w14:textId="0280BFA1" w:rsidR="00DA1A2E" w:rsidRPr="000E3EEB" w:rsidRDefault="00DA1A2E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3D5127CF" w14:textId="77777777" w:rsidTr="00684178">
        <w:trPr>
          <w:trHeight w:val="293"/>
          <w:jc w:val="center"/>
        </w:trPr>
        <w:tc>
          <w:tcPr>
            <w:tcW w:w="4390" w:type="dxa"/>
            <w:vMerge/>
          </w:tcPr>
          <w:p w14:paraId="3DFDDB23" w14:textId="77777777" w:rsidR="00695835" w:rsidRPr="000E3EEB" w:rsidRDefault="00695835" w:rsidP="0055012F">
            <w:pPr>
              <w:rPr>
                <w:rFonts w:ascii="Times New Roman" w:hAnsi="Times New Roman" w:cs="Times New Roman"/>
                <w:shd w:val="clear" w:color="auto" w:fill="FBFAF8"/>
              </w:rPr>
            </w:pPr>
          </w:p>
        </w:tc>
        <w:tc>
          <w:tcPr>
            <w:tcW w:w="13466" w:type="dxa"/>
          </w:tcPr>
          <w:p w14:paraId="4ECC95B8" w14:textId="4FDE0853" w:rsidR="00695835" w:rsidRPr="003723A7" w:rsidRDefault="004F3AD4" w:rsidP="004350CD">
            <w:pPr>
              <w:pStyle w:val="ListParagraph"/>
              <w:numPr>
                <w:ilvl w:val="0"/>
                <w:numId w:val="15"/>
              </w:numPr>
              <w:spacing w:after="2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3A7">
              <w:rPr>
                <w:rFonts w:ascii="Times New Roman" w:hAnsi="Times New Roman" w:cs="Times New Roman"/>
                <w:iCs/>
                <w:sz w:val="24"/>
                <w:szCs w:val="24"/>
              </w:rPr>
              <w:t>Implement P</w:t>
            </w:r>
            <w:r w:rsidR="000C290E" w:rsidRPr="003723A7">
              <w:rPr>
                <w:rFonts w:ascii="Times New Roman" w:hAnsi="Times New Roman" w:cs="Times New Roman"/>
                <w:iCs/>
                <w:sz w:val="24"/>
                <w:szCs w:val="24"/>
              </w:rPr>
              <w:t>atient Reported Experience Measures (PREMs)</w:t>
            </w:r>
            <w:r w:rsidRPr="003723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tool </w:t>
            </w:r>
            <w:r w:rsidR="00695835" w:rsidRPr="003723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to measure </w:t>
            </w:r>
            <w:r w:rsidR="00D01972" w:rsidRPr="003723A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patient experience</w:t>
            </w:r>
            <w:r w:rsidR="006D0580" w:rsidRPr="003723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and</w:t>
            </w:r>
            <w:r w:rsidR="0084355B" w:rsidRPr="003723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95835" w:rsidRPr="003723A7">
              <w:rPr>
                <w:rFonts w:ascii="Times New Roman" w:hAnsi="Times New Roman" w:cs="Times New Roman"/>
                <w:sz w:val="24"/>
                <w:szCs w:val="24"/>
                <w:shd w:val="clear" w:color="auto" w:fill="FBFAF8"/>
              </w:rPr>
              <w:t>culturally safe care</w:t>
            </w:r>
            <w:r w:rsidR="002C6021">
              <w:rPr>
                <w:rFonts w:ascii="Times New Roman" w:hAnsi="Times New Roman" w:cs="Times New Roman"/>
                <w:sz w:val="24"/>
                <w:szCs w:val="24"/>
                <w:shd w:val="clear" w:color="auto" w:fill="FBFAF8"/>
              </w:rPr>
              <w:t>.</w:t>
            </w:r>
          </w:p>
        </w:tc>
        <w:tc>
          <w:tcPr>
            <w:tcW w:w="1276" w:type="dxa"/>
          </w:tcPr>
          <w:p w14:paraId="1998A30A" w14:textId="77777777" w:rsidR="00695835" w:rsidRPr="000E3EEB" w:rsidDel="000C1F9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B37F64" w14:textId="7B2C8B48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2C0B01CF" w14:textId="69942AA1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55252263" w14:textId="77777777" w:rsidTr="00684178">
        <w:trPr>
          <w:trHeight w:val="448"/>
          <w:jc w:val="center"/>
        </w:trPr>
        <w:tc>
          <w:tcPr>
            <w:tcW w:w="4390" w:type="dxa"/>
            <w:vMerge/>
          </w:tcPr>
          <w:p w14:paraId="384F23E0" w14:textId="77777777" w:rsidR="00695835" w:rsidRPr="000E3EEB" w:rsidRDefault="00695835" w:rsidP="0055012F">
            <w:pPr>
              <w:rPr>
                <w:rFonts w:ascii="Times New Roman" w:hAnsi="Times New Roman" w:cs="Times New Roman"/>
                <w:shd w:val="clear" w:color="auto" w:fill="FBFAF8"/>
              </w:rPr>
            </w:pPr>
          </w:p>
        </w:tc>
        <w:tc>
          <w:tcPr>
            <w:tcW w:w="13466" w:type="dxa"/>
          </w:tcPr>
          <w:p w14:paraId="4F202C41" w14:textId="370BA850" w:rsidR="0042235A" w:rsidRPr="000E3EEB" w:rsidRDefault="00695835" w:rsidP="00B27A4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Cs/>
              </w:rPr>
            </w:pPr>
            <w:r w:rsidRPr="000E3EEB">
              <w:rPr>
                <w:rFonts w:ascii="Times New Roman" w:hAnsi="Times New Roman" w:cs="Times New Roman"/>
              </w:rPr>
              <w:t xml:space="preserve">Use of </w:t>
            </w:r>
            <w:r w:rsidR="006F3C13">
              <w:rPr>
                <w:rFonts w:ascii="Times New Roman" w:hAnsi="Times New Roman" w:cs="Times New Roman"/>
              </w:rPr>
              <w:t xml:space="preserve">HC </w:t>
            </w:r>
            <w:r w:rsidRPr="000E3EEB">
              <w:rPr>
                <w:rFonts w:ascii="Times New Roman" w:hAnsi="Times New Roman" w:cs="Times New Roman"/>
              </w:rPr>
              <w:t>promotional materials such as posters and pamphlets in practice waiting/consultation rooms demonstratin</w:t>
            </w:r>
            <w:r w:rsidR="00405E51" w:rsidRPr="000E3EEB">
              <w:rPr>
                <w:rFonts w:ascii="Times New Roman" w:hAnsi="Times New Roman" w:cs="Times New Roman"/>
              </w:rPr>
              <w:t>g Aboriginal and Torres Strait Islander people</w:t>
            </w:r>
            <w:r w:rsidR="006069C9">
              <w:rPr>
                <w:rFonts w:ascii="Times New Roman" w:hAnsi="Times New Roman" w:cs="Times New Roman"/>
              </w:rPr>
              <w:t>’</w:t>
            </w:r>
            <w:r w:rsidR="00405E51" w:rsidRPr="000E3EEB">
              <w:rPr>
                <w:rFonts w:ascii="Times New Roman" w:hAnsi="Times New Roman" w:cs="Times New Roman"/>
              </w:rPr>
              <w:t>s</w:t>
            </w:r>
            <w:r w:rsidR="00405E51" w:rsidRPr="000E3EEB">
              <w:rPr>
                <w:rFonts w:ascii="Times New Roman" w:hAnsi="Times New Roman" w:cs="Times New Roman"/>
                <w:iCs/>
              </w:rPr>
              <w:t xml:space="preserve"> positive experience with HCs</w:t>
            </w:r>
            <w:r w:rsidR="006069C9">
              <w:rPr>
                <w:rFonts w:ascii="Times New Roman" w:hAnsi="Times New Roman" w:cs="Times New Roman"/>
                <w:iCs/>
              </w:rPr>
              <w:t>,</w:t>
            </w:r>
            <w:r w:rsidR="00405E51" w:rsidRPr="000E3EEB">
              <w:rPr>
                <w:rFonts w:ascii="Times New Roman" w:hAnsi="Times New Roman" w:cs="Times New Roman"/>
              </w:rPr>
              <w:t xml:space="preserve"> </w:t>
            </w:r>
            <w:r w:rsidRPr="000E3EEB">
              <w:rPr>
                <w:rFonts w:ascii="Times New Roman" w:hAnsi="Times New Roman" w:cs="Times New Roman"/>
              </w:rPr>
              <w:t xml:space="preserve">HC benefits </w:t>
            </w:r>
            <w:r w:rsidR="006069C9">
              <w:rPr>
                <w:rFonts w:ascii="Times New Roman" w:hAnsi="Times New Roman" w:cs="Times New Roman"/>
              </w:rPr>
              <w:t xml:space="preserve">and the </w:t>
            </w:r>
            <w:r w:rsidR="00405E51" w:rsidRPr="000E3EEB">
              <w:rPr>
                <w:rFonts w:ascii="Times New Roman" w:hAnsi="Times New Roman" w:cs="Times New Roman"/>
              </w:rPr>
              <w:t xml:space="preserve">conditions that make it </w:t>
            </w:r>
            <w:r w:rsidR="00F72F99" w:rsidRPr="000E3EEB">
              <w:rPr>
                <w:rFonts w:ascii="Times New Roman" w:hAnsi="Times New Roman" w:cs="Times New Roman"/>
              </w:rPr>
              <w:t>useful</w:t>
            </w:r>
            <w:r w:rsidR="00405E51" w:rsidRPr="000E3EE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</w:tcPr>
          <w:p w14:paraId="204E9853" w14:textId="792C5B10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02367269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29E51A0D" w14:textId="4F760978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7BC8818C" w14:textId="4F9E8848" w:rsidTr="00684178">
        <w:trPr>
          <w:jc w:val="center"/>
        </w:trPr>
        <w:tc>
          <w:tcPr>
            <w:tcW w:w="4390" w:type="dxa"/>
          </w:tcPr>
          <w:p w14:paraId="732CF2D9" w14:textId="0F86E0C0" w:rsidR="00695835" w:rsidRPr="000E3EEB" w:rsidRDefault="00695835" w:rsidP="00B27A4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  <w:shd w:val="clear" w:color="auto" w:fill="FBFAF8"/>
              </w:rPr>
              <w:t xml:space="preserve">Development </w:t>
            </w:r>
            <w:proofErr w:type="gramStart"/>
            <w:r w:rsidRPr="000E3EEB">
              <w:rPr>
                <w:rFonts w:ascii="Times New Roman" w:hAnsi="Times New Roman" w:cs="Times New Roman"/>
                <w:shd w:val="clear" w:color="auto" w:fill="FBFAF8"/>
              </w:rPr>
              <w:t>of  a</w:t>
            </w:r>
            <w:proofErr w:type="gramEnd"/>
            <w:r w:rsidRPr="000E3EEB">
              <w:rPr>
                <w:rFonts w:ascii="Times New Roman" w:hAnsi="Times New Roman" w:cs="Times New Roman"/>
                <w:shd w:val="clear" w:color="auto" w:fill="FBFAF8"/>
              </w:rPr>
              <w:t xml:space="preserve"> shared decision-making tool</w:t>
            </w:r>
          </w:p>
        </w:tc>
        <w:tc>
          <w:tcPr>
            <w:tcW w:w="13466" w:type="dxa"/>
          </w:tcPr>
          <w:p w14:paraId="1E6D588F" w14:textId="26EA42C7" w:rsidR="00695835" w:rsidRPr="00376BB6" w:rsidRDefault="00695835" w:rsidP="00376BB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376BB6">
              <w:rPr>
                <w:rFonts w:ascii="Times New Roman" w:hAnsi="Times New Roman" w:cs="Times New Roman"/>
              </w:rPr>
              <w:t xml:space="preserve"> Convene an expert group to develop a shared decision-making tool </w:t>
            </w:r>
            <w:r w:rsidRPr="00376BB6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focusing </w:t>
            </w:r>
            <w:r w:rsidR="002B3B2B" w:rsidRPr="00376BB6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assessment of hol</w:t>
            </w:r>
            <w:r w:rsidR="00A866E6" w:rsidRPr="00376BB6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istic</w:t>
            </w:r>
            <w:r w:rsidR="002B3B2B" w:rsidRPr="00376BB6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needs</w:t>
            </w:r>
            <w:r w:rsidR="001A29C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, patient priorities for a </w:t>
            </w:r>
            <w:r w:rsidR="001F127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HC </w:t>
            </w:r>
            <w:r w:rsidR="001136D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and </w:t>
            </w:r>
            <w:r w:rsidR="0045531D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plan for healthcare following a health check </w:t>
            </w:r>
          </w:p>
        </w:tc>
        <w:tc>
          <w:tcPr>
            <w:tcW w:w="1276" w:type="dxa"/>
          </w:tcPr>
          <w:p w14:paraId="58C8857B" w14:textId="1DBF9B9A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297781A0" w14:textId="701D4716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0FDF0F72" w14:textId="788825ED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6BB6" w:rsidRPr="000E3EEB" w14:paraId="68697964" w14:textId="77777777" w:rsidTr="00684178">
        <w:trPr>
          <w:trHeight w:val="579"/>
          <w:jc w:val="center"/>
        </w:trPr>
        <w:tc>
          <w:tcPr>
            <w:tcW w:w="4390" w:type="dxa"/>
            <w:vMerge w:val="restart"/>
          </w:tcPr>
          <w:p w14:paraId="76FE720A" w14:textId="77777777" w:rsidR="001A0DA9" w:rsidRPr="000E3EEB" w:rsidRDefault="001A0DA9" w:rsidP="001A0DA9">
            <w:pPr>
              <w:rPr>
                <w:rFonts w:ascii="Times New Roman" w:hAnsi="Times New Roman" w:cs="Times New Roman"/>
                <w:shd w:val="clear" w:color="auto" w:fill="FBFAF8"/>
              </w:rPr>
            </w:pPr>
          </w:p>
          <w:p w14:paraId="4A132EE6" w14:textId="59946214" w:rsidR="00695835" w:rsidRPr="000E3EEB" w:rsidRDefault="00695835" w:rsidP="00B27A4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  <w:shd w:val="clear" w:color="auto" w:fill="FBFAF8"/>
              </w:rPr>
              <w:t>Strengthen workflow and workforce stability</w:t>
            </w:r>
            <w:r w:rsidRPr="000E3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6" w:type="dxa"/>
          </w:tcPr>
          <w:p w14:paraId="5CFB0AB0" w14:textId="0B01F7B6" w:rsidR="00695835" w:rsidRPr="000E3EEB" w:rsidRDefault="0094539A" w:rsidP="004350CD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M</w:t>
            </w:r>
            <w:r w:rsidR="00695835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aximise the benefits of digital reforms by </w:t>
            </w:r>
            <w:r w:rsidR="00CC263D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supporting broadband connectivity </w:t>
            </w:r>
            <w:r w:rsidR="00C97D6E"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r w:rsidR="00DA2630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specially in remote </w:t>
            </w:r>
            <w:r w:rsidR="002B3B2B" w:rsidRPr="000E3EEB">
              <w:rPr>
                <w:rFonts w:ascii="Times New Roman" w:hAnsi="Times New Roman" w:cs="Times New Roman"/>
                <w:shd w:val="clear" w:color="auto" w:fill="FFFFFF"/>
              </w:rPr>
              <w:t>settings</w:t>
            </w:r>
            <w:r w:rsidR="00DA2630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95835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and </w:t>
            </w:r>
            <w:r w:rsidR="00DA2630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IT </w:t>
            </w:r>
            <w:r w:rsidR="00695835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human resources support </w:t>
            </w:r>
          </w:p>
        </w:tc>
        <w:tc>
          <w:tcPr>
            <w:tcW w:w="1276" w:type="dxa"/>
          </w:tcPr>
          <w:p w14:paraId="25D5F9AD" w14:textId="665EC665" w:rsidR="00695835" w:rsidRPr="000E3EEB" w:rsidRDefault="00695835" w:rsidP="0037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D81F5E" w14:textId="5CEDF984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4403FF64" w14:textId="73E234AE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6140FE75" w14:textId="77777777" w:rsidTr="00684178">
        <w:trPr>
          <w:trHeight w:val="528"/>
          <w:jc w:val="center"/>
        </w:trPr>
        <w:tc>
          <w:tcPr>
            <w:tcW w:w="4390" w:type="dxa"/>
            <w:vMerge/>
          </w:tcPr>
          <w:p w14:paraId="1AE71AA3" w14:textId="77777777" w:rsidR="00695835" w:rsidRPr="000E3EEB" w:rsidRDefault="00695835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2EF59E3B" w14:textId="1C69F000" w:rsidR="00695835" w:rsidRPr="000E3EEB" w:rsidRDefault="00695835" w:rsidP="004350CD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Invest in the professional growth and capacity of </w:t>
            </w:r>
            <w:r w:rsidR="00CC11ED" w:rsidRPr="00F9236F">
              <w:t>A</w:t>
            </w:r>
            <w:r w:rsidR="00CC11ED">
              <w:t>&amp;TSI</w:t>
            </w:r>
            <w:r w:rsidR="00CC11ED" w:rsidRPr="00F9236F">
              <w:t>H</w:t>
            </w:r>
            <w:r w:rsidR="00CC11ED">
              <w:t>P</w:t>
            </w:r>
            <w:r w:rsidR="00CC11ED" w:rsidRPr="00F9236F">
              <w:t>/</w:t>
            </w:r>
            <w:proofErr w:type="spellStart"/>
            <w:r w:rsidR="00CC11ED">
              <w:t>W</w:t>
            </w:r>
            <w:r w:rsidR="00CC11ED" w:rsidRPr="00F9236F">
              <w:t>s</w:t>
            </w:r>
            <w:proofErr w:type="spellEnd"/>
            <w:r w:rsidR="00603B7C">
              <w:t xml:space="preserve"> </w:t>
            </w:r>
            <w:r w:rsidR="005C08ED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to deliver </w:t>
            </w:r>
            <w:proofErr w:type="gramStart"/>
            <w:r w:rsidR="005C08ED" w:rsidRPr="00603B7C">
              <w:rPr>
                <w:rFonts w:ascii="Times New Roman" w:hAnsi="Times New Roman" w:cs="Times New Roman"/>
                <w:shd w:val="clear" w:color="auto" w:fill="FFFFFF"/>
              </w:rPr>
              <w:t>HCs</w:t>
            </w:r>
            <w:r w:rsidR="00603B7C" w:rsidRPr="00603B7C">
              <w:rPr>
                <w:rFonts w:ascii="Times New Roman" w:hAnsi="Times New Roman" w:cs="Times New Roman"/>
                <w:shd w:val="clear" w:color="auto" w:fill="FFFFFF"/>
              </w:rPr>
              <w:t>[</w:t>
            </w:r>
            <w:proofErr w:type="gramEnd"/>
            <w:r w:rsidR="00603B7C" w:rsidRPr="00603B7C">
              <w:rPr>
                <w:rFonts w:ascii="Times New Roman" w:hAnsi="Times New Roman" w:cs="Times New Roman"/>
                <w:shd w:val="clear" w:color="auto" w:fill="FFFFFF"/>
              </w:rPr>
              <w:t>66]</w:t>
            </w:r>
            <w:r w:rsidRPr="00603B7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1FC40E0F" w14:textId="3D42D3CA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3F5C1A02" w14:textId="47C3B8CF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0837D708" w14:textId="47A50292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2C9DFE42" w14:textId="77777777" w:rsidTr="00684178">
        <w:trPr>
          <w:trHeight w:val="281"/>
          <w:jc w:val="center"/>
        </w:trPr>
        <w:tc>
          <w:tcPr>
            <w:tcW w:w="4390" w:type="dxa"/>
            <w:vMerge/>
          </w:tcPr>
          <w:p w14:paraId="38AE062F" w14:textId="77777777" w:rsidR="00695835" w:rsidRPr="000E3EEB" w:rsidRDefault="00695835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073010D2" w14:textId="5215810D" w:rsidR="00B92F14" w:rsidRPr="000E3EEB" w:rsidRDefault="00695835" w:rsidP="0084355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Recognize and appropriately remunerate </w:t>
            </w:r>
            <w:proofErr w:type="spellStart"/>
            <w:r w:rsidR="0065403A">
              <w:t>A&amp;TSIHWs</w:t>
            </w:r>
            <w:r w:rsidRPr="000E3EEB">
              <w:rPr>
                <w:rFonts w:ascii="Times New Roman" w:hAnsi="Times New Roman" w:cs="Times New Roman"/>
              </w:rPr>
              <w:t>for</w:t>
            </w:r>
            <w:proofErr w:type="spellEnd"/>
            <w:r w:rsidRPr="000E3EEB">
              <w:rPr>
                <w:rFonts w:ascii="Times New Roman" w:hAnsi="Times New Roman" w:cs="Times New Roman"/>
              </w:rPr>
              <w:t xml:space="preserve"> their contribution to improving the health outcomes of their communities</w:t>
            </w:r>
            <w:r w:rsidR="004B444E" w:rsidRPr="000E3EEB">
              <w:rPr>
                <w:rFonts w:ascii="Times New Roman" w:hAnsi="Times New Roman" w:cs="Times New Roman"/>
              </w:rPr>
              <w:t xml:space="preserve"> in line with </w:t>
            </w:r>
            <w:r w:rsidR="00831B2C">
              <w:rPr>
                <w:rFonts w:ascii="Times New Roman" w:hAnsi="Times New Roman" w:cs="Times New Roman"/>
              </w:rPr>
              <w:t xml:space="preserve">the </w:t>
            </w:r>
            <w:r w:rsidR="002B3B2B" w:rsidRPr="000E3EEB">
              <w:rPr>
                <w:rFonts w:ascii="Times New Roman" w:hAnsi="Times New Roman" w:cs="Times New Roman"/>
              </w:rPr>
              <w:t>National Aboriginal and Torres Strait Islander Health Workforce Strategic Framework and Implementation Plan 2021–203</w:t>
            </w:r>
            <w:r w:rsidR="00A67EAA">
              <w:rPr>
                <w:rFonts w:ascii="Times New Roman" w:hAnsi="Times New Roman" w:cs="Times New Roman"/>
              </w:rPr>
              <w:t>1</w:t>
            </w:r>
            <w:r w:rsidR="0084355B" w:rsidRPr="000E3EEB">
              <w:rPr>
                <w:rFonts w:ascii="Times New Roman" w:hAnsi="Times New Roman" w:cs="Times New Roman"/>
              </w:rPr>
              <w:t>.</w:t>
            </w:r>
            <w:r w:rsidR="00A67EAA" w:rsidRPr="00A67EAA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276" w:type="dxa"/>
          </w:tcPr>
          <w:p w14:paraId="5A01F04D" w14:textId="3E2D7CCE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176C93AA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5ED85767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6BB6" w:rsidRPr="000E3EEB" w14:paraId="03FE6AA8" w14:textId="77777777" w:rsidTr="00A70CFD">
        <w:trPr>
          <w:trHeight w:val="410"/>
          <w:jc w:val="center"/>
        </w:trPr>
        <w:tc>
          <w:tcPr>
            <w:tcW w:w="4390" w:type="dxa"/>
            <w:vMerge/>
          </w:tcPr>
          <w:p w14:paraId="2B7FF726" w14:textId="77777777" w:rsidR="00695835" w:rsidRPr="000E3EEB" w:rsidRDefault="00695835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67394930" w14:textId="1E04B268" w:rsidR="006F4B99" w:rsidRPr="00A70CFD" w:rsidRDefault="00A70CFD" w:rsidP="00A70CFD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70CFD">
              <w:rPr>
                <w:rFonts w:ascii="Times New Roman" w:hAnsi="Times New Roman" w:cs="Times New Roman"/>
                <w:shd w:val="clear" w:color="auto" w:fill="FFFFFF"/>
              </w:rPr>
              <w:t xml:space="preserve">Implement recommendations of the Medicare task force </w:t>
            </w:r>
            <w:proofErr w:type="gramStart"/>
            <w:r w:rsidRPr="00A70CFD">
              <w:rPr>
                <w:rFonts w:ascii="Times New Roman" w:hAnsi="Times New Roman" w:cs="Times New Roman"/>
                <w:shd w:val="clear" w:color="auto" w:fill="FFFFFF"/>
              </w:rPr>
              <w:t>in order to</w:t>
            </w:r>
            <w:proofErr w:type="gramEnd"/>
            <w:r w:rsidRPr="00A70CFD">
              <w:rPr>
                <w:rFonts w:ascii="Times New Roman" w:hAnsi="Times New Roman" w:cs="Times New Roman"/>
                <w:shd w:val="clear" w:color="auto" w:fill="FFFFFF"/>
              </w:rPr>
              <w:t xml:space="preserve"> support multidisciplinary teams within the full scope of their practice.</w:t>
            </w:r>
          </w:p>
        </w:tc>
        <w:tc>
          <w:tcPr>
            <w:tcW w:w="1276" w:type="dxa"/>
          </w:tcPr>
          <w:p w14:paraId="1BB9B538" w14:textId="530010FC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3E69E5B5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71FFF8F3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6BB6" w:rsidRPr="000E3EEB" w14:paraId="2B208A50" w14:textId="55CB18FB" w:rsidTr="00684178">
        <w:trPr>
          <w:trHeight w:val="568"/>
          <w:jc w:val="center"/>
        </w:trPr>
        <w:tc>
          <w:tcPr>
            <w:tcW w:w="4390" w:type="dxa"/>
            <w:vMerge w:val="restart"/>
          </w:tcPr>
          <w:p w14:paraId="561ECBC6" w14:textId="0EEE1291" w:rsidR="00695835" w:rsidRPr="000E3EEB" w:rsidRDefault="00695835" w:rsidP="00B27A4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Ensure integration of primary care, social care, and care partnerships to an optimum level</w:t>
            </w:r>
          </w:p>
        </w:tc>
        <w:tc>
          <w:tcPr>
            <w:tcW w:w="13466" w:type="dxa"/>
          </w:tcPr>
          <w:p w14:paraId="767C44C4" w14:textId="7F91CE08" w:rsidR="00695835" w:rsidRPr="000E3EEB" w:rsidRDefault="00695835" w:rsidP="004350C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Clarify the roles of GPS, Nurses, and </w:t>
            </w:r>
            <w:r w:rsidR="001D0DBF" w:rsidRPr="00F9236F">
              <w:t>A</w:t>
            </w:r>
            <w:r w:rsidR="001D0DBF">
              <w:t>&amp;TSI</w:t>
            </w:r>
            <w:r w:rsidR="001D0DBF" w:rsidRPr="00F9236F">
              <w:t>H</w:t>
            </w:r>
            <w:r w:rsidR="001D0DBF">
              <w:t>P</w:t>
            </w:r>
            <w:r w:rsidR="001D0DBF" w:rsidRPr="00F9236F">
              <w:t>/</w:t>
            </w:r>
            <w:proofErr w:type="spellStart"/>
            <w:r w:rsidR="001D0DBF">
              <w:t>W</w:t>
            </w:r>
            <w:r w:rsidR="001D0DBF" w:rsidRPr="00F9236F">
              <w:t>s</w:t>
            </w:r>
            <w:r w:rsidRPr="000E3EEB">
              <w:rPr>
                <w:rFonts w:ascii="Times New Roman" w:hAnsi="Times New Roman" w:cs="Times New Roman"/>
              </w:rPr>
              <w:t>involved</w:t>
            </w:r>
            <w:proofErr w:type="spellEnd"/>
            <w:r w:rsidRPr="000E3EEB">
              <w:rPr>
                <w:rFonts w:ascii="Times New Roman" w:hAnsi="Times New Roman" w:cs="Times New Roman"/>
              </w:rPr>
              <w:t xml:space="preserve"> in </w:t>
            </w:r>
            <w:r w:rsidR="0084355B" w:rsidRPr="000E3EEB">
              <w:rPr>
                <w:rFonts w:ascii="Times New Roman" w:hAnsi="Times New Roman" w:cs="Times New Roman"/>
              </w:rPr>
              <w:t>HC</w:t>
            </w:r>
            <w:r w:rsidRPr="000E3EEB">
              <w:rPr>
                <w:rFonts w:ascii="Times New Roman" w:hAnsi="Times New Roman" w:cs="Times New Roman"/>
              </w:rPr>
              <w:t xml:space="preserve"> delivery </w:t>
            </w:r>
          </w:p>
        </w:tc>
        <w:tc>
          <w:tcPr>
            <w:tcW w:w="1276" w:type="dxa"/>
          </w:tcPr>
          <w:p w14:paraId="7A452F58" w14:textId="3A95C18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231912" w14:textId="50477324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6B8A45B9" w14:textId="65E8FE29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1FF4C023" w14:textId="77777777" w:rsidTr="00684178">
        <w:trPr>
          <w:jc w:val="center"/>
        </w:trPr>
        <w:tc>
          <w:tcPr>
            <w:tcW w:w="4390" w:type="dxa"/>
            <w:vMerge/>
          </w:tcPr>
          <w:p w14:paraId="76BC4EED" w14:textId="77777777" w:rsidR="00695835" w:rsidRPr="000E3EEB" w:rsidRDefault="00695835" w:rsidP="00B27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312CDF06" w14:textId="538367DD" w:rsidR="00695835" w:rsidRPr="000E3EEB" w:rsidRDefault="00695835" w:rsidP="004350C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Support referral pathways to various </w:t>
            </w:r>
            <w:r w:rsidR="004412B7">
              <w:rPr>
                <w:rFonts w:ascii="Times New Roman" w:hAnsi="Times New Roman" w:cs="Times New Roman"/>
              </w:rPr>
              <w:t xml:space="preserve">culturally safe </w:t>
            </w:r>
            <w:r w:rsidRPr="000E3EEB">
              <w:rPr>
                <w:rFonts w:ascii="Times New Roman" w:hAnsi="Times New Roman" w:cs="Times New Roman"/>
              </w:rPr>
              <w:t xml:space="preserve">clinical and non-clinical services including transport, housing, </w:t>
            </w:r>
            <w:r w:rsidR="00436B3C" w:rsidRPr="000E3EEB">
              <w:rPr>
                <w:rFonts w:ascii="Times New Roman" w:hAnsi="Times New Roman" w:cs="Times New Roman"/>
              </w:rPr>
              <w:t xml:space="preserve">NDIS, </w:t>
            </w:r>
            <w:r w:rsidRPr="000E3EEB">
              <w:rPr>
                <w:rFonts w:ascii="Times New Roman" w:hAnsi="Times New Roman" w:cs="Times New Roman"/>
              </w:rPr>
              <w:t xml:space="preserve">employment, etc. </w:t>
            </w:r>
          </w:p>
        </w:tc>
        <w:tc>
          <w:tcPr>
            <w:tcW w:w="1276" w:type="dxa"/>
          </w:tcPr>
          <w:p w14:paraId="2174A5A6" w14:textId="38D5271B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13039B30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7E04240C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  <w:p w14:paraId="22152337" w14:textId="68B51DD8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6BB6" w:rsidRPr="000E3EEB" w14:paraId="73915DE5" w14:textId="77777777" w:rsidTr="00684178">
        <w:trPr>
          <w:jc w:val="center"/>
        </w:trPr>
        <w:tc>
          <w:tcPr>
            <w:tcW w:w="4390" w:type="dxa"/>
            <w:vMerge/>
          </w:tcPr>
          <w:p w14:paraId="66D62F2D" w14:textId="77777777" w:rsidR="00695835" w:rsidRPr="000E3EEB" w:rsidRDefault="00695835" w:rsidP="00B27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41DCCA0F" w14:textId="179A0358" w:rsidR="00695835" w:rsidRPr="000E3EEB" w:rsidRDefault="005136D8" w:rsidP="004350C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Supporting PHNs, ACCHOs, and other stakeholders to provide visibility of nonclinical services. This will be </w:t>
            </w:r>
            <w:r w:rsidR="004412B7">
              <w:rPr>
                <w:rFonts w:ascii="Times New Roman" w:hAnsi="Times New Roman" w:cs="Times New Roman"/>
              </w:rPr>
              <w:t xml:space="preserve">supported </w:t>
            </w:r>
            <w:r w:rsidRPr="000E3EEB">
              <w:rPr>
                <w:rFonts w:ascii="Times New Roman" w:hAnsi="Times New Roman" w:cs="Times New Roman"/>
              </w:rPr>
              <w:t xml:space="preserve">by developing a directory of </w:t>
            </w:r>
            <w:r w:rsidR="00695835" w:rsidRPr="000E3EEB">
              <w:rPr>
                <w:rFonts w:ascii="Times New Roman" w:hAnsi="Times New Roman" w:cs="Times New Roman"/>
              </w:rPr>
              <w:t xml:space="preserve">evidence-based information </w:t>
            </w:r>
            <w:r w:rsidRPr="000E3EEB">
              <w:rPr>
                <w:rFonts w:ascii="Times New Roman" w:hAnsi="Times New Roman" w:cs="Times New Roman"/>
              </w:rPr>
              <w:t xml:space="preserve">and links to </w:t>
            </w:r>
            <w:r w:rsidR="00695835" w:rsidRPr="000E3EEB">
              <w:rPr>
                <w:rFonts w:ascii="Times New Roman" w:hAnsi="Times New Roman" w:cs="Times New Roman"/>
              </w:rPr>
              <w:t>available non-clinical services</w:t>
            </w:r>
            <w:r w:rsidRPr="000E3EEB">
              <w:rPr>
                <w:rFonts w:ascii="Times New Roman" w:hAnsi="Times New Roman" w:cs="Times New Roman"/>
              </w:rPr>
              <w:t>.</w:t>
            </w:r>
            <w:r w:rsidR="00695835" w:rsidRPr="000E3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4E406CD4" w14:textId="43EAFD69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189BD084" w14:textId="2908771E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5736FCE9" w14:textId="33782F55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0A128C8F" w14:textId="77777777" w:rsidTr="00684178">
        <w:trPr>
          <w:trHeight w:val="497"/>
          <w:jc w:val="center"/>
        </w:trPr>
        <w:tc>
          <w:tcPr>
            <w:tcW w:w="4390" w:type="dxa"/>
            <w:vMerge/>
          </w:tcPr>
          <w:p w14:paraId="623FA872" w14:textId="77777777" w:rsidR="00695835" w:rsidRPr="000E3EEB" w:rsidRDefault="00695835" w:rsidP="00B27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3F2DF6F4" w14:textId="4B5BEB41" w:rsidR="00695835" w:rsidRPr="000E3EEB" w:rsidRDefault="00695835" w:rsidP="00886C53">
            <w:pPr>
              <w:pStyle w:val="ListParagraph"/>
              <w:numPr>
                <w:ilvl w:val="0"/>
                <w:numId w:val="17"/>
              </w:numPr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0E3EEB">
              <w:rPr>
                <w:rFonts w:ascii="Times New Roman" w:hAnsi="Times New Roman" w:cs="Times New Roman"/>
                <w:iCs/>
              </w:rPr>
              <w:t>Recognise the role of families, carers, and communities and ensure they are included in models of care delivery.</w:t>
            </w:r>
          </w:p>
        </w:tc>
        <w:tc>
          <w:tcPr>
            <w:tcW w:w="1276" w:type="dxa"/>
          </w:tcPr>
          <w:p w14:paraId="6167CACD" w14:textId="2114618E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65DC0458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</w:tcPr>
          <w:p w14:paraId="748BED61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  <w:p w14:paraId="3972F44A" w14:textId="65F3B13B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6BB6" w:rsidRPr="000E3EEB" w14:paraId="2023FDE3" w14:textId="55E4A406" w:rsidTr="00684178">
        <w:trPr>
          <w:jc w:val="center"/>
        </w:trPr>
        <w:tc>
          <w:tcPr>
            <w:tcW w:w="4390" w:type="dxa"/>
            <w:vMerge w:val="restart"/>
          </w:tcPr>
          <w:p w14:paraId="1A66EBCB" w14:textId="06C60549" w:rsidR="00695835" w:rsidRPr="000E3EEB" w:rsidRDefault="00695835" w:rsidP="00B27A4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Address health equity and disparities</w:t>
            </w:r>
          </w:p>
        </w:tc>
        <w:tc>
          <w:tcPr>
            <w:tcW w:w="13466" w:type="dxa"/>
          </w:tcPr>
          <w:p w14:paraId="79707E38" w14:textId="32C0F73F" w:rsidR="00695835" w:rsidRPr="000E3EEB" w:rsidRDefault="00695835" w:rsidP="00886C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Provide flexible, needs-based, funding support to </w:t>
            </w:r>
            <w:proofErr w:type="gramStart"/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ACCHOs  to</w:t>
            </w:r>
            <w:proofErr w:type="gramEnd"/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support </w:t>
            </w:r>
            <w:r w:rsidR="00B21B92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community-led 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innovative models of care for health checks delivery care</w:t>
            </w:r>
            <w:r w:rsidR="00B21B92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276" w:type="dxa"/>
          </w:tcPr>
          <w:p w14:paraId="2A0F7F9A" w14:textId="27A2E4B6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314972A0" w14:textId="50E308B0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AEE9631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  <w:p w14:paraId="3F756F4C" w14:textId="30D12320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BB6" w:rsidRPr="000E3EEB" w14:paraId="747E2B33" w14:textId="77777777" w:rsidTr="00684178">
        <w:trPr>
          <w:trHeight w:val="511"/>
          <w:jc w:val="center"/>
        </w:trPr>
        <w:tc>
          <w:tcPr>
            <w:tcW w:w="4390" w:type="dxa"/>
            <w:vMerge/>
          </w:tcPr>
          <w:p w14:paraId="5490F57D" w14:textId="77777777" w:rsidR="00695835" w:rsidRPr="000E3EEB" w:rsidRDefault="00695835" w:rsidP="00B27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58269A4B" w14:textId="0365707F" w:rsidR="00695835" w:rsidRPr="000E3EEB" w:rsidRDefault="00695835" w:rsidP="00886C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0E3EEB">
              <w:rPr>
                <w:rFonts w:ascii="Times New Roman" w:hAnsi="Times New Roman" w:cs="Times New Roman"/>
                <w:iCs/>
              </w:rPr>
              <w:t>Support or provide transport services for service users to attend primary care in settings where physical access is a barrier to care.</w:t>
            </w:r>
          </w:p>
        </w:tc>
        <w:tc>
          <w:tcPr>
            <w:tcW w:w="1276" w:type="dxa"/>
          </w:tcPr>
          <w:p w14:paraId="5BFA1FF0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A81B39" w14:textId="2EABFB7C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6C3626DF" w14:textId="3370BBAB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1F3DAE93" w14:textId="77777777" w:rsidTr="00684178">
        <w:trPr>
          <w:jc w:val="center"/>
        </w:trPr>
        <w:tc>
          <w:tcPr>
            <w:tcW w:w="4390" w:type="dxa"/>
            <w:vMerge/>
          </w:tcPr>
          <w:p w14:paraId="19586517" w14:textId="77777777" w:rsidR="00695835" w:rsidRPr="000E3EEB" w:rsidRDefault="00695835" w:rsidP="00B27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2F8D9839" w14:textId="77777777" w:rsidR="00695835" w:rsidRDefault="00695835" w:rsidP="00886C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Implement a reform to </w:t>
            </w:r>
            <w:r w:rsidR="00CE0A1C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access and affordability </w:t>
            </w: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 allied health services available for the Aboriginal and Torres Strait Islander people</w:t>
            </w:r>
            <w:r w:rsidR="008417F9"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</w:p>
          <w:p w14:paraId="6F2AD927" w14:textId="5754822F" w:rsidR="00A67EAA" w:rsidRPr="000E3EEB" w:rsidRDefault="00A67EAA" w:rsidP="003A705D">
            <w:pPr>
              <w:pStyle w:val="ListParagraph"/>
              <w:ind w:left="108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</w:tcPr>
          <w:p w14:paraId="59D9970A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844DCD" w14:textId="79B25D2D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179DE3ED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413" w:rsidRPr="000E3EEB" w14:paraId="7CE3BD9B" w14:textId="77777777" w:rsidTr="00684178">
        <w:trPr>
          <w:jc w:val="center"/>
        </w:trPr>
        <w:tc>
          <w:tcPr>
            <w:tcW w:w="4390" w:type="dxa"/>
          </w:tcPr>
          <w:p w14:paraId="3561E752" w14:textId="77777777" w:rsidR="00136413" w:rsidRPr="000E3EEB" w:rsidRDefault="00136413" w:rsidP="00B27A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07F40737" w14:textId="1D740042" w:rsidR="00136413" w:rsidRPr="00DE6466" w:rsidRDefault="00136413" w:rsidP="00886C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46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Ensure that HCs' remuneration under MBS supports access - to time with clinicians, etc.</w:t>
            </w:r>
          </w:p>
        </w:tc>
        <w:tc>
          <w:tcPr>
            <w:tcW w:w="1276" w:type="dxa"/>
          </w:tcPr>
          <w:p w14:paraId="37C574F7" w14:textId="77777777" w:rsidR="00136413" w:rsidRPr="000E3EEB" w:rsidRDefault="00136413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24F31C" w14:textId="77777777" w:rsidR="00136413" w:rsidRPr="000E3EEB" w:rsidRDefault="00136413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7D8F48AB" w14:textId="77777777" w:rsidR="00136413" w:rsidRPr="000E3EEB" w:rsidRDefault="00136413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BB6" w:rsidRPr="000E3EEB" w14:paraId="763DAC38" w14:textId="77777777" w:rsidTr="00660BAD">
        <w:trPr>
          <w:trHeight w:val="564"/>
          <w:jc w:val="center"/>
        </w:trPr>
        <w:tc>
          <w:tcPr>
            <w:tcW w:w="4390" w:type="dxa"/>
            <w:vMerge w:val="restart"/>
          </w:tcPr>
          <w:p w14:paraId="0A8ABFD1" w14:textId="08B10569" w:rsidR="00695835" w:rsidRPr="000E3EEB" w:rsidRDefault="000558BD" w:rsidP="00B27A4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Adress time constraints </w:t>
            </w:r>
            <w:r w:rsidR="00695835" w:rsidRPr="000E3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6" w:type="dxa"/>
          </w:tcPr>
          <w:p w14:paraId="0A065367" w14:textId="5A6D5EA7" w:rsidR="00C51B7A" w:rsidRDefault="00C51B7A" w:rsidP="00886C5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Appointments are long enough to complete a comprehensive health check, including at least 15 minutes with the GP </w:t>
            </w:r>
          </w:p>
          <w:p w14:paraId="07ED663B" w14:textId="4FF5212B" w:rsidR="00695835" w:rsidRPr="000E3EEB" w:rsidRDefault="00BE64BA" w:rsidP="00886C5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0E3EEB">
              <w:rPr>
                <w:rFonts w:ascii="Times New Roman" w:hAnsi="Times New Roman" w:cs="Times New Roman"/>
                <w:shd w:val="clear" w:color="auto" w:fill="FFFFFF"/>
              </w:rPr>
              <w:t>Delinete</w:t>
            </w:r>
            <w:proofErr w:type="spellEnd"/>
            <w:r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95835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 the</w:t>
            </w:r>
            <w:proofErr w:type="gramEnd"/>
            <w:r w:rsidR="00695835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 role of nursing staff or other allied health workforce in delivering </w:t>
            </w:r>
            <w:r w:rsidR="00035621"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HCs </w:t>
            </w:r>
            <w:r w:rsidR="00695835" w:rsidRPr="000E3EEB">
              <w:rPr>
                <w:rFonts w:ascii="Times New Roman" w:hAnsi="Times New Roman" w:cs="Times New Roman"/>
                <w:shd w:val="clear" w:color="auto" w:fill="FFFFFF"/>
              </w:rPr>
              <w:t>at mainstream services to address issues of consultation time.</w:t>
            </w:r>
          </w:p>
        </w:tc>
        <w:tc>
          <w:tcPr>
            <w:tcW w:w="1276" w:type="dxa"/>
          </w:tcPr>
          <w:p w14:paraId="3977ACD7" w14:textId="5B5717CE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3F2E91EB" w14:textId="5B77A179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3FEF4BE6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  <w:p w14:paraId="464F9616" w14:textId="3739128D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BB6" w:rsidRPr="000E3EEB" w14:paraId="18FEC9AB" w14:textId="77777777" w:rsidTr="00684178">
        <w:trPr>
          <w:jc w:val="center"/>
        </w:trPr>
        <w:tc>
          <w:tcPr>
            <w:tcW w:w="4390" w:type="dxa"/>
            <w:vMerge/>
          </w:tcPr>
          <w:p w14:paraId="44255789" w14:textId="77777777" w:rsidR="00695835" w:rsidRPr="000E3EEB" w:rsidRDefault="00695835" w:rsidP="0055012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466" w:type="dxa"/>
          </w:tcPr>
          <w:p w14:paraId="679C0C7E" w14:textId="3235709A" w:rsidR="00695835" w:rsidRPr="000E3EEB" w:rsidRDefault="00695835" w:rsidP="00886C5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0E3EEB">
              <w:rPr>
                <w:rFonts w:ascii="Times New Roman" w:hAnsi="Times New Roman" w:cs="Times New Roman"/>
                <w:iCs/>
                <w:lang w:val="en-GB"/>
              </w:rPr>
              <w:t xml:space="preserve">Support flexibility in consultation times (including </w:t>
            </w:r>
            <w:r w:rsidRPr="000E3EEB">
              <w:rPr>
                <w:rFonts w:ascii="Times New Roman" w:hAnsi="Times New Roman" w:cs="Times New Roman"/>
                <w:iCs/>
              </w:rPr>
              <w:t>extended opening hours and walk-in services wherever possible)</w:t>
            </w:r>
            <w:r w:rsidRPr="000E3EEB">
              <w:rPr>
                <w:rFonts w:ascii="Times New Roman" w:hAnsi="Times New Roman" w:cs="Times New Roman"/>
                <w:iCs/>
                <w:lang w:val="en-GB"/>
              </w:rPr>
              <w:t xml:space="preserve"> and formats to foster genuine relationships between service providers and service users.</w:t>
            </w:r>
          </w:p>
        </w:tc>
        <w:tc>
          <w:tcPr>
            <w:tcW w:w="1276" w:type="dxa"/>
          </w:tcPr>
          <w:p w14:paraId="689822ED" w14:textId="77777777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80C02E" w14:textId="4985C58E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7802A848" w14:textId="1E4E78A9" w:rsidR="00695835" w:rsidRPr="000E3EEB" w:rsidRDefault="00695835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992E0E" w:rsidRPr="000E3EEB" w14:paraId="6C4815A1" w14:textId="77777777" w:rsidTr="00376BB6">
        <w:trPr>
          <w:jc w:val="center"/>
        </w:trPr>
        <w:tc>
          <w:tcPr>
            <w:tcW w:w="22361" w:type="dxa"/>
            <w:gridSpan w:val="5"/>
            <w:shd w:val="clear" w:color="auto" w:fill="CAEDFB" w:themeFill="accent4" w:themeFillTint="33"/>
          </w:tcPr>
          <w:p w14:paraId="6FFD879A" w14:textId="40C1674E" w:rsidR="00992E0E" w:rsidRPr="000E3EEB" w:rsidRDefault="00992E0E" w:rsidP="000E3EE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  <w:b/>
                <w:bCs/>
              </w:rPr>
              <w:t xml:space="preserve">Workforce </w:t>
            </w:r>
            <w:proofErr w:type="gramStart"/>
            <w:r w:rsidRPr="000E3EEB">
              <w:rPr>
                <w:rFonts w:ascii="Times New Roman" w:hAnsi="Times New Roman" w:cs="Times New Roman"/>
                <w:b/>
                <w:bCs/>
              </w:rPr>
              <w:t>training  to</w:t>
            </w:r>
            <w:proofErr w:type="gramEnd"/>
            <w:r w:rsidRPr="000E3EEB">
              <w:rPr>
                <w:rFonts w:ascii="Times New Roman" w:hAnsi="Times New Roman" w:cs="Times New Roman"/>
                <w:b/>
                <w:bCs/>
              </w:rPr>
              <w:t xml:space="preserve"> ensure the safe delivery of HCs</w:t>
            </w:r>
          </w:p>
        </w:tc>
      </w:tr>
      <w:tr w:rsidR="00376BB6" w:rsidRPr="000E3EEB" w14:paraId="04945FEC" w14:textId="6729FA9E" w:rsidTr="00684178">
        <w:trPr>
          <w:trHeight w:val="842"/>
          <w:jc w:val="center"/>
        </w:trPr>
        <w:tc>
          <w:tcPr>
            <w:tcW w:w="4390" w:type="dxa"/>
          </w:tcPr>
          <w:p w14:paraId="5960E273" w14:textId="03A52309" w:rsidR="00376BB6" w:rsidRPr="000E3EEB" w:rsidRDefault="00376BB6" w:rsidP="00C15A6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Promote standardized </w:t>
            </w:r>
            <w:r w:rsidRPr="000E3EEB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CPD-accredited Aboriginal and Torres Strait Islander culture awareness and safety training</w:t>
            </w:r>
          </w:p>
        </w:tc>
        <w:tc>
          <w:tcPr>
            <w:tcW w:w="13466" w:type="dxa"/>
          </w:tcPr>
          <w:p w14:paraId="74DC396E" w14:textId="5663B178" w:rsidR="00376BB6" w:rsidRPr="00376BB6" w:rsidRDefault="00376BB6" w:rsidP="00376BB6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100" w:afterAutospacing="1" w:line="281" w:lineRule="atLeast"/>
              <w:outlineLvl w:val="1"/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376BB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Promote subsidised </w:t>
            </w:r>
            <w:r w:rsidRPr="00376BB6">
              <w:rPr>
                <w:rFonts w:ascii="Times New Roman" w:hAnsi="Times New Roman" w:cs="Times New Roman"/>
              </w:rPr>
              <w:t xml:space="preserve">standardised </w:t>
            </w:r>
            <w:r w:rsidRPr="00376BB6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CPD-accredited Aboriginal and Torres Strait Islander culture awareness and safety training to </w:t>
            </w:r>
            <w:r w:rsidRPr="00376BB6">
              <w:rPr>
                <w:rFonts w:ascii="Times New Roman" w:hAnsi="Times New Roman" w:cs="Times New Roman"/>
                <w:shd w:val="clear" w:color="auto" w:fill="FFFFFF"/>
              </w:rPr>
              <w:t>GPs, general practice staff, primary health care staff, and other health care providers.</w:t>
            </w:r>
          </w:p>
        </w:tc>
        <w:tc>
          <w:tcPr>
            <w:tcW w:w="1276" w:type="dxa"/>
          </w:tcPr>
          <w:p w14:paraId="6B74333F" w14:textId="76412C70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6871E611" w14:textId="454D04AE" w:rsidR="00376BB6" w:rsidRPr="000E3EEB" w:rsidRDefault="00376BB6" w:rsidP="00376BB6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50807C91" w14:textId="7979A3C3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73FF8126" w14:textId="21DE8E6B" w:rsidTr="00684178">
        <w:trPr>
          <w:jc w:val="center"/>
        </w:trPr>
        <w:tc>
          <w:tcPr>
            <w:tcW w:w="4390" w:type="dxa"/>
          </w:tcPr>
          <w:p w14:paraId="4B309F4D" w14:textId="2B24760F" w:rsidR="00376BB6" w:rsidRPr="00684178" w:rsidRDefault="00376BB6" w:rsidP="0068417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84178">
              <w:rPr>
                <w:rFonts w:ascii="Times New Roman" w:hAnsi="Times New Roman" w:cs="Times New Roman"/>
              </w:rPr>
              <w:t>Development of standardized MBS (715 and allied health referrals) training</w:t>
            </w:r>
          </w:p>
        </w:tc>
        <w:tc>
          <w:tcPr>
            <w:tcW w:w="13466" w:type="dxa"/>
          </w:tcPr>
          <w:p w14:paraId="235C1A27" w14:textId="433B4605" w:rsidR="00376BB6" w:rsidRPr="00376BB6" w:rsidRDefault="00376BB6" w:rsidP="00376BB6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6BB6">
              <w:rPr>
                <w:rFonts w:ascii="Times New Roman" w:hAnsi="Times New Roman" w:cs="Times New Roman"/>
              </w:rPr>
              <w:t xml:space="preserve">Involve </w:t>
            </w:r>
            <w:r w:rsidRPr="00376BB6">
              <w:rPr>
                <w:rFonts w:ascii="Times New Roman" w:hAnsi="Times New Roman" w:cs="Times New Roman"/>
                <w:shd w:val="clear" w:color="auto" w:fill="FFFFFF"/>
              </w:rPr>
              <w:t>NAATSIHWP, NA</w:t>
            </w:r>
            <w:r w:rsidR="005F0FE0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r w:rsidRPr="00376BB6">
              <w:rPr>
                <w:rFonts w:ascii="Times New Roman" w:hAnsi="Times New Roman" w:cs="Times New Roman"/>
                <w:shd w:val="clear" w:color="auto" w:fill="FFFFFF"/>
              </w:rPr>
              <w:t>CHO, RACGP, and other key stakeholders to</w:t>
            </w:r>
            <w:r w:rsidRPr="00376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develop training material on MBS billing requirements, billing processes, and the role of all GPs, Nurses, and Aboriginal &amp; Torres Strait Islander health workers providers in the delivery of</w:t>
            </w:r>
            <w:r w:rsidR="001E2C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gramStart"/>
            <w:r w:rsidR="001E2C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quality</w:t>
            </w:r>
            <w:proofErr w:type="gramEnd"/>
            <w:r w:rsidRPr="00376B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HCs. </w:t>
            </w:r>
          </w:p>
        </w:tc>
        <w:tc>
          <w:tcPr>
            <w:tcW w:w="1276" w:type="dxa"/>
          </w:tcPr>
          <w:p w14:paraId="5A466C5B" w14:textId="49CFE171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547D4B96" w14:textId="1F20060B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720A66F3" w14:textId="09F9A769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06C002E7" w14:textId="77777777" w:rsidTr="00684178">
        <w:trPr>
          <w:jc w:val="center"/>
        </w:trPr>
        <w:tc>
          <w:tcPr>
            <w:tcW w:w="4390" w:type="dxa"/>
          </w:tcPr>
          <w:p w14:paraId="530296D1" w14:textId="5F9C6E11" w:rsidR="00376BB6" w:rsidRPr="00245641" w:rsidRDefault="00376BB6" w:rsidP="00245641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5641">
              <w:rPr>
                <w:rFonts w:ascii="Times New Roman" w:hAnsi="Times New Roman" w:cs="Times New Roman"/>
              </w:rPr>
              <w:t>Develop a cross-cultural learning platform</w:t>
            </w:r>
          </w:p>
        </w:tc>
        <w:tc>
          <w:tcPr>
            <w:tcW w:w="13466" w:type="dxa"/>
          </w:tcPr>
          <w:p w14:paraId="2560C3D7" w14:textId="0B2D4DAE" w:rsidR="00376BB6" w:rsidRPr="00376BB6" w:rsidRDefault="00376BB6" w:rsidP="00376BB6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76BB6">
              <w:rPr>
                <w:rFonts w:ascii="Times New Roman" w:hAnsi="Times New Roman" w:cs="Times New Roman"/>
              </w:rPr>
              <w:t xml:space="preserve">Support local collaborations </w:t>
            </w:r>
            <w:r w:rsidRPr="00376BB6">
              <w:rPr>
                <w:rFonts w:ascii="Times New Roman" w:hAnsi="Times New Roman" w:cs="Times New Roman"/>
                <w:shd w:val="clear" w:color="auto" w:fill="FFFFFF"/>
              </w:rPr>
              <w:t>for mainstream, AMS, and ACCHOS staff. This will allow healthcare providers to strengthen their knowledge and improve their HC delivery practices.</w:t>
            </w:r>
          </w:p>
        </w:tc>
        <w:tc>
          <w:tcPr>
            <w:tcW w:w="1276" w:type="dxa"/>
          </w:tcPr>
          <w:p w14:paraId="0C45E8DF" w14:textId="44A659D0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71037DB6" w14:textId="05293747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05B18821" w14:textId="2FCD5691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992E0E" w:rsidRPr="000E3EEB" w14:paraId="6CE7B4F0" w14:textId="77777777" w:rsidTr="00376BB6">
        <w:trPr>
          <w:trHeight w:val="290"/>
          <w:jc w:val="center"/>
        </w:trPr>
        <w:tc>
          <w:tcPr>
            <w:tcW w:w="22361" w:type="dxa"/>
            <w:gridSpan w:val="5"/>
            <w:shd w:val="clear" w:color="auto" w:fill="CAEDFB" w:themeFill="accent4" w:themeFillTint="33"/>
          </w:tcPr>
          <w:p w14:paraId="12A55CD9" w14:textId="06D08BBC" w:rsidR="00992E0E" w:rsidRPr="000E3EEB" w:rsidRDefault="00992E0E" w:rsidP="000E3EE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  <w:b/>
                <w:bCs/>
              </w:rPr>
              <w:t xml:space="preserve">Community engagement and health promotion activities for HC delivery </w:t>
            </w:r>
          </w:p>
        </w:tc>
      </w:tr>
      <w:tr w:rsidR="00376BB6" w:rsidRPr="000E3EEB" w14:paraId="480DF024" w14:textId="3BEF6A78" w:rsidTr="00684178">
        <w:trPr>
          <w:jc w:val="center"/>
        </w:trPr>
        <w:tc>
          <w:tcPr>
            <w:tcW w:w="4390" w:type="dxa"/>
            <w:vMerge w:val="restart"/>
          </w:tcPr>
          <w:p w14:paraId="0707F372" w14:textId="07A7837B" w:rsidR="00376BB6" w:rsidRPr="000E3EEB" w:rsidRDefault="00376BB6" w:rsidP="00C15A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  <w:shd w:val="clear" w:color="auto" w:fill="FFFFFF"/>
              </w:rPr>
              <w:t xml:space="preserve">Strengthen Indigenous clinical leadership </w:t>
            </w:r>
          </w:p>
        </w:tc>
        <w:tc>
          <w:tcPr>
            <w:tcW w:w="13466" w:type="dxa"/>
          </w:tcPr>
          <w:p w14:paraId="65BBFD2F" w14:textId="77777777" w:rsidR="00376BB6" w:rsidRDefault="00376BB6" w:rsidP="00660BA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E3EEB">
              <w:rPr>
                <w:rFonts w:ascii="Times New Roman" w:hAnsi="Times New Roman" w:cs="Times New Roman"/>
                <w:shd w:val="clear" w:color="auto" w:fill="FFFFFF"/>
              </w:rPr>
              <w:t>Set up clear roles, responsibilities, and boundaries of senior managerial positions.</w:t>
            </w:r>
          </w:p>
          <w:p w14:paraId="57131BBA" w14:textId="50823B11" w:rsidR="00A67EAA" w:rsidRPr="000E3EEB" w:rsidRDefault="00A67EAA" w:rsidP="00A67EAA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14:paraId="23FCD90D" w14:textId="77777777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905663" w14:textId="77777777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AD440F4" w14:textId="1EEBBEE6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5974A494" w14:textId="77777777" w:rsidTr="00684178">
        <w:trPr>
          <w:jc w:val="center"/>
        </w:trPr>
        <w:tc>
          <w:tcPr>
            <w:tcW w:w="4390" w:type="dxa"/>
            <w:vMerge/>
          </w:tcPr>
          <w:p w14:paraId="27147CA1" w14:textId="77777777" w:rsidR="00376BB6" w:rsidRPr="000E3EEB" w:rsidRDefault="00376BB6" w:rsidP="0055012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466" w:type="dxa"/>
          </w:tcPr>
          <w:p w14:paraId="578F6309" w14:textId="77777777" w:rsidR="00376BB6" w:rsidRDefault="00376BB6" w:rsidP="00660BA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E3EEB">
              <w:rPr>
                <w:rFonts w:ascii="Times New Roman" w:hAnsi="Times New Roman" w:cs="Times New Roman"/>
                <w:shd w:val="clear" w:color="auto" w:fill="FFFFFF"/>
              </w:rPr>
              <w:t>Supporting formal system for responding to staff conflicts and needs</w:t>
            </w:r>
          </w:p>
          <w:p w14:paraId="57FDECDA" w14:textId="0ABA2705" w:rsidR="00A67EAA" w:rsidRPr="000E3EEB" w:rsidRDefault="00A67EAA" w:rsidP="00A67EAA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14:paraId="43744229" w14:textId="77777777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1AE600" w14:textId="77777777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32253BD2" w14:textId="7223F50C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489B2A53" w14:textId="37B66BC1" w:rsidTr="00684178">
        <w:trPr>
          <w:jc w:val="center"/>
        </w:trPr>
        <w:tc>
          <w:tcPr>
            <w:tcW w:w="4390" w:type="dxa"/>
            <w:vMerge w:val="restart"/>
          </w:tcPr>
          <w:p w14:paraId="59C2664D" w14:textId="000A674F" w:rsidR="00376BB6" w:rsidRPr="000E3EEB" w:rsidRDefault="00376BB6" w:rsidP="00C15A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  <w:shd w:val="clear" w:color="auto" w:fill="FFFFFF"/>
              </w:rPr>
              <w:t>Strengthen health promotion activities</w:t>
            </w:r>
            <w:r w:rsidRPr="000E3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6" w:type="dxa"/>
          </w:tcPr>
          <w:p w14:paraId="031B49FC" w14:textId="3877DB8D" w:rsidR="00376BB6" w:rsidRDefault="00376BB6" w:rsidP="00660BA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 xml:space="preserve">Resource </w:t>
            </w:r>
            <w:proofErr w:type="spellStart"/>
            <w:r w:rsidR="002079EA">
              <w:rPr>
                <w:rFonts w:ascii="Times New Roman" w:hAnsi="Times New Roman" w:cs="Times New Roman"/>
              </w:rPr>
              <w:t>ongoiong</w:t>
            </w:r>
            <w:proofErr w:type="spellEnd"/>
            <w:r w:rsidR="002079EA">
              <w:rPr>
                <w:rFonts w:ascii="Times New Roman" w:hAnsi="Times New Roman" w:cs="Times New Roman"/>
              </w:rPr>
              <w:t xml:space="preserve"> health </w:t>
            </w:r>
            <w:proofErr w:type="spellStart"/>
            <w:r w:rsidR="002079EA">
              <w:rPr>
                <w:rFonts w:ascii="Times New Roman" w:hAnsi="Times New Roman" w:cs="Times New Roman"/>
              </w:rPr>
              <w:t>promotion</w:t>
            </w:r>
            <w:r w:rsidRPr="000E3EEB">
              <w:rPr>
                <w:rFonts w:ascii="Times New Roman" w:hAnsi="Times New Roman" w:cs="Times New Roman"/>
              </w:rPr>
              <w:t>program</w:t>
            </w:r>
            <w:proofErr w:type="spellEnd"/>
            <w:r w:rsidRPr="000E3EEB">
              <w:rPr>
                <w:rFonts w:ascii="Times New Roman" w:hAnsi="Times New Roman" w:cs="Times New Roman"/>
              </w:rPr>
              <w:t xml:space="preserve"> for increasing quality HCs uptake by Aboriginal and Torres Strait Islander communities.</w:t>
            </w:r>
          </w:p>
          <w:p w14:paraId="11DB6DEB" w14:textId="3E0403E8" w:rsidR="00A67EAA" w:rsidRPr="000E3EEB" w:rsidRDefault="00A67EAA" w:rsidP="00A67EAA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BE048A" w14:textId="45500096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7E84A346" w14:textId="293359BA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C50AA45" w14:textId="77777777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BB6" w:rsidRPr="000E3EEB" w14:paraId="0A9E63F0" w14:textId="77777777" w:rsidTr="00684178">
        <w:trPr>
          <w:jc w:val="center"/>
        </w:trPr>
        <w:tc>
          <w:tcPr>
            <w:tcW w:w="4390" w:type="dxa"/>
            <w:vMerge/>
          </w:tcPr>
          <w:p w14:paraId="15D32894" w14:textId="77777777" w:rsidR="00376BB6" w:rsidRPr="000E3EEB" w:rsidRDefault="00376BB6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08D0E7AA" w14:textId="77777777" w:rsidR="00376BB6" w:rsidRPr="00A67EAA" w:rsidRDefault="00376BB6" w:rsidP="00660BA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3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Link health</w:t>
            </w:r>
            <w:r w:rsidRPr="000E3E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check initiative with locally available health promotion programs for chronic disease.</w:t>
            </w:r>
          </w:p>
          <w:p w14:paraId="60C862A5" w14:textId="387F6A29" w:rsidR="00A67EAA" w:rsidRPr="000E3EEB" w:rsidRDefault="00A67EAA" w:rsidP="00A67EAA">
            <w:pPr>
              <w:pStyle w:val="ListParagraph"/>
              <w:ind w:left="108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</w:tcPr>
          <w:p w14:paraId="027D4C94" w14:textId="7486EDA8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1BEF8E2D" w14:textId="184B5CED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70" w:type="dxa"/>
          </w:tcPr>
          <w:p w14:paraId="15C03AD9" w14:textId="1775E45E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3CA19B1D" w14:textId="43E832B5" w:rsidTr="00684178">
        <w:trPr>
          <w:jc w:val="center"/>
        </w:trPr>
        <w:tc>
          <w:tcPr>
            <w:tcW w:w="4390" w:type="dxa"/>
            <w:vMerge w:val="restart"/>
          </w:tcPr>
          <w:p w14:paraId="03B37B70" w14:textId="39BD02C1" w:rsidR="00376BB6" w:rsidRPr="000E3EEB" w:rsidRDefault="00376BB6" w:rsidP="00AC2B6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  <w:shd w:val="clear" w:color="auto" w:fill="FFFFFF"/>
              </w:rPr>
              <w:t>Enable and strengthen the place-based partnership model</w:t>
            </w:r>
            <w:r w:rsidRPr="000E3EEB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3466" w:type="dxa"/>
          </w:tcPr>
          <w:p w14:paraId="232C9C38" w14:textId="77777777" w:rsidR="00376BB6" w:rsidRDefault="00376BB6" w:rsidP="00660BA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E3EEB">
              <w:rPr>
                <w:rFonts w:ascii="Times New Roman" w:hAnsi="Times New Roman" w:cs="Times New Roman"/>
                <w:shd w:val="clear" w:color="auto" w:fill="FFFFFF"/>
              </w:rPr>
              <w:t> Enabling local community ownership and control in the PHC service delivery system and social and cultural dynamics and norms.</w:t>
            </w:r>
          </w:p>
          <w:p w14:paraId="17933488" w14:textId="3E95F4CE" w:rsidR="00A67EAA" w:rsidRPr="000E3EEB" w:rsidRDefault="00A67EAA" w:rsidP="00A67EAA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14:paraId="5D53C380" w14:textId="775844F5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524883FE" w14:textId="105A5FD2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3DEE2ADD" w14:textId="2D84816E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376BB6" w:rsidRPr="000E3EEB" w14:paraId="193DE5AB" w14:textId="77777777" w:rsidTr="002979C5">
        <w:trPr>
          <w:trHeight w:val="552"/>
          <w:jc w:val="center"/>
        </w:trPr>
        <w:tc>
          <w:tcPr>
            <w:tcW w:w="4390" w:type="dxa"/>
            <w:vMerge/>
          </w:tcPr>
          <w:p w14:paraId="6DA0466D" w14:textId="77777777" w:rsidR="00376BB6" w:rsidRPr="000E3EEB" w:rsidRDefault="00376BB6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38BAB99C" w14:textId="4F1D230B" w:rsidR="00376BB6" w:rsidRPr="000E3EEB" w:rsidRDefault="00376BB6" w:rsidP="00660BAD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E3EEB">
              <w:rPr>
                <w:rFonts w:ascii="Times New Roman" w:hAnsi="Times New Roman" w:cs="Times New Roman"/>
                <w:shd w:val="clear" w:color="auto" w:fill="FFFFFF"/>
              </w:rPr>
              <w:t>Ensure consumers, communities, service providers, and peak bodies are regularly engaged to identify the best practices and gaps to improve HC delivery effectively.</w:t>
            </w:r>
          </w:p>
        </w:tc>
        <w:tc>
          <w:tcPr>
            <w:tcW w:w="1276" w:type="dxa"/>
          </w:tcPr>
          <w:p w14:paraId="6E6F72CE" w14:textId="761AB5A8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944092" w14:textId="77777777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B9549D3" w14:textId="3C3492B8" w:rsidR="00376BB6" w:rsidRPr="000E3EEB" w:rsidRDefault="00376BB6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</w:tr>
      <w:tr w:rsidR="00992E0E" w:rsidRPr="000E3EEB" w14:paraId="64CDEB54" w14:textId="77777777" w:rsidTr="00376BB6">
        <w:trPr>
          <w:trHeight w:val="208"/>
          <w:jc w:val="center"/>
        </w:trPr>
        <w:tc>
          <w:tcPr>
            <w:tcW w:w="22361" w:type="dxa"/>
            <w:gridSpan w:val="5"/>
            <w:shd w:val="clear" w:color="auto" w:fill="CAEDFB" w:themeFill="accent4" w:themeFillTint="33"/>
          </w:tcPr>
          <w:p w14:paraId="2FF4FE56" w14:textId="098D6884" w:rsidR="00992E0E" w:rsidRPr="000E3EEB" w:rsidRDefault="00992E0E" w:rsidP="00992E0E">
            <w:pPr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  <w:b/>
                <w:bCs/>
              </w:rPr>
              <w:t xml:space="preserve">6. Future Research </w:t>
            </w:r>
            <w:r w:rsidRPr="000E3EE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 the implementation of HCs</w:t>
            </w:r>
          </w:p>
        </w:tc>
      </w:tr>
      <w:tr w:rsidR="002958E0" w:rsidRPr="000E3EEB" w14:paraId="70AC0B82" w14:textId="77777777" w:rsidTr="00413915">
        <w:trPr>
          <w:trHeight w:val="232"/>
          <w:jc w:val="center"/>
        </w:trPr>
        <w:tc>
          <w:tcPr>
            <w:tcW w:w="4390" w:type="dxa"/>
            <w:vMerge w:val="restart"/>
          </w:tcPr>
          <w:p w14:paraId="2E5CF0F5" w14:textId="77777777" w:rsidR="002958E0" w:rsidRPr="000E3EEB" w:rsidRDefault="002958E0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3E94AB6A" w14:textId="385F65E7" w:rsidR="002958E0" w:rsidRPr="00823B3E" w:rsidRDefault="002958E0" w:rsidP="00823B3E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Conduct high-quality research to understand the best practices for improving the delivery and follow-up care tracking of HCs </w:t>
            </w:r>
            <w:r w:rsidR="00CA681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at </w:t>
            </w:r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Aboriginal community-controlled health services, Aboriginal Medical Services, </w:t>
            </w:r>
            <w:r w:rsidR="00A225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general practice</w:t>
            </w:r>
            <w:r w:rsidR="009861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A225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</w:t>
            </w:r>
            <w:r w:rsidRPr="00823B3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225E2">
              <w:rPr>
                <w:rFonts w:ascii="Times New Roman" w:hAnsi="Times New Roman" w:cs="Times New Roman"/>
                <w:shd w:val="clear" w:color="auto" w:fill="FFFFFF"/>
              </w:rPr>
              <w:t xml:space="preserve">other </w:t>
            </w:r>
            <w:r w:rsidRPr="00823B3E">
              <w:rPr>
                <w:rFonts w:ascii="Times New Roman" w:hAnsi="Times New Roman" w:cs="Times New Roman"/>
                <w:shd w:val="clear" w:color="auto" w:fill="FFFFFF"/>
              </w:rPr>
              <w:t>primary care services.</w:t>
            </w:r>
          </w:p>
        </w:tc>
        <w:tc>
          <w:tcPr>
            <w:tcW w:w="1276" w:type="dxa"/>
          </w:tcPr>
          <w:p w14:paraId="6880D520" w14:textId="74A608C0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317D21BD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88425D4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0" w:rsidRPr="000E3EEB" w14:paraId="4AB9E16B" w14:textId="77777777" w:rsidTr="002958E0">
        <w:trPr>
          <w:trHeight w:val="123"/>
          <w:jc w:val="center"/>
        </w:trPr>
        <w:tc>
          <w:tcPr>
            <w:tcW w:w="4390" w:type="dxa"/>
            <w:vMerge/>
          </w:tcPr>
          <w:p w14:paraId="1CA6515B" w14:textId="77777777" w:rsidR="002958E0" w:rsidRPr="000E3EEB" w:rsidRDefault="002958E0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338BE2C8" w14:textId="13F65D0D" w:rsidR="002958E0" w:rsidRPr="00823B3E" w:rsidRDefault="002958E0" w:rsidP="00823B3E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Co-develop and implement HCs delivery with a clear program theory and evaluation approach.</w:t>
            </w:r>
          </w:p>
        </w:tc>
        <w:tc>
          <w:tcPr>
            <w:tcW w:w="1276" w:type="dxa"/>
          </w:tcPr>
          <w:p w14:paraId="1887DA84" w14:textId="71032F00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2ED6B4D9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7DE4B9D3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0" w:rsidRPr="000E3EEB" w14:paraId="367DB181" w14:textId="77777777" w:rsidTr="002958E0">
        <w:trPr>
          <w:trHeight w:val="123"/>
          <w:jc w:val="center"/>
        </w:trPr>
        <w:tc>
          <w:tcPr>
            <w:tcW w:w="4390" w:type="dxa"/>
            <w:vMerge/>
          </w:tcPr>
          <w:p w14:paraId="00DF2BEF" w14:textId="77777777" w:rsidR="002958E0" w:rsidRPr="000E3EEB" w:rsidRDefault="002958E0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0CA5160B" w14:textId="3ED50DEF" w:rsidR="002958E0" w:rsidRPr="00823B3E" w:rsidRDefault="002958E0" w:rsidP="00823B3E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3B3E">
              <w:rPr>
                <w:rFonts w:ascii="Times New Roman" w:hAnsi="Times New Roman" w:cs="Times New Roman"/>
              </w:rPr>
              <w:t>Develop an evidence-based decision-making tool to drive the delivery of high-quality implementation of HCs</w:t>
            </w:r>
            <w:r w:rsidR="001D0D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344B498A" w14:textId="6232F3DF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4750F22F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767DC5E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0" w:rsidRPr="000E3EEB" w14:paraId="6E6CBB06" w14:textId="77777777" w:rsidTr="002958E0">
        <w:trPr>
          <w:trHeight w:val="123"/>
          <w:jc w:val="center"/>
        </w:trPr>
        <w:tc>
          <w:tcPr>
            <w:tcW w:w="4390" w:type="dxa"/>
            <w:vMerge/>
          </w:tcPr>
          <w:p w14:paraId="0C567C61" w14:textId="77777777" w:rsidR="002958E0" w:rsidRPr="000E3EEB" w:rsidRDefault="002958E0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6CEE4CC2" w14:textId="5682287B" w:rsidR="002958E0" w:rsidRPr="00823B3E" w:rsidRDefault="002958E0" w:rsidP="00823B3E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Identify place-based </w:t>
            </w:r>
            <w:r w:rsidRPr="00823B3E">
              <w:rPr>
                <w:rFonts w:ascii="Times New Roman" w:hAnsi="Times New Roman" w:cs="Times New Roman"/>
              </w:rPr>
              <w:t>health promotion strategies for HCs delivery.</w:t>
            </w:r>
          </w:p>
        </w:tc>
        <w:tc>
          <w:tcPr>
            <w:tcW w:w="1276" w:type="dxa"/>
          </w:tcPr>
          <w:p w14:paraId="0D039F2C" w14:textId="31E7A1D3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5EFE15A7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54918A1F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0" w:rsidRPr="000E3EEB" w14:paraId="6F842BF7" w14:textId="77777777" w:rsidTr="002958E0">
        <w:trPr>
          <w:trHeight w:val="123"/>
          <w:jc w:val="center"/>
        </w:trPr>
        <w:tc>
          <w:tcPr>
            <w:tcW w:w="4390" w:type="dxa"/>
            <w:vMerge/>
          </w:tcPr>
          <w:p w14:paraId="16022FF2" w14:textId="77777777" w:rsidR="002958E0" w:rsidRPr="000E3EEB" w:rsidRDefault="002958E0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6CF61E9E" w14:textId="269C44A5" w:rsidR="002958E0" w:rsidRPr="00823B3E" w:rsidRDefault="002958E0" w:rsidP="00823B3E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Explore the benefits of providing aligned services such as housing, Centrelink, legal services, etc., at PHC locations so that patients can have needs relating to social determinants met.</w:t>
            </w:r>
          </w:p>
        </w:tc>
        <w:tc>
          <w:tcPr>
            <w:tcW w:w="1276" w:type="dxa"/>
          </w:tcPr>
          <w:p w14:paraId="39018D15" w14:textId="257093CB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0B8E37DF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A02264C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8E0" w:rsidRPr="000E3EEB" w14:paraId="18F25983" w14:textId="77777777" w:rsidTr="002958E0">
        <w:trPr>
          <w:trHeight w:val="123"/>
          <w:jc w:val="center"/>
        </w:trPr>
        <w:tc>
          <w:tcPr>
            <w:tcW w:w="4390" w:type="dxa"/>
            <w:vMerge/>
          </w:tcPr>
          <w:p w14:paraId="3C979453" w14:textId="77777777" w:rsidR="002958E0" w:rsidRPr="000E3EEB" w:rsidRDefault="002958E0" w:rsidP="00550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6" w:type="dxa"/>
          </w:tcPr>
          <w:p w14:paraId="1E21F5B8" w14:textId="1146D8A6" w:rsidR="002958E0" w:rsidRPr="00823B3E" w:rsidRDefault="002958E0" w:rsidP="00823B3E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Conduct research on the implementation of HCs across </w:t>
            </w:r>
            <w:proofErr w:type="gramStart"/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large number of</w:t>
            </w:r>
            <w:proofErr w:type="gramEnd"/>
            <w:r w:rsidRPr="00823B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communities to identify the aspects of contexts in which HCs are provided, that enable or impede their success. Key factors may include cultural safety, community relationships, trust, and engagement.</w:t>
            </w:r>
          </w:p>
        </w:tc>
        <w:tc>
          <w:tcPr>
            <w:tcW w:w="1276" w:type="dxa"/>
          </w:tcPr>
          <w:p w14:paraId="17DC44DA" w14:textId="7DFAFE93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  <w:r w:rsidRPr="000E3EEB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559" w:type="dxa"/>
          </w:tcPr>
          <w:p w14:paraId="784A0ABA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B8A6FDD" w14:textId="77777777" w:rsidR="002958E0" w:rsidRPr="000E3EEB" w:rsidRDefault="002958E0" w:rsidP="0055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3D638B" w14:textId="77777777" w:rsidR="004350CD" w:rsidRDefault="004350CD"/>
    <w:sectPr w:rsidR="004350CD" w:rsidSect="00C83930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265"/>
    <w:multiLevelType w:val="hybridMultilevel"/>
    <w:tmpl w:val="66E86B0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197"/>
    <w:multiLevelType w:val="hybridMultilevel"/>
    <w:tmpl w:val="9BEAD2F8"/>
    <w:lvl w:ilvl="0" w:tplc="4DF62BDA">
      <w:start w:val="1"/>
      <w:numFmt w:val="lowerRoman"/>
      <w:lvlText w:val="%1)"/>
      <w:lvlJc w:val="left"/>
      <w:pPr>
        <w:ind w:left="780" w:hanging="72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C87FD6"/>
    <w:multiLevelType w:val="hybridMultilevel"/>
    <w:tmpl w:val="C130F004"/>
    <w:lvl w:ilvl="0" w:tplc="1332C1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1AFB"/>
    <w:multiLevelType w:val="hybridMultilevel"/>
    <w:tmpl w:val="36D86B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245D"/>
    <w:multiLevelType w:val="hybridMultilevel"/>
    <w:tmpl w:val="7A30ED6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20FC"/>
    <w:multiLevelType w:val="hybridMultilevel"/>
    <w:tmpl w:val="2B8E62D8"/>
    <w:lvl w:ilvl="0" w:tplc="A36628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31D21"/>
    <w:multiLevelType w:val="hybridMultilevel"/>
    <w:tmpl w:val="3E7A1798"/>
    <w:lvl w:ilvl="0" w:tplc="0C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9434B2E"/>
    <w:multiLevelType w:val="hybridMultilevel"/>
    <w:tmpl w:val="F0C68C80"/>
    <w:lvl w:ilvl="0" w:tplc="E50C81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07824"/>
    <w:multiLevelType w:val="hybridMultilevel"/>
    <w:tmpl w:val="638A308E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55F84"/>
    <w:multiLevelType w:val="hybridMultilevel"/>
    <w:tmpl w:val="83FA81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55AB"/>
    <w:multiLevelType w:val="multilevel"/>
    <w:tmpl w:val="8F5E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B6B27"/>
    <w:multiLevelType w:val="hybridMultilevel"/>
    <w:tmpl w:val="F1D8B228"/>
    <w:lvl w:ilvl="0" w:tplc="A434CC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A4E05"/>
    <w:multiLevelType w:val="hybridMultilevel"/>
    <w:tmpl w:val="EAB6F934"/>
    <w:lvl w:ilvl="0" w:tplc="3D2C17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61559"/>
    <w:multiLevelType w:val="hybridMultilevel"/>
    <w:tmpl w:val="C4FA27F8"/>
    <w:lvl w:ilvl="0" w:tplc="11F8C4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35231"/>
    <w:multiLevelType w:val="hybridMultilevel"/>
    <w:tmpl w:val="B2CA7AAA"/>
    <w:lvl w:ilvl="0" w:tplc="F572AE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85D75"/>
    <w:multiLevelType w:val="hybridMultilevel"/>
    <w:tmpl w:val="E4E47B4E"/>
    <w:lvl w:ilvl="0" w:tplc="E39673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1233"/>
    <w:multiLevelType w:val="hybridMultilevel"/>
    <w:tmpl w:val="0726A9C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F5ED2"/>
    <w:multiLevelType w:val="hybridMultilevel"/>
    <w:tmpl w:val="86FAA7E6"/>
    <w:lvl w:ilvl="0" w:tplc="3CC6D8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457DF"/>
    <w:multiLevelType w:val="hybridMultilevel"/>
    <w:tmpl w:val="66E86B0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F0BE2"/>
    <w:multiLevelType w:val="hybridMultilevel"/>
    <w:tmpl w:val="A32AF6B8"/>
    <w:lvl w:ilvl="0" w:tplc="263655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76C3"/>
    <w:multiLevelType w:val="hybridMultilevel"/>
    <w:tmpl w:val="E82C8906"/>
    <w:lvl w:ilvl="0" w:tplc="5A7A7B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C1913"/>
    <w:multiLevelType w:val="hybridMultilevel"/>
    <w:tmpl w:val="1ECCD2EE"/>
    <w:lvl w:ilvl="0" w:tplc="A5EE49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95C1E"/>
    <w:multiLevelType w:val="hybridMultilevel"/>
    <w:tmpl w:val="AB1A9F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D6B2E"/>
    <w:multiLevelType w:val="hybridMultilevel"/>
    <w:tmpl w:val="03486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13477"/>
    <w:multiLevelType w:val="hybridMultilevel"/>
    <w:tmpl w:val="D57A63CE"/>
    <w:lvl w:ilvl="0" w:tplc="2E8655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B6643"/>
    <w:multiLevelType w:val="hybridMultilevel"/>
    <w:tmpl w:val="B8B203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16C0B"/>
    <w:multiLevelType w:val="hybridMultilevel"/>
    <w:tmpl w:val="E4FC40B8"/>
    <w:lvl w:ilvl="0" w:tplc="512C653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77609"/>
    <w:multiLevelType w:val="hybridMultilevel"/>
    <w:tmpl w:val="998E43B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72B7E"/>
    <w:multiLevelType w:val="hybridMultilevel"/>
    <w:tmpl w:val="520E52F4"/>
    <w:lvl w:ilvl="0" w:tplc="856C11EE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4A236A2D"/>
    <w:multiLevelType w:val="hybridMultilevel"/>
    <w:tmpl w:val="66E86B00"/>
    <w:lvl w:ilvl="0" w:tplc="3E62A10A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300DC"/>
    <w:multiLevelType w:val="hybridMultilevel"/>
    <w:tmpl w:val="66E86B0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F09B5"/>
    <w:multiLevelType w:val="hybridMultilevel"/>
    <w:tmpl w:val="40684472"/>
    <w:lvl w:ilvl="0" w:tplc="1F229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87171"/>
    <w:multiLevelType w:val="hybridMultilevel"/>
    <w:tmpl w:val="62EA2514"/>
    <w:lvl w:ilvl="0" w:tplc="299A6D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701C1"/>
    <w:multiLevelType w:val="hybridMultilevel"/>
    <w:tmpl w:val="73A61F4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D6320"/>
    <w:multiLevelType w:val="hybridMultilevel"/>
    <w:tmpl w:val="4DF04D0C"/>
    <w:lvl w:ilvl="0" w:tplc="14F8B4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5789B"/>
    <w:multiLevelType w:val="hybridMultilevel"/>
    <w:tmpl w:val="AB080722"/>
    <w:lvl w:ilvl="0" w:tplc="EA789F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B3966"/>
    <w:multiLevelType w:val="multilevel"/>
    <w:tmpl w:val="E7322BE8"/>
    <w:lvl w:ilvl="0">
      <w:start w:val="1"/>
      <w:numFmt w:val="bullet"/>
      <w:pStyle w:val="ListBullet"/>
      <w:lvlText w:val=""/>
      <w:lvlJc w:val="left"/>
      <w:pPr>
        <w:ind w:left="647" w:hanging="36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435" w:hanging="358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1809" w:hanging="374"/>
      </w:pPr>
      <w:rPr>
        <w:rFonts w:ascii="Symbol" w:hAnsi="Symbol" w:hint="default"/>
      </w:rPr>
    </w:lvl>
    <w:lvl w:ilvl="4">
      <w:start w:val="1"/>
      <w:numFmt w:val="none"/>
      <w:pStyle w:val="Source"/>
      <w:suff w:val="space"/>
      <w:lvlText w:val="Source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pStyle w:val="Note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1BB7D34"/>
    <w:multiLevelType w:val="hybridMultilevel"/>
    <w:tmpl w:val="0726A9C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0544"/>
    <w:multiLevelType w:val="hybridMultilevel"/>
    <w:tmpl w:val="F168B59E"/>
    <w:lvl w:ilvl="0" w:tplc="8CB20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B6C8E"/>
    <w:multiLevelType w:val="hybridMultilevel"/>
    <w:tmpl w:val="54AA7CC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621667"/>
    <w:multiLevelType w:val="hybridMultilevel"/>
    <w:tmpl w:val="FC4ECB7C"/>
    <w:lvl w:ilvl="0" w:tplc="74927F1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F33B2"/>
    <w:multiLevelType w:val="hybridMultilevel"/>
    <w:tmpl w:val="C6A43B3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1777B"/>
    <w:multiLevelType w:val="multilevel"/>
    <w:tmpl w:val="5468988A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126B5"/>
    <w:multiLevelType w:val="hybridMultilevel"/>
    <w:tmpl w:val="E3F48636"/>
    <w:lvl w:ilvl="0" w:tplc="C36829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B125F"/>
    <w:multiLevelType w:val="hybridMultilevel"/>
    <w:tmpl w:val="FA3A289C"/>
    <w:lvl w:ilvl="0" w:tplc="1A9073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7197">
    <w:abstractNumId w:val="41"/>
  </w:num>
  <w:num w:numId="2" w16cid:durableId="851606018">
    <w:abstractNumId w:val="23"/>
  </w:num>
  <w:num w:numId="3" w16cid:durableId="2004697577">
    <w:abstractNumId w:val="10"/>
  </w:num>
  <w:num w:numId="4" w16cid:durableId="310208218">
    <w:abstractNumId w:val="6"/>
  </w:num>
  <w:num w:numId="5" w16cid:durableId="2047826480">
    <w:abstractNumId w:val="36"/>
  </w:num>
  <w:num w:numId="6" w16cid:durableId="1014916724">
    <w:abstractNumId w:val="8"/>
  </w:num>
  <w:num w:numId="7" w16cid:durableId="11230084">
    <w:abstractNumId w:val="29"/>
  </w:num>
  <w:num w:numId="8" w16cid:durableId="2048795246">
    <w:abstractNumId w:val="19"/>
  </w:num>
  <w:num w:numId="9" w16cid:durableId="384331184">
    <w:abstractNumId w:val="9"/>
  </w:num>
  <w:num w:numId="10" w16cid:durableId="1463040802">
    <w:abstractNumId w:val="40"/>
  </w:num>
  <w:num w:numId="11" w16cid:durableId="1101534254">
    <w:abstractNumId w:val="37"/>
  </w:num>
  <w:num w:numId="12" w16cid:durableId="879629717">
    <w:abstractNumId w:val="33"/>
  </w:num>
  <w:num w:numId="13" w16cid:durableId="1255942533">
    <w:abstractNumId w:val="3"/>
  </w:num>
  <w:num w:numId="14" w16cid:durableId="529613416">
    <w:abstractNumId w:val="22"/>
  </w:num>
  <w:num w:numId="15" w16cid:durableId="1806771081">
    <w:abstractNumId w:val="15"/>
  </w:num>
  <w:num w:numId="16" w16cid:durableId="1116562755">
    <w:abstractNumId w:val="31"/>
  </w:num>
  <w:num w:numId="17" w16cid:durableId="1583250621">
    <w:abstractNumId w:val="20"/>
  </w:num>
  <w:num w:numId="18" w16cid:durableId="308022368">
    <w:abstractNumId w:val="7"/>
  </w:num>
  <w:num w:numId="19" w16cid:durableId="610358471">
    <w:abstractNumId w:val="24"/>
  </w:num>
  <w:num w:numId="20" w16cid:durableId="1664040858">
    <w:abstractNumId w:val="1"/>
  </w:num>
  <w:num w:numId="21" w16cid:durableId="1197237713">
    <w:abstractNumId w:val="21"/>
  </w:num>
  <w:num w:numId="22" w16cid:durableId="1324116807">
    <w:abstractNumId w:val="5"/>
  </w:num>
  <w:num w:numId="23" w16cid:durableId="2139831032">
    <w:abstractNumId w:val="35"/>
  </w:num>
  <w:num w:numId="24" w16cid:durableId="525211720">
    <w:abstractNumId w:val="39"/>
  </w:num>
  <w:num w:numId="25" w16cid:durableId="1436827574">
    <w:abstractNumId w:val="43"/>
  </w:num>
  <w:num w:numId="26" w16cid:durableId="1974289806">
    <w:abstractNumId w:val="17"/>
  </w:num>
  <w:num w:numId="27" w16cid:durableId="1490058420">
    <w:abstractNumId w:val="25"/>
  </w:num>
  <w:num w:numId="28" w16cid:durableId="1838113855">
    <w:abstractNumId w:val="42"/>
  </w:num>
  <w:num w:numId="29" w16cid:durableId="1693723240">
    <w:abstractNumId w:val="16"/>
  </w:num>
  <w:num w:numId="30" w16cid:durableId="1033965266">
    <w:abstractNumId w:val="4"/>
  </w:num>
  <w:num w:numId="31" w16cid:durableId="1063942886">
    <w:abstractNumId w:val="32"/>
  </w:num>
  <w:num w:numId="32" w16cid:durableId="690109797">
    <w:abstractNumId w:val="2"/>
  </w:num>
  <w:num w:numId="33" w16cid:durableId="2015566269">
    <w:abstractNumId w:val="26"/>
  </w:num>
  <w:num w:numId="34" w16cid:durableId="361444633">
    <w:abstractNumId w:val="28"/>
  </w:num>
  <w:num w:numId="35" w16cid:durableId="160783339">
    <w:abstractNumId w:val="44"/>
  </w:num>
  <w:num w:numId="36" w16cid:durableId="1426221765">
    <w:abstractNumId w:val="38"/>
  </w:num>
  <w:num w:numId="37" w16cid:durableId="923686848">
    <w:abstractNumId w:val="0"/>
  </w:num>
  <w:num w:numId="38" w16cid:durableId="603804368">
    <w:abstractNumId w:val="30"/>
  </w:num>
  <w:num w:numId="39" w16cid:durableId="1568105692">
    <w:abstractNumId w:val="18"/>
  </w:num>
  <w:num w:numId="40" w16cid:durableId="1556551495">
    <w:abstractNumId w:val="27"/>
  </w:num>
  <w:num w:numId="41" w16cid:durableId="1623463596">
    <w:abstractNumId w:val="34"/>
  </w:num>
  <w:num w:numId="42" w16cid:durableId="908736947">
    <w:abstractNumId w:val="11"/>
  </w:num>
  <w:num w:numId="43" w16cid:durableId="1448966518">
    <w:abstractNumId w:val="13"/>
  </w:num>
  <w:num w:numId="44" w16cid:durableId="1199198786">
    <w:abstractNumId w:val="14"/>
  </w:num>
  <w:num w:numId="45" w16cid:durableId="983899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F7"/>
    <w:rsid w:val="00004EE7"/>
    <w:rsid w:val="000051AD"/>
    <w:rsid w:val="00013532"/>
    <w:rsid w:val="000145D2"/>
    <w:rsid w:val="00020F01"/>
    <w:rsid w:val="00024C18"/>
    <w:rsid w:val="0002667D"/>
    <w:rsid w:val="00032275"/>
    <w:rsid w:val="00032C73"/>
    <w:rsid w:val="00035621"/>
    <w:rsid w:val="00043826"/>
    <w:rsid w:val="00052EA9"/>
    <w:rsid w:val="000558BD"/>
    <w:rsid w:val="00061E89"/>
    <w:rsid w:val="00065AA3"/>
    <w:rsid w:val="00076D2D"/>
    <w:rsid w:val="000832BE"/>
    <w:rsid w:val="00086628"/>
    <w:rsid w:val="00090F9C"/>
    <w:rsid w:val="000977D0"/>
    <w:rsid w:val="000A10D4"/>
    <w:rsid w:val="000B295B"/>
    <w:rsid w:val="000B2A77"/>
    <w:rsid w:val="000C0228"/>
    <w:rsid w:val="000C1F9B"/>
    <w:rsid w:val="000C290E"/>
    <w:rsid w:val="000C4A09"/>
    <w:rsid w:val="000C5498"/>
    <w:rsid w:val="000D726B"/>
    <w:rsid w:val="000E0B2D"/>
    <w:rsid w:val="000E254A"/>
    <w:rsid w:val="000E3EEB"/>
    <w:rsid w:val="000F2C27"/>
    <w:rsid w:val="000F65EF"/>
    <w:rsid w:val="000F6E8B"/>
    <w:rsid w:val="0010530A"/>
    <w:rsid w:val="00105978"/>
    <w:rsid w:val="00110C35"/>
    <w:rsid w:val="001136D8"/>
    <w:rsid w:val="00115D89"/>
    <w:rsid w:val="00117BB6"/>
    <w:rsid w:val="00120559"/>
    <w:rsid w:val="00121333"/>
    <w:rsid w:val="0012334E"/>
    <w:rsid w:val="00134BF5"/>
    <w:rsid w:val="00136413"/>
    <w:rsid w:val="00137EDC"/>
    <w:rsid w:val="00141472"/>
    <w:rsid w:val="00146727"/>
    <w:rsid w:val="00147AEE"/>
    <w:rsid w:val="00154047"/>
    <w:rsid w:val="001545BF"/>
    <w:rsid w:val="00154945"/>
    <w:rsid w:val="00163CA6"/>
    <w:rsid w:val="001648E2"/>
    <w:rsid w:val="00167566"/>
    <w:rsid w:val="00167919"/>
    <w:rsid w:val="001705F9"/>
    <w:rsid w:val="00170FA8"/>
    <w:rsid w:val="00171BFE"/>
    <w:rsid w:val="001828C9"/>
    <w:rsid w:val="00185E21"/>
    <w:rsid w:val="001902F0"/>
    <w:rsid w:val="001915FE"/>
    <w:rsid w:val="00191981"/>
    <w:rsid w:val="00192DDF"/>
    <w:rsid w:val="00196A77"/>
    <w:rsid w:val="001A0DA9"/>
    <w:rsid w:val="001A268F"/>
    <w:rsid w:val="001A29C8"/>
    <w:rsid w:val="001A56A6"/>
    <w:rsid w:val="001C10C5"/>
    <w:rsid w:val="001C1581"/>
    <w:rsid w:val="001C2017"/>
    <w:rsid w:val="001C3473"/>
    <w:rsid w:val="001C7A35"/>
    <w:rsid w:val="001D0DBF"/>
    <w:rsid w:val="001D2859"/>
    <w:rsid w:val="001D4DBF"/>
    <w:rsid w:val="001E2C5F"/>
    <w:rsid w:val="001F1277"/>
    <w:rsid w:val="001F3C88"/>
    <w:rsid w:val="0020699F"/>
    <w:rsid w:val="0020798D"/>
    <w:rsid w:val="002079EA"/>
    <w:rsid w:val="00210006"/>
    <w:rsid w:val="00210393"/>
    <w:rsid w:val="0021709A"/>
    <w:rsid w:val="0023136E"/>
    <w:rsid w:val="00232222"/>
    <w:rsid w:val="00235D71"/>
    <w:rsid w:val="0023676C"/>
    <w:rsid w:val="00243178"/>
    <w:rsid w:val="00245641"/>
    <w:rsid w:val="00261B35"/>
    <w:rsid w:val="00263EBA"/>
    <w:rsid w:val="0026579D"/>
    <w:rsid w:val="00283827"/>
    <w:rsid w:val="002868A3"/>
    <w:rsid w:val="0028742D"/>
    <w:rsid w:val="00291FD4"/>
    <w:rsid w:val="002958E0"/>
    <w:rsid w:val="002972AC"/>
    <w:rsid w:val="002979C5"/>
    <w:rsid w:val="002A3C9E"/>
    <w:rsid w:val="002B007B"/>
    <w:rsid w:val="002B2676"/>
    <w:rsid w:val="002B3B2B"/>
    <w:rsid w:val="002B6EAE"/>
    <w:rsid w:val="002C4D37"/>
    <w:rsid w:val="002C6021"/>
    <w:rsid w:val="002D44A0"/>
    <w:rsid w:val="002D645F"/>
    <w:rsid w:val="002F7AD3"/>
    <w:rsid w:val="00310FB7"/>
    <w:rsid w:val="00311724"/>
    <w:rsid w:val="00324872"/>
    <w:rsid w:val="00326DC8"/>
    <w:rsid w:val="00331FC6"/>
    <w:rsid w:val="00332D71"/>
    <w:rsid w:val="003356EC"/>
    <w:rsid w:val="00335FA3"/>
    <w:rsid w:val="00337DEF"/>
    <w:rsid w:val="0034125A"/>
    <w:rsid w:val="00352734"/>
    <w:rsid w:val="00352ABE"/>
    <w:rsid w:val="003559DF"/>
    <w:rsid w:val="00360665"/>
    <w:rsid w:val="003723A7"/>
    <w:rsid w:val="00376BB6"/>
    <w:rsid w:val="00391A84"/>
    <w:rsid w:val="0039451F"/>
    <w:rsid w:val="00396BC0"/>
    <w:rsid w:val="0039796A"/>
    <w:rsid w:val="003A705D"/>
    <w:rsid w:val="003B0897"/>
    <w:rsid w:val="003B7457"/>
    <w:rsid w:val="003B74B4"/>
    <w:rsid w:val="003C78B2"/>
    <w:rsid w:val="003D0E40"/>
    <w:rsid w:val="003D1720"/>
    <w:rsid w:val="003D3859"/>
    <w:rsid w:val="003D5FA4"/>
    <w:rsid w:val="003E5FB2"/>
    <w:rsid w:val="003E6C78"/>
    <w:rsid w:val="003E7F82"/>
    <w:rsid w:val="003F0D99"/>
    <w:rsid w:val="003F0F6F"/>
    <w:rsid w:val="003F33EA"/>
    <w:rsid w:val="003F633B"/>
    <w:rsid w:val="00400682"/>
    <w:rsid w:val="00401520"/>
    <w:rsid w:val="00402D08"/>
    <w:rsid w:val="00405E51"/>
    <w:rsid w:val="0041216B"/>
    <w:rsid w:val="00413915"/>
    <w:rsid w:val="00421215"/>
    <w:rsid w:val="0042235A"/>
    <w:rsid w:val="004350CD"/>
    <w:rsid w:val="00436B3C"/>
    <w:rsid w:val="00440732"/>
    <w:rsid w:val="004412B7"/>
    <w:rsid w:val="00443C7C"/>
    <w:rsid w:val="00446685"/>
    <w:rsid w:val="0045531D"/>
    <w:rsid w:val="004570C3"/>
    <w:rsid w:val="00460139"/>
    <w:rsid w:val="00461CE5"/>
    <w:rsid w:val="00467714"/>
    <w:rsid w:val="00470CC3"/>
    <w:rsid w:val="004816CD"/>
    <w:rsid w:val="00485DC1"/>
    <w:rsid w:val="0048770B"/>
    <w:rsid w:val="00490522"/>
    <w:rsid w:val="0049068B"/>
    <w:rsid w:val="004926AE"/>
    <w:rsid w:val="00493312"/>
    <w:rsid w:val="004A0C36"/>
    <w:rsid w:val="004A373C"/>
    <w:rsid w:val="004A718C"/>
    <w:rsid w:val="004B444E"/>
    <w:rsid w:val="004C2BA9"/>
    <w:rsid w:val="004C423E"/>
    <w:rsid w:val="004C4AFE"/>
    <w:rsid w:val="004C5F10"/>
    <w:rsid w:val="004C7963"/>
    <w:rsid w:val="004D0752"/>
    <w:rsid w:val="004E04AB"/>
    <w:rsid w:val="004E3C16"/>
    <w:rsid w:val="004E499B"/>
    <w:rsid w:val="004E6C06"/>
    <w:rsid w:val="004F0D41"/>
    <w:rsid w:val="004F3AD4"/>
    <w:rsid w:val="00500876"/>
    <w:rsid w:val="005136D8"/>
    <w:rsid w:val="00515C13"/>
    <w:rsid w:val="00530175"/>
    <w:rsid w:val="00531252"/>
    <w:rsid w:val="00531F4D"/>
    <w:rsid w:val="005325C9"/>
    <w:rsid w:val="00533D07"/>
    <w:rsid w:val="0055012F"/>
    <w:rsid w:val="0055384E"/>
    <w:rsid w:val="00555FB0"/>
    <w:rsid w:val="005608E7"/>
    <w:rsid w:val="00566D78"/>
    <w:rsid w:val="0056797E"/>
    <w:rsid w:val="005721B0"/>
    <w:rsid w:val="00574047"/>
    <w:rsid w:val="00577852"/>
    <w:rsid w:val="0058521C"/>
    <w:rsid w:val="005909FB"/>
    <w:rsid w:val="005A1E5B"/>
    <w:rsid w:val="005A2618"/>
    <w:rsid w:val="005A2E76"/>
    <w:rsid w:val="005A5EF8"/>
    <w:rsid w:val="005B0C9A"/>
    <w:rsid w:val="005B3122"/>
    <w:rsid w:val="005C08ED"/>
    <w:rsid w:val="005C3E5F"/>
    <w:rsid w:val="005C6986"/>
    <w:rsid w:val="005D278A"/>
    <w:rsid w:val="005D2914"/>
    <w:rsid w:val="005D3EFC"/>
    <w:rsid w:val="005F0FE0"/>
    <w:rsid w:val="005F10B1"/>
    <w:rsid w:val="005F3124"/>
    <w:rsid w:val="00603B7C"/>
    <w:rsid w:val="006040AE"/>
    <w:rsid w:val="006069C9"/>
    <w:rsid w:val="00610A2B"/>
    <w:rsid w:val="00616048"/>
    <w:rsid w:val="006333F3"/>
    <w:rsid w:val="0065403A"/>
    <w:rsid w:val="00654E29"/>
    <w:rsid w:val="00660BAD"/>
    <w:rsid w:val="006627D6"/>
    <w:rsid w:val="0066447B"/>
    <w:rsid w:val="0066627D"/>
    <w:rsid w:val="00670B99"/>
    <w:rsid w:val="00677FA7"/>
    <w:rsid w:val="0068390C"/>
    <w:rsid w:val="00684178"/>
    <w:rsid w:val="0069055D"/>
    <w:rsid w:val="00695835"/>
    <w:rsid w:val="006A3129"/>
    <w:rsid w:val="006C22E9"/>
    <w:rsid w:val="006D0580"/>
    <w:rsid w:val="006E1A01"/>
    <w:rsid w:val="006F0CA2"/>
    <w:rsid w:val="006F3C13"/>
    <w:rsid w:val="006F4B99"/>
    <w:rsid w:val="00703400"/>
    <w:rsid w:val="007059C4"/>
    <w:rsid w:val="00705E1E"/>
    <w:rsid w:val="00714FDA"/>
    <w:rsid w:val="00715364"/>
    <w:rsid w:val="00716700"/>
    <w:rsid w:val="007228D3"/>
    <w:rsid w:val="007265B3"/>
    <w:rsid w:val="00736129"/>
    <w:rsid w:val="007471E1"/>
    <w:rsid w:val="00752433"/>
    <w:rsid w:val="0076307D"/>
    <w:rsid w:val="00763AEB"/>
    <w:rsid w:val="00772842"/>
    <w:rsid w:val="007866A4"/>
    <w:rsid w:val="0078708F"/>
    <w:rsid w:val="0078718B"/>
    <w:rsid w:val="00792C2E"/>
    <w:rsid w:val="00792DF8"/>
    <w:rsid w:val="007943A9"/>
    <w:rsid w:val="00794CF4"/>
    <w:rsid w:val="0079729E"/>
    <w:rsid w:val="007A4776"/>
    <w:rsid w:val="007B4DDD"/>
    <w:rsid w:val="007B6E42"/>
    <w:rsid w:val="007C215A"/>
    <w:rsid w:val="007F1F79"/>
    <w:rsid w:val="007F6C8F"/>
    <w:rsid w:val="00804E5F"/>
    <w:rsid w:val="00810B74"/>
    <w:rsid w:val="0081298F"/>
    <w:rsid w:val="008214B4"/>
    <w:rsid w:val="0082234E"/>
    <w:rsid w:val="00823267"/>
    <w:rsid w:val="00823B3E"/>
    <w:rsid w:val="008267C0"/>
    <w:rsid w:val="008318E2"/>
    <w:rsid w:val="00831B2C"/>
    <w:rsid w:val="00832D62"/>
    <w:rsid w:val="008339C5"/>
    <w:rsid w:val="008417F9"/>
    <w:rsid w:val="0084355B"/>
    <w:rsid w:val="008477D0"/>
    <w:rsid w:val="008529EB"/>
    <w:rsid w:val="008634E5"/>
    <w:rsid w:val="00870593"/>
    <w:rsid w:val="00870B94"/>
    <w:rsid w:val="0087326E"/>
    <w:rsid w:val="00877E53"/>
    <w:rsid w:val="008825CC"/>
    <w:rsid w:val="00882717"/>
    <w:rsid w:val="00883434"/>
    <w:rsid w:val="00886C53"/>
    <w:rsid w:val="00893802"/>
    <w:rsid w:val="008A6E40"/>
    <w:rsid w:val="008B056D"/>
    <w:rsid w:val="008B1FC3"/>
    <w:rsid w:val="008C1B0D"/>
    <w:rsid w:val="008C251B"/>
    <w:rsid w:val="008C2E79"/>
    <w:rsid w:val="008C3538"/>
    <w:rsid w:val="008D3DE8"/>
    <w:rsid w:val="008D407E"/>
    <w:rsid w:val="008D427C"/>
    <w:rsid w:val="008D6BAB"/>
    <w:rsid w:val="008E1C61"/>
    <w:rsid w:val="008E38A1"/>
    <w:rsid w:val="008E6B0B"/>
    <w:rsid w:val="008F0504"/>
    <w:rsid w:val="008F755E"/>
    <w:rsid w:val="00902EC8"/>
    <w:rsid w:val="00910895"/>
    <w:rsid w:val="00917F61"/>
    <w:rsid w:val="009215B0"/>
    <w:rsid w:val="009343E7"/>
    <w:rsid w:val="009405EC"/>
    <w:rsid w:val="0094539A"/>
    <w:rsid w:val="00945C3B"/>
    <w:rsid w:val="00952123"/>
    <w:rsid w:val="009544BB"/>
    <w:rsid w:val="0097207F"/>
    <w:rsid w:val="00977F03"/>
    <w:rsid w:val="00980E35"/>
    <w:rsid w:val="00982044"/>
    <w:rsid w:val="00983716"/>
    <w:rsid w:val="00985EAE"/>
    <w:rsid w:val="009861A6"/>
    <w:rsid w:val="00991162"/>
    <w:rsid w:val="00992E0E"/>
    <w:rsid w:val="00993854"/>
    <w:rsid w:val="009B255C"/>
    <w:rsid w:val="009D11BF"/>
    <w:rsid w:val="009D29C5"/>
    <w:rsid w:val="009D5F7B"/>
    <w:rsid w:val="009D6E02"/>
    <w:rsid w:val="009D6FAE"/>
    <w:rsid w:val="009E02A1"/>
    <w:rsid w:val="009E4ABE"/>
    <w:rsid w:val="009F3CB2"/>
    <w:rsid w:val="009F6980"/>
    <w:rsid w:val="00A01031"/>
    <w:rsid w:val="00A03EAC"/>
    <w:rsid w:val="00A11706"/>
    <w:rsid w:val="00A13576"/>
    <w:rsid w:val="00A1373D"/>
    <w:rsid w:val="00A150C2"/>
    <w:rsid w:val="00A17142"/>
    <w:rsid w:val="00A2066D"/>
    <w:rsid w:val="00A225E2"/>
    <w:rsid w:val="00A2273F"/>
    <w:rsid w:val="00A25136"/>
    <w:rsid w:val="00A47E6E"/>
    <w:rsid w:val="00A52B66"/>
    <w:rsid w:val="00A52D9F"/>
    <w:rsid w:val="00A54E67"/>
    <w:rsid w:val="00A55BC6"/>
    <w:rsid w:val="00A65FAB"/>
    <w:rsid w:val="00A67EAA"/>
    <w:rsid w:val="00A70CFD"/>
    <w:rsid w:val="00A72EE8"/>
    <w:rsid w:val="00A73B1A"/>
    <w:rsid w:val="00A74ACC"/>
    <w:rsid w:val="00A84E94"/>
    <w:rsid w:val="00A866E6"/>
    <w:rsid w:val="00AA300D"/>
    <w:rsid w:val="00AA3CD5"/>
    <w:rsid w:val="00AB04C0"/>
    <w:rsid w:val="00AC1474"/>
    <w:rsid w:val="00AC2B68"/>
    <w:rsid w:val="00AC5BA9"/>
    <w:rsid w:val="00AD1CB4"/>
    <w:rsid w:val="00AD2FBB"/>
    <w:rsid w:val="00AD484F"/>
    <w:rsid w:val="00AD7D97"/>
    <w:rsid w:val="00AE2D85"/>
    <w:rsid w:val="00AE4D28"/>
    <w:rsid w:val="00AF43B3"/>
    <w:rsid w:val="00AF5B24"/>
    <w:rsid w:val="00B212E7"/>
    <w:rsid w:val="00B21B92"/>
    <w:rsid w:val="00B27335"/>
    <w:rsid w:val="00B27A42"/>
    <w:rsid w:val="00B32B1A"/>
    <w:rsid w:val="00B41B73"/>
    <w:rsid w:val="00B444F6"/>
    <w:rsid w:val="00B46D2C"/>
    <w:rsid w:val="00B60D4C"/>
    <w:rsid w:val="00B66D50"/>
    <w:rsid w:val="00B70E10"/>
    <w:rsid w:val="00B7103B"/>
    <w:rsid w:val="00B80949"/>
    <w:rsid w:val="00B83605"/>
    <w:rsid w:val="00B85275"/>
    <w:rsid w:val="00B86A7C"/>
    <w:rsid w:val="00B907D6"/>
    <w:rsid w:val="00B92F14"/>
    <w:rsid w:val="00B92F3F"/>
    <w:rsid w:val="00BA71AC"/>
    <w:rsid w:val="00BB1EE2"/>
    <w:rsid w:val="00BB33D5"/>
    <w:rsid w:val="00BB44F7"/>
    <w:rsid w:val="00BC1922"/>
    <w:rsid w:val="00BC680B"/>
    <w:rsid w:val="00BE64BA"/>
    <w:rsid w:val="00BF1B2F"/>
    <w:rsid w:val="00BF27D2"/>
    <w:rsid w:val="00BF3834"/>
    <w:rsid w:val="00BF5C4B"/>
    <w:rsid w:val="00BF5D0E"/>
    <w:rsid w:val="00BF5E0D"/>
    <w:rsid w:val="00C016F7"/>
    <w:rsid w:val="00C04DF8"/>
    <w:rsid w:val="00C05A0C"/>
    <w:rsid w:val="00C10CDA"/>
    <w:rsid w:val="00C15A6E"/>
    <w:rsid w:val="00C22814"/>
    <w:rsid w:val="00C27DBA"/>
    <w:rsid w:val="00C31E67"/>
    <w:rsid w:val="00C36E2F"/>
    <w:rsid w:val="00C45BC2"/>
    <w:rsid w:val="00C505D2"/>
    <w:rsid w:val="00C51B7A"/>
    <w:rsid w:val="00C52596"/>
    <w:rsid w:val="00C5262E"/>
    <w:rsid w:val="00C675C9"/>
    <w:rsid w:val="00C702ED"/>
    <w:rsid w:val="00C70735"/>
    <w:rsid w:val="00C71C42"/>
    <w:rsid w:val="00C74DF4"/>
    <w:rsid w:val="00C779F5"/>
    <w:rsid w:val="00C82EC0"/>
    <w:rsid w:val="00C83930"/>
    <w:rsid w:val="00C871CE"/>
    <w:rsid w:val="00C87746"/>
    <w:rsid w:val="00C93969"/>
    <w:rsid w:val="00C959E5"/>
    <w:rsid w:val="00C96047"/>
    <w:rsid w:val="00C97D6E"/>
    <w:rsid w:val="00CA6810"/>
    <w:rsid w:val="00CB1FC4"/>
    <w:rsid w:val="00CB4156"/>
    <w:rsid w:val="00CB46A9"/>
    <w:rsid w:val="00CB47A9"/>
    <w:rsid w:val="00CB5B87"/>
    <w:rsid w:val="00CB66D8"/>
    <w:rsid w:val="00CB76CA"/>
    <w:rsid w:val="00CC11ED"/>
    <w:rsid w:val="00CC263D"/>
    <w:rsid w:val="00CC51FB"/>
    <w:rsid w:val="00CC73F3"/>
    <w:rsid w:val="00CD2909"/>
    <w:rsid w:val="00CD499E"/>
    <w:rsid w:val="00CE0A1C"/>
    <w:rsid w:val="00D01972"/>
    <w:rsid w:val="00D036EB"/>
    <w:rsid w:val="00D04B62"/>
    <w:rsid w:val="00D139D2"/>
    <w:rsid w:val="00D13CBE"/>
    <w:rsid w:val="00D20C88"/>
    <w:rsid w:val="00D22838"/>
    <w:rsid w:val="00D320D9"/>
    <w:rsid w:val="00D34414"/>
    <w:rsid w:val="00D467D3"/>
    <w:rsid w:val="00D475CF"/>
    <w:rsid w:val="00D50295"/>
    <w:rsid w:val="00D5462B"/>
    <w:rsid w:val="00D65A5B"/>
    <w:rsid w:val="00D711C4"/>
    <w:rsid w:val="00D72204"/>
    <w:rsid w:val="00D74AA4"/>
    <w:rsid w:val="00D7719F"/>
    <w:rsid w:val="00D77B29"/>
    <w:rsid w:val="00D837ED"/>
    <w:rsid w:val="00D85987"/>
    <w:rsid w:val="00D86A61"/>
    <w:rsid w:val="00D874E2"/>
    <w:rsid w:val="00D90281"/>
    <w:rsid w:val="00D90371"/>
    <w:rsid w:val="00D90E0C"/>
    <w:rsid w:val="00D96797"/>
    <w:rsid w:val="00DA1A2E"/>
    <w:rsid w:val="00DA246E"/>
    <w:rsid w:val="00DA2630"/>
    <w:rsid w:val="00DA702A"/>
    <w:rsid w:val="00DA7FDF"/>
    <w:rsid w:val="00DC0C21"/>
    <w:rsid w:val="00DC3340"/>
    <w:rsid w:val="00DC74D8"/>
    <w:rsid w:val="00DD14BD"/>
    <w:rsid w:val="00DD1F65"/>
    <w:rsid w:val="00DD7C6B"/>
    <w:rsid w:val="00DE6466"/>
    <w:rsid w:val="00DF69C7"/>
    <w:rsid w:val="00E03945"/>
    <w:rsid w:val="00E05CC9"/>
    <w:rsid w:val="00E22C7A"/>
    <w:rsid w:val="00E24D26"/>
    <w:rsid w:val="00E25AA0"/>
    <w:rsid w:val="00E26273"/>
    <w:rsid w:val="00E345A7"/>
    <w:rsid w:val="00E34780"/>
    <w:rsid w:val="00E601C5"/>
    <w:rsid w:val="00E608AE"/>
    <w:rsid w:val="00E64F19"/>
    <w:rsid w:val="00E7540E"/>
    <w:rsid w:val="00E80E46"/>
    <w:rsid w:val="00E82171"/>
    <w:rsid w:val="00E961CA"/>
    <w:rsid w:val="00EA0F41"/>
    <w:rsid w:val="00EA6437"/>
    <w:rsid w:val="00EB4E98"/>
    <w:rsid w:val="00EC19C0"/>
    <w:rsid w:val="00EC2627"/>
    <w:rsid w:val="00EC3094"/>
    <w:rsid w:val="00EC3EEE"/>
    <w:rsid w:val="00ED7D96"/>
    <w:rsid w:val="00ED7E6B"/>
    <w:rsid w:val="00EE1A69"/>
    <w:rsid w:val="00EE7F84"/>
    <w:rsid w:val="00EF03AA"/>
    <w:rsid w:val="00EF1220"/>
    <w:rsid w:val="00EF44FC"/>
    <w:rsid w:val="00EF6AD3"/>
    <w:rsid w:val="00F02F8B"/>
    <w:rsid w:val="00F0463C"/>
    <w:rsid w:val="00F053E9"/>
    <w:rsid w:val="00F0546F"/>
    <w:rsid w:val="00F11757"/>
    <w:rsid w:val="00F2393B"/>
    <w:rsid w:val="00F31BC1"/>
    <w:rsid w:val="00F3284F"/>
    <w:rsid w:val="00F41A51"/>
    <w:rsid w:val="00F46EDA"/>
    <w:rsid w:val="00F56127"/>
    <w:rsid w:val="00F72F99"/>
    <w:rsid w:val="00F74F7B"/>
    <w:rsid w:val="00F822E6"/>
    <w:rsid w:val="00F824FB"/>
    <w:rsid w:val="00F834BD"/>
    <w:rsid w:val="00F92239"/>
    <w:rsid w:val="00F95A95"/>
    <w:rsid w:val="00FA1547"/>
    <w:rsid w:val="00FD16E8"/>
    <w:rsid w:val="00FD236D"/>
    <w:rsid w:val="00FE6915"/>
    <w:rsid w:val="00FF43B1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EE061"/>
  <w15:chartTrackingRefBased/>
  <w15:docId w15:val="{B3BEDCA4-3C97-4D15-BF72-3F8CBC4F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35"/>
  </w:style>
  <w:style w:type="paragraph" w:styleId="Heading1">
    <w:name w:val="heading 1"/>
    <w:basedOn w:val="Normal"/>
    <w:next w:val="Normal"/>
    <w:link w:val="Heading1Char"/>
    <w:uiPriority w:val="9"/>
    <w:qFormat/>
    <w:rsid w:val="00BB4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4F7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BB4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4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5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150"/>
    <w:rPr>
      <w:b/>
      <w:bCs/>
      <w:sz w:val="20"/>
      <w:szCs w:val="20"/>
    </w:rPr>
  </w:style>
  <w:style w:type="paragraph" w:styleId="ListBullet">
    <w:name w:val="List Bullet"/>
    <w:basedOn w:val="Normal"/>
    <w:link w:val="ListBulletChar"/>
    <w:uiPriority w:val="9"/>
    <w:qFormat/>
    <w:rsid w:val="003559DF"/>
    <w:pPr>
      <w:numPr>
        <w:numId w:val="5"/>
      </w:numPr>
      <w:spacing w:after="113" w:line="276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ListBullet2">
    <w:name w:val="List Bullet 2"/>
    <w:basedOn w:val="ListBullet"/>
    <w:uiPriority w:val="9"/>
    <w:qFormat/>
    <w:rsid w:val="003559DF"/>
    <w:pPr>
      <w:numPr>
        <w:ilvl w:val="1"/>
      </w:numPr>
      <w:tabs>
        <w:tab w:val="num" w:pos="360"/>
      </w:tabs>
      <w:ind w:left="2475" w:hanging="360"/>
    </w:pPr>
    <w:rPr>
      <w:color w:val="000000" w:themeColor="text1"/>
    </w:rPr>
  </w:style>
  <w:style w:type="paragraph" w:styleId="ListBullet3">
    <w:name w:val="List Bullet 3"/>
    <w:basedOn w:val="Normal"/>
    <w:uiPriority w:val="9"/>
    <w:qFormat/>
    <w:rsid w:val="003559DF"/>
    <w:pPr>
      <w:numPr>
        <w:ilvl w:val="2"/>
        <w:numId w:val="5"/>
      </w:numPr>
      <w:spacing w:after="113" w:line="276" w:lineRule="auto"/>
      <w:contextualSpacing/>
    </w:pPr>
    <w:rPr>
      <w:rFonts w:ascii="Arial" w:hAnsi="Arial"/>
      <w:kern w:val="0"/>
      <w:sz w:val="20"/>
      <w:szCs w:val="20"/>
      <w14:ligatures w14:val="none"/>
    </w:rPr>
  </w:style>
  <w:style w:type="paragraph" w:styleId="ListBullet4">
    <w:name w:val="List Bullet 4"/>
    <w:basedOn w:val="Normal"/>
    <w:uiPriority w:val="9"/>
    <w:qFormat/>
    <w:rsid w:val="003559DF"/>
    <w:pPr>
      <w:numPr>
        <w:ilvl w:val="3"/>
        <w:numId w:val="5"/>
      </w:numPr>
      <w:spacing w:after="113" w:line="276" w:lineRule="auto"/>
      <w:contextualSpacing/>
    </w:pPr>
    <w:rPr>
      <w:rFonts w:ascii="Arial" w:hAnsi="Arial"/>
      <w:kern w:val="0"/>
      <w:sz w:val="20"/>
      <w:szCs w:val="20"/>
      <w14:ligatures w14:val="none"/>
    </w:rPr>
  </w:style>
  <w:style w:type="paragraph" w:customStyle="1" w:styleId="Source">
    <w:name w:val="Source"/>
    <w:basedOn w:val="Normal"/>
    <w:next w:val="Normal"/>
    <w:uiPriority w:val="15"/>
    <w:qFormat/>
    <w:rsid w:val="003559DF"/>
    <w:pPr>
      <w:numPr>
        <w:ilvl w:val="4"/>
        <w:numId w:val="5"/>
      </w:numPr>
      <w:spacing w:before="57" w:after="113" w:line="276" w:lineRule="auto"/>
    </w:pPr>
    <w:rPr>
      <w:rFonts w:ascii="Arial" w:hAnsi="Arial"/>
      <w:kern w:val="0"/>
      <w:sz w:val="17"/>
      <w:szCs w:val="20"/>
      <w14:ligatures w14:val="none"/>
    </w:rPr>
  </w:style>
  <w:style w:type="paragraph" w:customStyle="1" w:styleId="Note">
    <w:name w:val="Note"/>
    <w:basedOn w:val="Source"/>
    <w:next w:val="Normal"/>
    <w:uiPriority w:val="15"/>
    <w:semiHidden/>
    <w:qFormat/>
    <w:rsid w:val="003559DF"/>
    <w:pPr>
      <w:numPr>
        <w:ilvl w:val="5"/>
      </w:numPr>
    </w:pPr>
    <w:rPr>
      <w:b/>
    </w:rPr>
  </w:style>
  <w:style w:type="character" w:customStyle="1" w:styleId="ListBulletChar">
    <w:name w:val="List Bullet Char"/>
    <w:basedOn w:val="DefaultParagraphFont"/>
    <w:link w:val="ListBullet"/>
    <w:uiPriority w:val="9"/>
    <w:rsid w:val="003559DF"/>
    <w:rPr>
      <w:rFonts w:ascii="Arial" w:hAnsi="Arial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Recommendation Char,List Paragraph1 Char"/>
    <w:basedOn w:val="DefaultParagraphFont"/>
    <w:link w:val="ListParagraph"/>
    <w:uiPriority w:val="34"/>
    <w:rsid w:val="00CD499E"/>
  </w:style>
  <w:style w:type="paragraph" w:styleId="BalloonText">
    <w:name w:val="Balloon Text"/>
    <w:basedOn w:val="Normal"/>
    <w:link w:val="BalloonTextChar"/>
    <w:uiPriority w:val="99"/>
    <w:semiHidden/>
    <w:unhideWhenUsed/>
    <w:rsid w:val="00A84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94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310FB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039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53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30A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9F3CB2"/>
    <w:rPr>
      <w:rFonts w:ascii="Segoe UI" w:hAnsi="Segoe UI" w:cs="Segoe UI" w:hint="default"/>
      <w:sz w:val="18"/>
      <w:szCs w:val="18"/>
    </w:rPr>
  </w:style>
  <w:style w:type="numbering" w:customStyle="1" w:styleId="CurrentList1">
    <w:name w:val="Current List1"/>
    <w:uiPriority w:val="99"/>
    <w:rsid w:val="001A0DA9"/>
    <w:pPr>
      <w:numPr>
        <w:numId w:val="2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B3B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1171</Words>
  <Characters>7065</Characters>
  <Application>Microsoft Office Word</Application>
  <DocSecurity>0</DocSecurity>
  <Lines>269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Yadav</dc:creator>
  <cp:keywords/>
  <dc:description/>
  <cp:lastModifiedBy>Uday Yadav</cp:lastModifiedBy>
  <cp:revision>66</cp:revision>
  <cp:lastPrinted>2024-02-26T06:12:00Z</cp:lastPrinted>
  <dcterms:created xsi:type="dcterms:W3CDTF">2024-06-18T05:15:00Z</dcterms:created>
  <dcterms:modified xsi:type="dcterms:W3CDTF">2024-07-08T00:59:00Z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62892700606881827f2d3f7f3cf4944ca3eabcfa945c8e3eb4a3ae2bc32c02d4</vt:lpwstr>
  </property>
</Properties>
</file>