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Look w:val="04A0" w:firstRow="1" w:lastRow="0" w:firstColumn="1" w:lastColumn="0" w:noHBand="0" w:noVBand="1"/>
      </w:tblPr>
      <w:tblGrid>
        <w:gridCol w:w="2418"/>
        <w:gridCol w:w="5800"/>
        <w:gridCol w:w="5730"/>
      </w:tblGrid>
      <w:tr w:rsidR="00963907" w:rsidRPr="00963907" w14:paraId="72984547" w14:textId="5A87280C" w:rsidTr="00963907">
        <w:tc>
          <w:tcPr>
            <w:tcW w:w="866" w:type="pct"/>
            <w:shd w:val="clear" w:color="auto" w:fill="A8D08D" w:themeFill="accent6" w:themeFillTint="99"/>
          </w:tcPr>
          <w:p w14:paraId="4CC77E75" w14:textId="5591642D" w:rsidR="00963907" w:rsidRPr="00963907" w:rsidRDefault="00963907">
            <w:pPr>
              <w:rPr>
                <w:rFonts w:ascii="Arial" w:hAnsi="Arial" w:cs="Arial"/>
                <w:color w:val="000000" w:themeColor="text1"/>
                <w:sz w:val="20"/>
                <w:szCs w:val="20"/>
              </w:rPr>
            </w:pPr>
            <w:r w:rsidRPr="00963907">
              <w:rPr>
                <w:rFonts w:ascii="Arial" w:hAnsi="Arial" w:cs="Arial"/>
                <w:color w:val="000000" w:themeColor="text1"/>
                <w:sz w:val="20"/>
                <w:szCs w:val="20"/>
              </w:rPr>
              <w:t xml:space="preserve">Title of report /year /publisher </w:t>
            </w:r>
          </w:p>
        </w:tc>
        <w:tc>
          <w:tcPr>
            <w:tcW w:w="2079" w:type="pct"/>
            <w:shd w:val="clear" w:color="auto" w:fill="A8D08D" w:themeFill="accent6" w:themeFillTint="99"/>
          </w:tcPr>
          <w:p w14:paraId="08915E14" w14:textId="4CE847F8" w:rsidR="00963907" w:rsidRPr="00963907" w:rsidRDefault="00963907">
            <w:pPr>
              <w:rPr>
                <w:rFonts w:ascii="Arial" w:hAnsi="Arial" w:cs="Arial"/>
                <w:color w:val="000000" w:themeColor="text1"/>
                <w:sz w:val="20"/>
                <w:szCs w:val="20"/>
              </w:rPr>
            </w:pPr>
            <w:r w:rsidRPr="00963907">
              <w:rPr>
                <w:rFonts w:ascii="Arial" w:hAnsi="Arial" w:cs="Arial"/>
                <w:color w:val="000000" w:themeColor="text1"/>
                <w:sz w:val="20"/>
                <w:szCs w:val="20"/>
              </w:rPr>
              <w:t xml:space="preserve">Contextual barriers </w:t>
            </w:r>
          </w:p>
        </w:tc>
        <w:tc>
          <w:tcPr>
            <w:tcW w:w="2054" w:type="pct"/>
            <w:shd w:val="clear" w:color="auto" w:fill="A8D08D" w:themeFill="accent6" w:themeFillTint="99"/>
          </w:tcPr>
          <w:p w14:paraId="4BD2D73E" w14:textId="6510F5E0" w:rsidR="00963907" w:rsidRPr="00963907" w:rsidRDefault="00963907">
            <w:pPr>
              <w:rPr>
                <w:rFonts w:ascii="Arial" w:hAnsi="Arial" w:cs="Arial"/>
                <w:color w:val="000000" w:themeColor="text1"/>
                <w:sz w:val="20"/>
                <w:szCs w:val="20"/>
              </w:rPr>
            </w:pPr>
            <w:r w:rsidRPr="00963907">
              <w:rPr>
                <w:rFonts w:ascii="Arial" w:hAnsi="Arial" w:cs="Arial"/>
                <w:color w:val="000000" w:themeColor="text1"/>
                <w:sz w:val="20"/>
                <w:szCs w:val="20"/>
              </w:rPr>
              <w:t xml:space="preserve">Contextual facilitators </w:t>
            </w:r>
          </w:p>
        </w:tc>
      </w:tr>
      <w:tr w:rsidR="00963907" w:rsidRPr="00963907" w14:paraId="4BE7DFEA" w14:textId="2D4EBC3D" w:rsidTr="00963907">
        <w:tc>
          <w:tcPr>
            <w:tcW w:w="866" w:type="pct"/>
          </w:tcPr>
          <w:p w14:paraId="56A6BA3D" w14:textId="06D4B117" w:rsidR="00963907" w:rsidRPr="00963907" w:rsidRDefault="00963907" w:rsidP="00590B29">
            <w:pPr>
              <w:jc w:val="both"/>
              <w:rPr>
                <w:rFonts w:ascii="Arial" w:hAnsi="Arial" w:cs="Arial"/>
                <w:color w:val="000000" w:themeColor="text1"/>
                <w:sz w:val="20"/>
                <w:szCs w:val="20"/>
              </w:rPr>
            </w:pPr>
            <w:r w:rsidRPr="00963907">
              <w:rPr>
                <w:rFonts w:ascii="Arial" w:hAnsi="Arial" w:cs="Arial"/>
                <w:b/>
                <w:bCs/>
                <w:color w:val="000000" w:themeColor="text1"/>
                <w:sz w:val="20"/>
                <w:szCs w:val="20"/>
              </w:rPr>
              <w:t>Increasing uptake of health checks</w:t>
            </w:r>
            <w:r w:rsidRPr="00963907">
              <w:rPr>
                <w:rFonts w:ascii="Arial" w:hAnsi="Arial" w:cs="Arial"/>
                <w:color w:val="000000" w:themeColor="text1"/>
                <w:sz w:val="20"/>
                <w:szCs w:val="20"/>
              </w:rPr>
              <w:t xml:space="preserve">/ 2021/Department of Health (unpublished report) </w:t>
            </w:r>
          </w:p>
        </w:tc>
        <w:tc>
          <w:tcPr>
            <w:tcW w:w="2079" w:type="pct"/>
            <w:shd w:val="clear" w:color="auto" w:fill="auto"/>
          </w:tcPr>
          <w:p w14:paraId="5C9CBA4F" w14:textId="767590F8" w:rsidR="00963907" w:rsidRPr="00963907" w:rsidRDefault="00963907" w:rsidP="002F2C48">
            <w:pPr>
              <w:pStyle w:val="ListParagraph"/>
              <w:numPr>
                <w:ilvl w:val="0"/>
                <w:numId w:val="11"/>
              </w:numPr>
              <w:jc w:val="both"/>
              <w:rPr>
                <w:rFonts w:ascii="Arial" w:hAnsi="Arial" w:cs="Arial"/>
                <w:b/>
                <w:bCs/>
                <w:color w:val="000000" w:themeColor="text1"/>
                <w:sz w:val="20"/>
                <w:szCs w:val="20"/>
              </w:rPr>
            </w:pPr>
            <w:r w:rsidRPr="00963907">
              <w:rPr>
                <w:rFonts w:ascii="Arial" w:hAnsi="Arial" w:cs="Arial"/>
                <w:b/>
                <w:bCs/>
                <w:color w:val="000000" w:themeColor="text1"/>
                <w:sz w:val="20"/>
                <w:szCs w:val="20"/>
              </w:rPr>
              <w:t>Coordinated follow-up care:</w:t>
            </w:r>
          </w:p>
          <w:p w14:paraId="7DE031E0" w14:textId="5162CE33"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rPr>
              <w:t xml:space="preserve">coordination of multiple health professionals, </w:t>
            </w:r>
            <w:r w:rsidRPr="00963907">
              <w:rPr>
                <w:rFonts w:ascii="Arial" w:hAnsi="Arial" w:cs="Arial"/>
                <w:color w:val="000000" w:themeColor="text1"/>
                <w:sz w:val="20"/>
                <w:szCs w:val="20"/>
                <w:shd w:val="clear" w:color="auto" w:fill="FFFFFF"/>
              </w:rPr>
              <w:t>Clients attendance is often difficult to track by the original GP, MBS follow-up items do not recognise corresponding GP appointments, existing follow-up items do not accurately reflect some medical specialist referrals/appointments (insufficient clinical notes on referrals), or allied health appointments, as they do not have MBS items to claim including dental, exercise, and nutrition programs.</w:t>
            </w:r>
          </w:p>
          <w:p w14:paraId="6757300A" w14:textId="441DD348"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b/>
                <w:bCs/>
                <w:color w:val="000000" w:themeColor="text1"/>
                <w:sz w:val="20"/>
                <w:szCs w:val="20"/>
              </w:rPr>
              <w:t>Follow-up communication:</w:t>
            </w:r>
            <w:r w:rsidRPr="00963907">
              <w:rPr>
                <w:rFonts w:ascii="Arial" w:hAnsi="Arial" w:cs="Arial"/>
                <w:color w:val="000000" w:themeColor="text1"/>
                <w:sz w:val="20"/>
                <w:szCs w:val="20"/>
              </w:rPr>
              <w:t xml:space="preserve"> Poor follow-up ( not completed to a quality standard), and the reminder send was not effective.</w:t>
            </w:r>
          </w:p>
          <w:p w14:paraId="1E585CA4" w14:textId="2ABC6F41"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b/>
                <w:bCs/>
                <w:color w:val="000000" w:themeColor="text1"/>
                <w:sz w:val="20"/>
                <w:szCs w:val="20"/>
                <w:shd w:val="clear" w:color="auto" w:fill="FFFFFF"/>
              </w:rPr>
              <w:t>Funding and operational barriers to follow-up:</w:t>
            </w:r>
            <w:r w:rsidRPr="00963907">
              <w:rPr>
                <w:rFonts w:ascii="Arial" w:hAnsi="Arial" w:cs="Arial"/>
                <w:color w:val="000000" w:themeColor="text1"/>
                <w:sz w:val="20"/>
                <w:szCs w:val="20"/>
                <w:shd w:val="clear" w:color="auto" w:fill="FFFFFF"/>
              </w:rPr>
              <w:t xml:space="preserve"> reimbursement and quantity of follow-up services were also identified as a barrier to the quality of continued care, more time for holistic health check discussions results in higher out-of-pocket costs for the patient, low MBS schedule fee for follow-up services, lack of standardised and digitised paperwork required for GPs to refer patients to allied health is time consuming and can limit opportunities to build trust and rapport with the patient, follow-ups from allied health</w:t>
            </w:r>
          </w:p>
          <w:p w14:paraId="3283B5B7" w14:textId="77777777"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b/>
                <w:bCs/>
                <w:color w:val="000000" w:themeColor="text1"/>
                <w:sz w:val="20"/>
                <w:szCs w:val="20"/>
                <w:shd w:val="clear" w:color="auto" w:fill="FFFFFF"/>
              </w:rPr>
              <w:t xml:space="preserve">Limited engagement of communities </w:t>
            </w:r>
          </w:p>
          <w:p w14:paraId="524B3896" w14:textId="4DD85047"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rPr>
              <w:t>Past traumatic experiences and discrimination and stereotyping due to ethnicity (Mainstream services)</w:t>
            </w:r>
          </w:p>
          <w:p w14:paraId="6FD0877C" w14:textId="3B972867" w:rsidR="00963907" w:rsidRPr="00963907" w:rsidRDefault="00963907" w:rsidP="002F2C48">
            <w:pPr>
              <w:pStyle w:val="ListParagraph"/>
              <w:numPr>
                <w:ilvl w:val="0"/>
                <w:numId w:val="11"/>
              </w:numPr>
              <w:spacing w:after="160" w:line="259" w:lineRule="auto"/>
              <w:jc w:val="both"/>
              <w:rPr>
                <w:rFonts w:ascii="Arial" w:hAnsi="Arial" w:cs="Arial"/>
                <w:color w:val="000000" w:themeColor="text1"/>
                <w:sz w:val="20"/>
                <w:szCs w:val="20"/>
              </w:rPr>
            </w:pPr>
            <w:r w:rsidRPr="00963907">
              <w:rPr>
                <w:rFonts w:ascii="Arial" w:hAnsi="Arial" w:cs="Arial"/>
                <w:color w:val="000000" w:themeColor="text1"/>
                <w:sz w:val="20"/>
                <w:szCs w:val="20"/>
              </w:rPr>
              <w:t>Lack of People-</w:t>
            </w:r>
            <w:proofErr w:type="spellStart"/>
            <w:r w:rsidRPr="00963907">
              <w:rPr>
                <w:rFonts w:ascii="Arial" w:hAnsi="Arial" w:cs="Arial"/>
                <w:color w:val="000000" w:themeColor="text1"/>
                <w:sz w:val="20"/>
                <w:szCs w:val="20"/>
              </w:rPr>
              <w:t>centered</w:t>
            </w:r>
            <w:proofErr w:type="spellEnd"/>
            <w:r w:rsidRPr="00963907">
              <w:rPr>
                <w:rFonts w:ascii="Arial" w:hAnsi="Arial" w:cs="Arial"/>
                <w:color w:val="000000" w:themeColor="text1"/>
                <w:sz w:val="20"/>
                <w:szCs w:val="20"/>
              </w:rPr>
              <w:t xml:space="preserve"> approach: </w:t>
            </w:r>
            <w:r w:rsidRPr="00963907">
              <w:rPr>
                <w:rFonts w:ascii="Arial" w:hAnsi="Arial" w:cs="Arial"/>
                <w:color w:val="000000" w:themeColor="text1"/>
                <w:sz w:val="20"/>
                <w:szCs w:val="20"/>
                <w:shd w:val="clear" w:color="auto" w:fill="FFFFFF"/>
              </w:rPr>
              <w:t>multiple appointments to build trust, patients were unaware that GPs were claiming 715 health checks and fear that their health checks will reveal a condition that may feel them embarrassment or shame.</w:t>
            </w:r>
          </w:p>
          <w:p w14:paraId="5737522A" w14:textId="396FF6A4" w:rsidR="00963907" w:rsidRPr="00963907" w:rsidRDefault="00963907" w:rsidP="002F2C48">
            <w:pPr>
              <w:pStyle w:val="ListParagraph"/>
              <w:numPr>
                <w:ilvl w:val="0"/>
                <w:numId w:val="11"/>
              </w:numPr>
              <w:spacing w:after="160" w:line="259" w:lineRule="auto"/>
              <w:jc w:val="both"/>
              <w:rPr>
                <w:rFonts w:ascii="Arial" w:hAnsi="Arial" w:cs="Arial"/>
                <w:color w:val="000000" w:themeColor="text1"/>
                <w:sz w:val="20"/>
                <w:szCs w:val="20"/>
              </w:rPr>
            </w:pPr>
            <w:r w:rsidRPr="00963907">
              <w:rPr>
                <w:rFonts w:ascii="Arial" w:hAnsi="Arial" w:cs="Arial"/>
                <w:color w:val="000000" w:themeColor="text1"/>
                <w:sz w:val="20"/>
                <w:szCs w:val="20"/>
              </w:rPr>
              <w:t xml:space="preserve">Lack of trust in confidentiality (particularly in smaller communities </w:t>
            </w:r>
            <w:r w:rsidRPr="00963907">
              <w:rPr>
                <w:rFonts w:ascii="Arial" w:hAnsi="Arial" w:cs="Arial"/>
                <w:color w:val="000000" w:themeColor="text1"/>
                <w:sz w:val="20"/>
                <w:szCs w:val="20"/>
                <w:shd w:val="clear" w:color="auto" w:fill="FFFFFF"/>
              </w:rPr>
              <w:t>where some people they know have been employed by the local AMs, might have a fear that their confidential information will be compromised)</w:t>
            </w:r>
          </w:p>
          <w:p w14:paraId="733F3BBF" w14:textId="17E88260" w:rsidR="00963907" w:rsidRPr="00963907" w:rsidRDefault="00963907" w:rsidP="002F2C48">
            <w:pPr>
              <w:pStyle w:val="ListParagraph"/>
              <w:numPr>
                <w:ilvl w:val="0"/>
                <w:numId w:val="11"/>
              </w:numPr>
              <w:spacing w:after="160" w:line="259" w:lineRule="auto"/>
              <w:jc w:val="both"/>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lastRenderedPageBreak/>
              <w:t xml:space="preserve"> Health literacy: lack of awareness of the importance of a preventive health check and the diverse issues (social prescription) that GP can assist with (patients need to be empowered and encouraged that they should visit PHC for health checks and no need to be unwell to attend the clinic)</w:t>
            </w:r>
          </w:p>
          <w:p w14:paraId="50F54D2C" w14:textId="69A03E2C" w:rsidR="00963907" w:rsidRPr="00963907" w:rsidRDefault="00963907" w:rsidP="002F2C48">
            <w:pPr>
              <w:pStyle w:val="ListParagraph"/>
              <w:numPr>
                <w:ilvl w:val="0"/>
                <w:numId w:val="11"/>
              </w:numPr>
              <w:spacing w:after="160" w:line="259" w:lineRule="auto"/>
              <w:jc w:val="both"/>
              <w:rPr>
                <w:rFonts w:ascii="Arial" w:hAnsi="Arial" w:cs="Arial"/>
                <w:color w:val="000000" w:themeColor="text1"/>
                <w:sz w:val="20"/>
                <w:szCs w:val="20"/>
              </w:rPr>
            </w:pPr>
            <w:r w:rsidRPr="00963907">
              <w:rPr>
                <w:rFonts w:ascii="Arial" w:hAnsi="Arial" w:cs="Arial"/>
                <w:b/>
                <w:bCs/>
                <w:color w:val="000000" w:themeColor="text1"/>
                <w:sz w:val="20"/>
                <w:szCs w:val="20"/>
              </w:rPr>
              <w:t>Workforce:</w:t>
            </w:r>
            <w:r w:rsidRPr="00963907">
              <w:rPr>
                <w:rFonts w:ascii="Arial" w:hAnsi="Arial" w:cs="Arial"/>
                <w:color w:val="000000" w:themeColor="text1"/>
                <w:sz w:val="20"/>
                <w:szCs w:val="20"/>
              </w:rPr>
              <w:t xml:space="preserve"> </w:t>
            </w:r>
            <w:r w:rsidRPr="00963907">
              <w:rPr>
                <w:rFonts w:ascii="Arial" w:hAnsi="Arial" w:cs="Arial"/>
                <w:color w:val="000000" w:themeColor="text1"/>
                <w:sz w:val="20"/>
                <w:szCs w:val="20"/>
                <w:shd w:val="clear" w:color="auto" w:fill="FFFFFF"/>
              </w:rPr>
              <w:t>poor resourcing, health workforce shortage to support clinical infrastructure required for health checks uptake, support to fund navigators to connect and motivate patients to PHC and other services. Underrepresentation of Aboriginal and Torres Strait Islander communities in the health workforce, lack of cultural competency of staff ( need for quality training over quantity for non-Indigenous workforce)to deliver care including routine identification (fear of offending patients by asking if they identify as Aboriginal or Torres Strait Islander) of Aboriginal and Torres Strait Islander people.</w:t>
            </w:r>
          </w:p>
          <w:p w14:paraId="1D2AF117" w14:textId="77777777" w:rsidR="00963907" w:rsidRPr="00963907" w:rsidRDefault="00963907" w:rsidP="002F2C48">
            <w:pPr>
              <w:pStyle w:val="ListParagraph"/>
              <w:numPr>
                <w:ilvl w:val="0"/>
                <w:numId w:val="11"/>
              </w:numPr>
              <w:spacing w:after="160" w:line="259" w:lineRule="auto"/>
              <w:jc w:val="both"/>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Prioritisation of acute health problems over preventive health services</w:t>
            </w:r>
          </w:p>
          <w:p w14:paraId="1911AA53" w14:textId="235A5D1A" w:rsidR="00963907" w:rsidRPr="00963907" w:rsidRDefault="00963907" w:rsidP="00963907">
            <w:pPr>
              <w:pStyle w:val="ListParagraph"/>
              <w:numPr>
                <w:ilvl w:val="0"/>
                <w:numId w:val="11"/>
              </w:numPr>
              <w:spacing w:after="160" w:line="259" w:lineRule="auto"/>
              <w:jc w:val="both"/>
              <w:rPr>
                <w:rFonts w:ascii="Arial" w:hAnsi="Arial" w:cs="Arial"/>
                <w:color w:val="000000" w:themeColor="text1"/>
                <w:sz w:val="20"/>
                <w:szCs w:val="20"/>
              </w:rPr>
            </w:pPr>
            <w:r w:rsidRPr="00963907">
              <w:rPr>
                <w:rFonts w:ascii="Arial" w:hAnsi="Arial" w:cs="Arial"/>
                <w:color w:val="000000" w:themeColor="text1"/>
                <w:sz w:val="20"/>
                <w:szCs w:val="20"/>
              </w:rPr>
              <w:t xml:space="preserve">Health workers feel that health checks are driven by </w:t>
            </w:r>
            <w:r w:rsidRPr="00963907">
              <w:rPr>
                <w:rFonts w:ascii="Arial" w:hAnsi="Arial" w:cs="Arial"/>
                <w:color w:val="000000" w:themeColor="text1"/>
                <w:sz w:val="20"/>
                <w:szCs w:val="20"/>
                <w:shd w:val="clear" w:color="auto" w:fill="FFFFFF"/>
              </w:rPr>
              <w:t>bureaucratic desires and these attitudes may be responsible to reduce the delivery of health checks. (WHY-Check?)</w:t>
            </w:r>
          </w:p>
          <w:p w14:paraId="718ED45C" w14:textId="201C23CA" w:rsidR="00963907" w:rsidRPr="00963907" w:rsidRDefault="00963907" w:rsidP="002F2C48">
            <w:pPr>
              <w:pStyle w:val="ListParagraph"/>
              <w:numPr>
                <w:ilvl w:val="0"/>
                <w:numId w:val="11"/>
              </w:numPr>
              <w:jc w:val="both"/>
              <w:rPr>
                <w:rFonts w:ascii="Arial" w:hAnsi="Arial" w:cs="Arial"/>
                <w:color w:val="000000" w:themeColor="text1"/>
                <w:sz w:val="20"/>
                <w:szCs w:val="20"/>
                <w:shd w:val="clear" w:color="auto" w:fill="FFFFFF"/>
              </w:rPr>
            </w:pPr>
            <w:r w:rsidRPr="00963907">
              <w:rPr>
                <w:rFonts w:ascii="Arial" w:hAnsi="Arial" w:cs="Arial"/>
                <w:b/>
                <w:bCs/>
                <w:color w:val="000000" w:themeColor="text1"/>
                <w:sz w:val="20"/>
                <w:szCs w:val="20"/>
              </w:rPr>
              <w:t xml:space="preserve">Differences by services: </w:t>
            </w:r>
            <w:r w:rsidRPr="00963907">
              <w:rPr>
                <w:rFonts w:ascii="Arial" w:hAnsi="Arial" w:cs="Arial"/>
                <w:color w:val="000000" w:themeColor="text1"/>
                <w:sz w:val="20"/>
                <w:szCs w:val="20"/>
                <w:shd w:val="clear" w:color="auto" w:fill="FFFFFF"/>
              </w:rPr>
              <w:t>Differences in the delivery of health checks by AMS, ACCHS, and mainstream GP practices ( Need  clarification of  contextual information)</w:t>
            </w:r>
          </w:p>
          <w:p w14:paraId="67435B55" w14:textId="2D7F1B08" w:rsidR="00963907" w:rsidRPr="00963907" w:rsidRDefault="00963907" w:rsidP="002F2C48">
            <w:pPr>
              <w:pStyle w:val="ListParagraph"/>
              <w:numPr>
                <w:ilvl w:val="0"/>
                <w:numId w:val="11"/>
              </w:numPr>
              <w:jc w:val="both"/>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the time required of the patient for a health check</w:t>
            </w:r>
          </w:p>
          <w:p w14:paraId="4B0E86AF" w14:textId="005478AC"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 xml:space="preserve">the length of time dedicated towards a patient by nurses or GPs (More in ACCHOS over AMS or Mainstream services?----715 not a time based item- good thing for ACCHOS- Scammed by </w:t>
            </w:r>
            <w:proofErr w:type="spellStart"/>
            <w:r w:rsidRPr="00963907">
              <w:rPr>
                <w:rFonts w:ascii="Arial" w:hAnsi="Arial" w:cs="Arial"/>
                <w:color w:val="000000" w:themeColor="text1"/>
                <w:sz w:val="20"/>
                <w:szCs w:val="20"/>
                <w:shd w:val="clear" w:color="auto" w:fill="FFFFFF"/>
              </w:rPr>
              <w:t>Mainsteram</w:t>
            </w:r>
            <w:proofErr w:type="spellEnd"/>
            <w:r w:rsidRPr="00963907">
              <w:rPr>
                <w:rFonts w:ascii="Arial" w:hAnsi="Arial" w:cs="Arial"/>
                <w:color w:val="000000" w:themeColor="text1"/>
                <w:sz w:val="20"/>
                <w:szCs w:val="20"/>
                <w:shd w:val="clear" w:color="auto" w:fill="FFFFFF"/>
              </w:rPr>
              <w:t xml:space="preserve"> )</w:t>
            </w:r>
          </w:p>
          <w:p w14:paraId="556B0397" w14:textId="26180971"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 xml:space="preserve">the time required of the patient for a health check may dissuade them from undertaking the appointment because of work and responsibility priorities. </w:t>
            </w:r>
          </w:p>
          <w:p w14:paraId="2F9B8EB6" w14:textId="32D4F623"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lastRenderedPageBreak/>
              <w:t>questions asked as part of the check often varied between practices where some clinics often added/amended questions from the standardized template (what impact it would cause?)</w:t>
            </w:r>
          </w:p>
          <w:p w14:paraId="18048DD5" w14:textId="4753F548"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some clinics valued booking health checks in advance through appointment slots and other clinics combine the check with another episode of care opportunistically.</w:t>
            </w:r>
          </w:p>
          <w:p w14:paraId="602C32E1" w14:textId="77E6B06A"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mainstream services are unable to offer the health check unless it is pre-booked and confirmed.</w:t>
            </w:r>
          </w:p>
          <w:p w14:paraId="7DD1DAED" w14:textId="76B895B0" w:rsidR="00963907" w:rsidRPr="00963907" w:rsidRDefault="00963907" w:rsidP="002F2C48">
            <w:pPr>
              <w:pStyle w:val="ListParagraph"/>
              <w:numPr>
                <w:ilvl w:val="0"/>
                <w:numId w:val="11"/>
              </w:numPr>
              <w:jc w:val="both"/>
              <w:rPr>
                <w:rFonts w:ascii="Arial" w:hAnsi="Arial" w:cs="Arial"/>
                <w:color w:val="000000" w:themeColor="text1"/>
                <w:sz w:val="20"/>
                <w:szCs w:val="20"/>
              </w:rPr>
            </w:pPr>
            <w:r w:rsidRPr="00963907">
              <w:rPr>
                <w:rFonts w:ascii="Arial" w:hAnsi="Arial" w:cs="Arial"/>
                <w:color w:val="000000" w:themeColor="text1"/>
                <w:sz w:val="20"/>
                <w:szCs w:val="20"/>
              </w:rPr>
              <w:t>Clinical information system: - lack of access to good quality information technology systems and clinical software for collecting and recording accurate information on client groups, service providers, and the outcomes of a health check.</w:t>
            </w:r>
          </w:p>
          <w:p w14:paraId="1EDDC04F" w14:textId="2DEA9B88" w:rsidR="00963907" w:rsidRPr="00963907" w:rsidRDefault="00963907" w:rsidP="00590B29">
            <w:pPr>
              <w:jc w:val="both"/>
              <w:rPr>
                <w:rFonts w:ascii="Arial" w:hAnsi="Arial" w:cs="Arial"/>
                <w:color w:val="000000" w:themeColor="text1"/>
                <w:sz w:val="20"/>
                <w:szCs w:val="20"/>
              </w:rPr>
            </w:pPr>
          </w:p>
        </w:tc>
        <w:tc>
          <w:tcPr>
            <w:tcW w:w="2054" w:type="pct"/>
          </w:tcPr>
          <w:p w14:paraId="3398D7E1" w14:textId="31E22D84"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lastRenderedPageBreak/>
              <w:t>Some local AMs send an annual SMS to remind patients to book their next health check appointment.</w:t>
            </w:r>
          </w:p>
          <w:p w14:paraId="53146AAD"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Community-led engagement initiatives driven by and for Aboriginal and Torres Strait Islander people are crucial to increasing awareness and uptake of the health check</w:t>
            </w:r>
          </w:p>
          <w:p w14:paraId="408A23D1"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incentives such as t-shirts, gift vouchers, and phone credit are critical in driving successful health check uptakes, follow up and positive health service.</w:t>
            </w:r>
          </w:p>
          <w:p w14:paraId="666BEDEF"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sponsoring local sports clubs to encourage members to receive a health check</w:t>
            </w:r>
          </w:p>
          <w:p w14:paraId="70547FEC"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offering transport services to their clinic for patients requiring a health check.</w:t>
            </w:r>
          </w:p>
          <w:p w14:paraId="67DD39A9"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service runs mini-NAIDOC events offering health check clinics for the community</w:t>
            </w:r>
          </w:p>
          <w:p w14:paraId="6770F92D"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local Elders sharing health messaging on their social media platforms</w:t>
            </w:r>
          </w:p>
          <w:p w14:paraId="712A5376"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allowing patients to bring a family member or a friend to their appointment ( may assist comprehensive assessment and could assist the referral process and also aware of future appointments)</w:t>
            </w:r>
          </w:p>
          <w:p w14:paraId="3C2754AA" w14:textId="321E4D58"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 xml:space="preserve">Clinical </w:t>
            </w:r>
            <w:proofErr w:type="spellStart"/>
            <w:r w:rsidRPr="00963907">
              <w:rPr>
                <w:rFonts w:ascii="Arial" w:hAnsi="Arial" w:cs="Arial"/>
                <w:color w:val="000000" w:themeColor="text1"/>
                <w:sz w:val="20"/>
                <w:szCs w:val="20"/>
              </w:rPr>
              <w:t>softwares</w:t>
            </w:r>
            <w:proofErr w:type="spellEnd"/>
            <w:r w:rsidRPr="00963907">
              <w:rPr>
                <w:rFonts w:ascii="Arial" w:hAnsi="Arial" w:cs="Arial"/>
                <w:color w:val="000000" w:themeColor="text1"/>
                <w:sz w:val="20"/>
                <w:szCs w:val="20"/>
              </w:rPr>
              <w:t xml:space="preserve"> to include the latest health check recommendations and updated health check templates+ In-house IT officer to improve staff efficiency, thereby improve update of health checks and patient experiences.</w:t>
            </w:r>
          </w:p>
        </w:tc>
      </w:tr>
      <w:tr w:rsidR="00963907" w:rsidRPr="00963907" w14:paraId="2CA7EC44" w14:textId="087D657A" w:rsidTr="00963907">
        <w:tc>
          <w:tcPr>
            <w:tcW w:w="866" w:type="pct"/>
          </w:tcPr>
          <w:p w14:paraId="1985EBE7" w14:textId="742B78C2" w:rsidR="00963907" w:rsidRPr="00963907" w:rsidRDefault="00963907">
            <w:pPr>
              <w:rPr>
                <w:rFonts w:ascii="Arial" w:hAnsi="Arial" w:cs="Arial"/>
                <w:color w:val="000000" w:themeColor="text1"/>
                <w:sz w:val="20"/>
                <w:szCs w:val="20"/>
              </w:rPr>
            </w:pPr>
            <w:r w:rsidRPr="00963907">
              <w:rPr>
                <w:rFonts w:ascii="Arial" w:hAnsi="Arial" w:cs="Arial"/>
                <w:b/>
                <w:bCs/>
                <w:color w:val="000000" w:themeColor="text1"/>
                <w:sz w:val="20"/>
                <w:szCs w:val="20"/>
              </w:rPr>
              <w:lastRenderedPageBreak/>
              <w:t>Evidence on how Aboriginal and Torres Strait Islander health Assessments can be enhanced to support best practice CVD risk assessment and management</w:t>
            </w:r>
            <w:r w:rsidRPr="00963907">
              <w:rPr>
                <w:rFonts w:ascii="Arial" w:hAnsi="Arial" w:cs="Arial"/>
                <w:color w:val="000000" w:themeColor="text1"/>
                <w:sz w:val="20"/>
                <w:szCs w:val="20"/>
              </w:rPr>
              <w:t>/Agostino et al /2018/ANU</w:t>
            </w:r>
          </w:p>
        </w:tc>
        <w:tc>
          <w:tcPr>
            <w:tcW w:w="2079" w:type="pct"/>
          </w:tcPr>
          <w:p w14:paraId="6DCF1CFF"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Health assessments are inadequately followed- up</w:t>
            </w:r>
          </w:p>
          <w:p w14:paraId="494B02F3" w14:textId="126E6580"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Self-rated health users are less likely to receive a health assessment. </w:t>
            </w:r>
          </w:p>
          <w:p w14:paraId="6314EEA4" w14:textId="3AC62C82"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Lengthy components and unclear instructions to clinicians working outside of Aboriginal and Torres Strait Islander-specific services.</w:t>
            </w:r>
          </w:p>
          <w:p w14:paraId="201E6562" w14:textId="379A049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Concerns with the intrusiveness of some questions in health checks that may impact the therapeutic relationship.  </w:t>
            </w:r>
          </w:p>
          <w:p w14:paraId="14649D00" w14:textId="5C96530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Lack of culturally appropriate training for all relevant health service providers including medical receptionists</w:t>
            </w:r>
          </w:p>
          <w:p w14:paraId="24F772FF" w14:textId="77777777" w:rsidR="00963907" w:rsidRPr="00963907" w:rsidRDefault="00963907">
            <w:pPr>
              <w:rPr>
                <w:rFonts w:ascii="Arial" w:hAnsi="Arial" w:cs="Arial"/>
                <w:color w:val="000000" w:themeColor="text1"/>
                <w:sz w:val="20"/>
                <w:szCs w:val="20"/>
                <w:shd w:val="clear" w:color="auto" w:fill="FFFFFF"/>
              </w:rPr>
            </w:pPr>
          </w:p>
          <w:p w14:paraId="3F55C019" w14:textId="0C92B3BF" w:rsidR="00963907" w:rsidRPr="00963907" w:rsidRDefault="00963907">
            <w:pPr>
              <w:rPr>
                <w:rFonts w:ascii="Arial" w:hAnsi="Arial" w:cs="Arial"/>
                <w:color w:val="000000" w:themeColor="text1"/>
                <w:sz w:val="20"/>
                <w:szCs w:val="20"/>
              </w:rPr>
            </w:pPr>
          </w:p>
        </w:tc>
        <w:tc>
          <w:tcPr>
            <w:tcW w:w="2054" w:type="pct"/>
          </w:tcPr>
          <w:p w14:paraId="00C3EF76" w14:textId="55B269EE"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Comprehensive health check templates can improve patient engagement, shared decision-making, and patient-</w:t>
            </w:r>
            <w:proofErr w:type="spellStart"/>
            <w:r w:rsidRPr="00963907">
              <w:rPr>
                <w:rFonts w:ascii="Arial" w:hAnsi="Arial" w:cs="Arial"/>
                <w:color w:val="000000" w:themeColor="text1"/>
                <w:sz w:val="20"/>
                <w:szCs w:val="20"/>
              </w:rPr>
              <w:t>centered</w:t>
            </w:r>
            <w:proofErr w:type="spellEnd"/>
            <w:r w:rsidRPr="00963907">
              <w:rPr>
                <w:rFonts w:ascii="Arial" w:hAnsi="Arial" w:cs="Arial"/>
                <w:color w:val="000000" w:themeColor="text1"/>
                <w:sz w:val="20"/>
                <w:szCs w:val="20"/>
              </w:rPr>
              <w:t xml:space="preserve"> management.</w:t>
            </w:r>
          </w:p>
          <w:p w14:paraId="701D1A85" w14:textId="3896B4EA"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Health assessments supported by recall systems, training on best practice guidelines, and treatment protocols.</w:t>
            </w:r>
          </w:p>
          <w:p w14:paraId="5575FD20" w14:textId="2C6F0001"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Contextual improvements in primary care systems to improve uptake of health assessments through appropriate call and recall.</w:t>
            </w:r>
          </w:p>
          <w:p w14:paraId="4558CEBE" w14:textId="6988C56F"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Simplified associated notes.</w:t>
            </w:r>
          </w:p>
          <w:p w14:paraId="14F17CE0" w14:textId="32B7A04D"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Provide clearer direction through health assessment templates along with providing education and training on how to perform a health assessment, particularly for clinicians who see Aboriginal and Torres Strait Islander people infrequently.</w:t>
            </w:r>
          </w:p>
          <w:p w14:paraId="57B74391" w14:textId="6054997E" w:rsidR="00963907" w:rsidRPr="00963907" w:rsidRDefault="00963907" w:rsidP="00963907">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Increasing awareness and demand among patients for appropriate follow-up after a health assessment.</w:t>
            </w:r>
          </w:p>
        </w:tc>
      </w:tr>
      <w:tr w:rsidR="00963907" w:rsidRPr="00963907" w14:paraId="71824B03" w14:textId="44472DC2" w:rsidTr="00963907">
        <w:tc>
          <w:tcPr>
            <w:tcW w:w="866" w:type="pct"/>
          </w:tcPr>
          <w:p w14:paraId="57A8FDC0" w14:textId="77777777" w:rsidR="00963907" w:rsidRPr="00963907" w:rsidRDefault="00963907">
            <w:pPr>
              <w:rPr>
                <w:rFonts w:ascii="Arial" w:hAnsi="Arial" w:cs="Arial"/>
                <w:color w:val="000000" w:themeColor="text1"/>
                <w:sz w:val="20"/>
                <w:szCs w:val="20"/>
              </w:rPr>
            </w:pPr>
            <w:r w:rsidRPr="00963907">
              <w:rPr>
                <w:rFonts w:ascii="Arial" w:hAnsi="Arial" w:cs="Arial"/>
                <w:b/>
                <w:bCs/>
                <w:color w:val="000000" w:themeColor="text1"/>
                <w:sz w:val="20"/>
                <w:szCs w:val="20"/>
              </w:rPr>
              <w:t>Deadly Choices Health Promotion Initiative</w:t>
            </w:r>
            <w:r w:rsidRPr="00963907">
              <w:rPr>
                <w:rFonts w:ascii="Arial" w:hAnsi="Arial" w:cs="Arial"/>
                <w:color w:val="000000" w:themeColor="text1"/>
                <w:sz w:val="20"/>
                <w:szCs w:val="20"/>
              </w:rPr>
              <w:t>/ Claire /2013/</w:t>
            </w:r>
            <w:proofErr w:type="spellStart"/>
            <w:r w:rsidRPr="00963907">
              <w:rPr>
                <w:rFonts w:ascii="Arial" w:hAnsi="Arial" w:cs="Arial"/>
                <w:color w:val="000000" w:themeColor="text1"/>
                <w:sz w:val="20"/>
                <w:szCs w:val="20"/>
              </w:rPr>
              <w:t>Lowitja</w:t>
            </w:r>
            <w:proofErr w:type="spellEnd"/>
            <w:r w:rsidRPr="00963907">
              <w:rPr>
                <w:rFonts w:ascii="Arial" w:hAnsi="Arial" w:cs="Arial"/>
                <w:color w:val="000000" w:themeColor="text1"/>
                <w:sz w:val="20"/>
                <w:szCs w:val="20"/>
              </w:rPr>
              <w:t xml:space="preserve"> </w:t>
            </w:r>
          </w:p>
          <w:p w14:paraId="411FB755" w14:textId="40BE5861" w:rsidR="00963907" w:rsidRPr="00963907" w:rsidRDefault="00963907">
            <w:pPr>
              <w:rPr>
                <w:rFonts w:ascii="Arial" w:hAnsi="Arial" w:cs="Arial"/>
                <w:color w:val="000000" w:themeColor="text1"/>
                <w:sz w:val="20"/>
                <w:szCs w:val="20"/>
              </w:rPr>
            </w:pPr>
            <w:r w:rsidRPr="00963907">
              <w:rPr>
                <w:rFonts w:ascii="Arial" w:hAnsi="Arial" w:cs="Arial"/>
                <w:color w:val="000000" w:themeColor="text1"/>
                <w:sz w:val="20"/>
                <w:szCs w:val="20"/>
              </w:rPr>
              <w:t>(https://shorturl.at/ajnEZ)</w:t>
            </w:r>
          </w:p>
        </w:tc>
        <w:tc>
          <w:tcPr>
            <w:tcW w:w="2079" w:type="pct"/>
          </w:tcPr>
          <w:p w14:paraId="543B1734" w14:textId="5E950528"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t>Racism and discrimination, cultural and financial factors</w:t>
            </w:r>
          </w:p>
        </w:tc>
        <w:tc>
          <w:tcPr>
            <w:tcW w:w="2054" w:type="pct"/>
          </w:tcPr>
          <w:p w14:paraId="69269440" w14:textId="49B95905"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Community-led events empowered participants (interact, connect and strengthen networks.) to be role models in health </w:t>
            </w:r>
          </w:p>
          <w:p w14:paraId="06667803"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Increased participation of community members in health-promoting activities </w:t>
            </w:r>
          </w:p>
          <w:p w14:paraId="500B09FD"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Deadly Choice health education activities </w:t>
            </w:r>
          </w:p>
          <w:p w14:paraId="79F61B4D" w14:textId="189966D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shd w:val="clear" w:color="auto" w:fill="FFFFFF"/>
              </w:rPr>
              <w:lastRenderedPageBreak/>
              <w:t>Community events - an effective strategy to increase community engagement with local health services that led to increased uptake of health checks.</w:t>
            </w:r>
          </w:p>
        </w:tc>
      </w:tr>
      <w:tr w:rsidR="00963907" w:rsidRPr="00963907" w14:paraId="6484CB9B" w14:textId="77777777" w:rsidTr="00963907">
        <w:tc>
          <w:tcPr>
            <w:tcW w:w="866" w:type="pct"/>
          </w:tcPr>
          <w:p w14:paraId="0163B8EF" w14:textId="77777777" w:rsidR="00963907" w:rsidRPr="00963907" w:rsidRDefault="00963907" w:rsidP="00161185">
            <w:pPr>
              <w:rPr>
                <w:rFonts w:ascii="Arial" w:hAnsi="Arial" w:cs="Arial"/>
                <w:b/>
                <w:bCs/>
                <w:color w:val="000000" w:themeColor="text1"/>
                <w:sz w:val="20"/>
                <w:szCs w:val="20"/>
              </w:rPr>
            </w:pPr>
            <w:r w:rsidRPr="00963907">
              <w:rPr>
                <w:rFonts w:ascii="Arial" w:hAnsi="Arial" w:cs="Arial"/>
                <w:b/>
                <w:bCs/>
                <w:color w:val="000000" w:themeColor="text1"/>
                <w:sz w:val="20"/>
                <w:szCs w:val="20"/>
              </w:rPr>
              <w:lastRenderedPageBreak/>
              <w:t>2021 NACCHO-RACGP Partnership Project</w:t>
            </w:r>
          </w:p>
          <w:p w14:paraId="2B7A4F8A" w14:textId="69BA5747" w:rsidR="00963907" w:rsidRPr="00963907" w:rsidRDefault="00963907" w:rsidP="00161185">
            <w:pPr>
              <w:rPr>
                <w:rFonts w:ascii="Arial" w:hAnsi="Arial" w:cs="Arial"/>
                <w:b/>
                <w:bCs/>
                <w:color w:val="000000" w:themeColor="text1"/>
                <w:sz w:val="20"/>
                <w:szCs w:val="20"/>
              </w:rPr>
            </w:pPr>
            <w:r w:rsidRPr="00963907">
              <w:rPr>
                <w:rFonts w:ascii="Arial" w:hAnsi="Arial" w:cs="Arial"/>
                <w:b/>
                <w:bCs/>
                <w:color w:val="000000" w:themeColor="text1"/>
                <w:sz w:val="20"/>
                <w:szCs w:val="20"/>
              </w:rPr>
              <w:t>Aboriginal and Torres Strait Islander health checks: results from testing in health services and general practices</w:t>
            </w:r>
            <w:r w:rsidRPr="00963907">
              <w:rPr>
                <w:rFonts w:ascii="Arial" w:hAnsi="Arial" w:cs="Arial"/>
                <w:b/>
                <w:bCs/>
                <w:color w:val="000000" w:themeColor="text1"/>
                <w:sz w:val="20"/>
                <w:szCs w:val="20"/>
              </w:rPr>
              <w:br/>
            </w:r>
          </w:p>
        </w:tc>
        <w:tc>
          <w:tcPr>
            <w:tcW w:w="2079" w:type="pct"/>
          </w:tcPr>
          <w:p w14:paraId="486388FA" w14:textId="02593A89"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consistent feedback about the </w:t>
            </w:r>
            <w:r w:rsidRPr="00963907">
              <w:rPr>
                <w:rFonts w:ascii="Arial" w:hAnsi="Arial" w:cs="Arial"/>
                <w:b/>
                <w:bCs/>
                <w:color w:val="000000" w:themeColor="text1"/>
                <w:sz w:val="20"/>
                <w:szCs w:val="20"/>
                <w:shd w:val="clear" w:color="auto" w:fill="FFFFFF"/>
              </w:rPr>
              <w:t>limitations in software</w:t>
            </w:r>
            <w:r w:rsidRPr="00963907">
              <w:rPr>
                <w:rFonts w:ascii="Arial" w:hAnsi="Arial" w:cs="Arial"/>
                <w:color w:val="000000" w:themeColor="text1"/>
                <w:sz w:val="20"/>
                <w:szCs w:val="20"/>
                <w:shd w:val="clear" w:color="auto" w:fill="FFFFFF"/>
              </w:rPr>
              <w:t xml:space="preserve"> especially lack of </w:t>
            </w:r>
            <w:proofErr w:type="spellStart"/>
            <w:r w:rsidRPr="00963907">
              <w:rPr>
                <w:rFonts w:ascii="Arial" w:hAnsi="Arial" w:cs="Arial"/>
                <w:color w:val="000000" w:themeColor="text1"/>
                <w:sz w:val="20"/>
                <w:szCs w:val="20"/>
                <w:shd w:val="clear" w:color="auto" w:fill="FFFFFF"/>
              </w:rPr>
              <w:t>intraoperability</w:t>
            </w:r>
            <w:proofErr w:type="spellEnd"/>
            <w:r w:rsidRPr="00963907">
              <w:rPr>
                <w:rFonts w:ascii="Arial" w:hAnsi="Arial" w:cs="Arial"/>
                <w:color w:val="000000" w:themeColor="text1"/>
                <w:sz w:val="20"/>
                <w:szCs w:val="20"/>
                <w:shd w:val="clear" w:color="auto" w:fill="FFFFFF"/>
              </w:rPr>
              <w:t xml:space="preserve"> (interaction with other parts of the health record): Including issues with very limited pre-population of fields and time-consuming to set pre-populating fields. recalls &amp; reminders having to be entered manually was another issue.</w:t>
            </w:r>
          </w:p>
          <w:p w14:paraId="24E9D993"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need for recommended embedded links to work </w:t>
            </w:r>
            <w:proofErr w:type="spellStart"/>
            <w:r w:rsidRPr="00963907">
              <w:rPr>
                <w:rFonts w:ascii="Arial" w:hAnsi="Arial" w:cs="Arial"/>
                <w:color w:val="000000" w:themeColor="text1"/>
                <w:sz w:val="20"/>
                <w:szCs w:val="20"/>
                <w:shd w:val="clear" w:color="auto" w:fill="FFFFFF"/>
              </w:rPr>
              <w:t>eg</w:t>
            </w:r>
            <w:proofErr w:type="spellEnd"/>
            <w:r w:rsidRPr="00963907">
              <w:rPr>
                <w:rFonts w:ascii="Arial" w:hAnsi="Arial" w:cs="Arial"/>
                <w:color w:val="000000" w:themeColor="text1"/>
                <w:sz w:val="20"/>
                <w:szCs w:val="20"/>
                <w:shd w:val="clear" w:color="auto" w:fill="FFFFFF"/>
              </w:rPr>
              <w:t xml:space="preserve"> AIR, CVD risk calculator</w:t>
            </w:r>
          </w:p>
          <w:p w14:paraId="4733CB87"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requests for other embedded links </w:t>
            </w:r>
            <w:proofErr w:type="spellStart"/>
            <w:r w:rsidRPr="00963907">
              <w:rPr>
                <w:rFonts w:ascii="Arial" w:hAnsi="Arial" w:cs="Arial"/>
                <w:color w:val="000000" w:themeColor="text1"/>
                <w:sz w:val="20"/>
                <w:szCs w:val="20"/>
                <w:shd w:val="clear" w:color="auto" w:fill="FFFFFF"/>
              </w:rPr>
              <w:t>eg</w:t>
            </w:r>
            <w:proofErr w:type="spellEnd"/>
            <w:r w:rsidRPr="00963907">
              <w:rPr>
                <w:rFonts w:ascii="Arial" w:hAnsi="Arial" w:cs="Arial"/>
                <w:color w:val="000000" w:themeColor="text1"/>
                <w:sz w:val="20"/>
                <w:szCs w:val="20"/>
                <w:shd w:val="clear" w:color="auto" w:fill="FFFFFF"/>
              </w:rPr>
              <w:t xml:space="preserve"> to assessment tools, patient information &amp; other resources, referral networks, clinical guidelines</w:t>
            </w:r>
          </w:p>
          <w:p w14:paraId="4D4A1C38" w14:textId="1368A12C"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mention of a need to ensure it is being impactful and not just an income generator for practices. The suggestion that “All templates incorporate into the software so the KPIs will come up. E.g. if you don’t have CST results in a female 25yrs old, the GP cannot complete the health assessment. History, examination and all preventive activities should be met for claiming this.”</w:t>
            </w:r>
          </w:p>
        </w:tc>
        <w:tc>
          <w:tcPr>
            <w:tcW w:w="2054" w:type="pct"/>
          </w:tcPr>
          <w:p w14:paraId="091D79D5" w14:textId="0773AE7B"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consistently positive feedback regarding the content of health checks from staff and clients</w:t>
            </w:r>
          </w:p>
          <w:p w14:paraId="27EA19FB" w14:textId="7F78FD09"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have had better completion rate of health assessments with the new forms. Patients have engaged more and return to the practice more frequently because of the relationships they are building and the care they are receiving. </w:t>
            </w:r>
          </w:p>
          <w:p w14:paraId="2F297546" w14:textId="06157C0C" w:rsidR="00963907" w:rsidRPr="00963907" w:rsidRDefault="00963907" w:rsidP="00161185">
            <w:pPr>
              <w:pStyle w:val="ListParagraph"/>
              <w:rPr>
                <w:rFonts w:ascii="Arial" w:hAnsi="Arial" w:cs="Arial"/>
                <w:color w:val="000000" w:themeColor="text1"/>
                <w:sz w:val="20"/>
                <w:szCs w:val="20"/>
                <w:shd w:val="clear" w:color="auto" w:fill="FFFFFF"/>
              </w:rPr>
            </w:pPr>
          </w:p>
        </w:tc>
      </w:tr>
      <w:tr w:rsidR="00963907" w:rsidRPr="00963907" w14:paraId="7EA803E5" w14:textId="77777777" w:rsidTr="00963907">
        <w:tc>
          <w:tcPr>
            <w:tcW w:w="866" w:type="pct"/>
          </w:tcPr>
          <w:p w14:paraId="54169425" w14:textId="6385707C" w:rsidR="00963907" w:rsidRPr="00963907" w:rsidRDefault="00963907" w:rsidP="006C2BBA">
            <w:pPr>
              <w:rPr>
                <w:rFonts w:ascii="Arial" w:hAnsi="Arial" w:cs="Arial"/>
                <w:b/>
                <w:bCs/>
                <w:color w:val="000000" w:themeColor="text1"/>
                <w:sz w:val="20"/>
                <w:szCs w:val="20"/>
              </w:rPr>
            </w:pPr>
            <w:r w:rsidRPr="00963907">
              <w:rPr>
                <w:rFonts w:ascii="Arial" w:hAnsi="Arial" w:cs="Arial"/>
                <w:color w:val="000000" w:themeColor="text1"/>
                <w:sz w:val="20"/>
                <w:szCs w:val="20"/>
              </w:rPr>
              <w:t>NACCHO RACGP Roundtable</w:t>
            </w:r>
            <w:r w:rsidRPr="00963907">
              <w:rPr>
                <w:rFonts w:ascii="Arial" w:hAnsi="Arial" w:cs="Arial"/>
                <w:b/>
                <w:bCs/>
                <w:color w:val="000000" w:themeColor="text1"/>
                <w:sz w:val="20"/>
                <w:szCs w:val="20"/>
              </w:rPr>
              <w:t>-2019/</w:t>
            </w:r>
            <w:r w:rsidRPr="00963907">
              <w:rPr>
                <w:rFonts w:ascii="Arial" w:hAnsi="Arial" w:cs="Arial"/>
                <w:color w:val="000000" w:themeColor="text1"/>
                <w:sz w:val="20"/>
                <w:szCs w:val="20"/>
              </w:rPr>
              <w:t xml:space="preserve"> Understand the context, enablers and barriers to provision of effective, high quality preventive healthcare for Aboriginal and Torres Strait Islander people</w:t>
            </w:r>
          </w:p>
          <w:p w14:paraId="507700FC" w14:textId="070E444F" w:rsidR="00963907" w:rsidRPr="00963907" w:rsidRDefault="00963907" w:rsidP="00161185">
            <w:pPr>
              <w:rPr>
                <w:rFonts w:ascii="Arial" w:hAnsi="Arial" w:cs="Arial"/>
                <w:b/>
                <w:bCs/>
                <w:color w:val="000000" w:themeColor="text1"/>
                <w:sz w:val="20"/>
                <w:szCs w:val="20"/>
              </w:rPr>
            </w:pPr>
          </w:p>
        </w:tc>
        <w:tc>
          <w:tcPr>
            <w:tcW w:w="2079" w:type="pct"/>
          </w:tcPr>
          <w:p w14:paraId="01326BA6" w14:textId="71AE62B4"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Challenge to ensure that a focus on increasing quality, not just quantity of health checks.</w:t>
            </w:r>
          </w:p>
          <w:p w14:paraId="5955A8E5" w14:textId="101990CD"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rPr>
              <w:t>Health checks do not currently meet patient needs unless the practitioner and service are culturally responsive and have the structures and attitudes in place to provide effective healthcare.</w:t>
            </w:r>
          </w:p>
          <w:p w14:paraId="52D0A58A"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rPr>
              <w:t>role of the Aboriginal and Torres Strait Islander Health Practitioners and Workers are not properly recognised and adequately remunerated</w:t>
            </w:r>
          </w:p>
          <w:p w14:paraId="287C1FD8"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rPr>
              <w:t>MBS item Descriptor and Explanatory notes for the 715 health check are inadequate</w:t>
            </w:r>
          </w:p>
          <w:p w14:paraId="7D981D95" w14:textId="77777777"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rPr>
              <w:t>Patient reported experiences are unrecorded</w:t>
            </w:r>
          </w:p>
          <w:p w14:paraId="4909CD6C" w14:textId="4B1A0492"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rPr>
              <w:t xml:space="preserve">lack of consistency in the quality of health checks </w:t>
            </w:r>
          </w:p>
          <w:p w14:paraId="5BDE0CFD" w14:textId="4156DCA1"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rPr>
              <w:t>tick box exercises that are done “to” patients and risk harm</w:t>
            </w:r>
          </w:p>
          <w:p w14:paraId="0A1BBB0B" w14:textId="1299B958"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shd w:val="clear" w:color="auto" w:fill="FFFFFF"/>
              </w:rPr>
              <w:t xml:space="preserve">Clinical information system </w:t>
            </w:r>
          </w:p>
        </w:tc>
        <w:tc>
          <w:tcPr>
            <w:tcW w:w="2054" w:type="pct"/>
          </w:tcPr>
          <w:p w14:paraId="62B309F4" w14:textId="63C41C0B"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Health checks preventive activities includes not doing all activities in one go.</w:t>
            </w:r>
          </w:p>
          <w:p w14:paraId="770481A2" w14:textId="7AC2473B"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Team-based approach (in ACCHOs)</w:t>
            </w:r>
          </w:p>
          <w:p w14:paraId="4F4B86FA" w14:textId="77777777" w:rsidR="00963907" w:rsidRPr="00963907" w:rsidRDefault="00963907" w:rsidP="00DE01F1">
            <w:pPr>
              <w:rPr>
                <w:rFonts w:ascii="Arial" w:hAnsi="Arial" w:cs="Arial"/>
                <w:color w:val="000000" w:themeColor="text1"/>
                <w:sz w:val="20"/>
                <w:szCs w:val="20"/>
              </w:rPr>
            </w:pPr>
          </w:p>
          <w:p w14:paraId="153D5B62" w14:textId="3563A105"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Relationship-strengthening, supporting patient agency.</w:t>
            </w:r>
          </w:p>
          <w:p w14:paraId="422AFECB"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Enough time given (may be completed over several consultations)</w:t>
            </w:r>
          </w:p>
          <w:p w14:paraId="2C10D93B"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Follow-up of identified health needs occurs (continuity of care)</w:t>
            </w:r>
          </w:p>
          <w:p w14:paraId="2FD826A6" w14:textId="77777777" w:rsidR="00963907" w:rsidRPr="00963907" w:rsidRDefault="00963907" w:rsidP="00DE01F1">
            <w:pPr>
              <w:rPr>
                <w:rFonts w:ascii="Arial" w:hAnsi="Arial" w:cs="Arial"/>
                <w:color w:val="000000" w:themeColor="text1"/>
                <w:sz w:val="20"/>
                <w:szCs w:val="20"/>
              </w:rPr>
            </w:pPr>
          </w:p>
          <w:p w14:paraId="4F2F448F"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ongoing engagement in comprehensive primary healthcare in a culturally safe way</w:t>
            </w:r>
          </w:p>
          <w:p w14:paraId="59164B80"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getting communities/families themselves engaged in the program</w:t>
            </w:r>
          </w:p>
          <w:p w14:paraId="4DB0F4F7"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lastRenderedPageBreak/>
              <w:t>strengthening the workforce - training and support for the health workers</w:t>
            </w:r>
          </w:p>
          <w:p w14:paraId="6A1B453A"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Adequate IT support</w:t>
            </w:r>
          </w:p>
          <w:p w14:paraId="71884965" w14:textId="77777777" w:rsidR="00963907" w:rsidRPr="00963907" w:rsidRDefault="00963907" w:rsidP="002F2C48">
            <w:pPr>
              <w:pStyle w:val="ListParagraph"/>
              <w:numPr>
                <w:ilvl w:val="0"/>
                <w:numId w:val="11"/>
              </w:numPr>
              <w:rPr>
                <w:rFonts w:ascii="Arial" w:hAnsi="Arial" w:cs="Arial"/>
                <w:color w:val="000000" w:themeColor="text1"/>
                <w:sz w:val="20"/>
                <w:szCs w:val="20"/>
              </w:rPr>
            </w:pPr>
            <w:r w:rsidRPr="00963907">
              <w:rPr>
                <w:rFonts w:ascii="Arial" w:hAnsi="Arial" w:cs="Arial"/>
                <w:color w:val="000000" w:themeColor="text1"/>
                <w:sz w:val="20"/>
                <w:szCs w:val="20"/>
              </w:rPr>
              <w:t>Strong Indigenous participation in the primary health care service</w:t>
            </w:r>
          </w:p>
          <w:p w14:paraId="64E34A58" w14:textId="0FD6CBA4" w:rsidR="00963907" w:rsidRPr="00963907" w:rsidRDefault="00963907" w:rsidP="002F2C48">
            <w:pPr>
              <w:pStyle w:val="ListParagraph"/>
              <w:numPr>
                <w:ilvl w:val="0"/>
                <w:numId w:val="11"/>
              </w:numPr>
              <w:rPr>
                <w:rFonts w:ascii="Arial" w:hAnsi="Arial" w:cs="Arial"/>
                <w:color w:val="000000" w:themeColor="text1"/>
                <w:sz w:val="20"/>
                <w:szCs w:val="20"/>
                <w:shd w:val="clear" w:color="auto" w:fill="FFFFFF"/>
              </w:rPr>
            </w:pPr>
            <w:r w:rsidRPr="00963907">
              <w:rPr>
                <w:rFonts w:ascii="Arial" w:hAnsi="Arial" w:cs="Arial"/>
                <w:color w:val="000000" w:themeColor="text1"/>
                <w:sz w:val="20"/>
                <w:szCs w:val="20"/>
              </w:rPr>
              <w:t>Appropriate primary health care team structure and function</w:t>
            </w:r>
          </w:p>
        </w:tc>
      </w:tr>
    </w:tbl>
    <w:p w14:paraId="4336CB0E" w14:textId="61BFE0FA" w:rsidR="00714FDA" w:rsidRPr="00963907" w:rsidRDefault="00714FDA">
      <w:pPr>
        <w:rPr>
          <w:color w:val="000000" w:themeColor="text1"/>
        </w:rPr>
      </w:pPr>
    </w:p>
    <w:sectPr w:rsidR="00714FDA" w:rsidRPr="00963907" w:rsidSect="0063186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E34F7" w14:textId="77777777" w:rsidR="006A0B14" w:rsidRDefault="006A0B14" w:rsidP="007C7525">
      <w:pPr>
        <w:spacing w:after="0" w:line="240" w:lineRule="auto"/>
      </w:pPr>
      <w:r>
        <w:separator/>
      </w:r>
    </w:p>
  </w:endnote>
  <w:endnote w:type="continuationSeparator" w:id="0">
    <w:p w14:paraId="54ED7BBD" w14:textId="77777777" w:rsidR="006A0B14" w:rsidRDefault="006A0B14" w:rsidP="007C75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B2F9B" w14:textId="77777777" w:rsidR="006A0B14" w:rsidRDefault="006A0B14" w:rsidP="007C7525">
      <w:pPr>
        <w:spacing w:after="0" w:line="240" w:lineRule="auto"/>
      </w:pPr>
      <w:r>
        <w:separator/>
      </w:r>
    </w:p>
  </w:footnote>
  <w:footnote w:type="continuationSeparator" w:id="0">
    <w:p w14:paraId="5907E981" w14:textId="77777777" w:rsidR="006A0B14" w:rsidRDefault="006A0B14" w:rsidP="007C75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34BC1"/>
    <w:multiLevelType w:val="hybridMultilevel"/>
    <w:tmpl w:val="D96A6644"/>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F46675F"/>
    <w:multiLevelType w:val="hybridMultilevel"/>
    <w:tmpl w:val="E10E91AC"/>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ECA3DC1"/>
    <w:multiLevelType w:val="hybridMultilevel"/>
    <w:tmpl w:val="9280CD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5937DD6"/>
    <w:multiLevelType w:val="hybridMultilevel"/>
    <w:tmpl w:val="960CB7BC"/>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1B02D9B"/>
    <w:multiLevelType w:val="hybridMultilevel"/>
    <w:tmpl w:val="928A5B58"/>
    <w:lvl w:ilvl="0" w:tplc="0C090001">
      <w:start w:val="1"/>
      <w:numFmt w:val="bullet"/>
      <w:lvlText w:val=""/>
      <w:lvlJc w:val="left"/>
      <w:pPr>
        <w:ind w:left="720" w:hanging="360"/>
      </w:pPr>
      <w:rPr>
        <w:rFonts w:ascii="Symbol" w:hAnsi="Symbol" w:hint="default"/>
      </w:rPr>
    </w:lvl>
    <w:lvl w:ilvl="1" w:tplc="DEF04112">
      <w:numFmt w:val="bullet"/>
      <w:lvlText w:val="-"/>
      <w:lvlJc w:val="left"/>
      <w:pPr>
        <w:ind w:left="1440" w:hanging="360"/>
      </w:pPr>
      <w:rPr>
        <w:rFonts w:ascii="Times New Roman" w:eastAsiaTheme="minorHAnsi" w:hAnsi="Times New Roman" w:cs="Times New Roman" w:hint="default"/>
        <w:color w:val="1F1F1F"/>
        <w:sz w:val="24"/>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82F674E"/>
    <w:multiLevelType w:val="hybridMultilevel"/>
    <w:tmpl w:val="D706B0A0"/>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BD207BA"/>
    <w:multiLevelType w:val="hybridMultilevel"/>
    <w:tmpl w:val="27BA8E12"/>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F701788"/>
    <w:multiLevelType w:val="hybridMultilevel"/>
    <w:tmpl w:val="E190D92E"/>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39226E6"/>
    <w:multiLevelType w:val="hybridMultilevel"/>
    <w:tmpl w:val="047C551C"/>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CCF1A5F"/>
    <w:multiLevelType w:val="multilevel"/>
    <w:tmpl w:val="A7ACFF9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74F06855"/>
    <w:multiLevelType w:val="hybridMultilevel"/>
    <w:tmpl w:val="91ACE270"/>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90286533">
    <w:abstractNumId w:val="0"/>
  </w:num>
  <w:num w:numId="2" w16cid:durableId="370155931">
    <w:abstractNumId w:val="7"/>
  </w:num>
  <w:num w:numId="3" w16cid:durableId="1839612443">
    <w:abstractNumId w:val="5"/>
  </w:num>
  <w:num w:numId="4" w16cid:durableId="655187659">
    <w:abstractNumId w:val="9"/>
  </w:num>
  <w:num w:numId="5" w16cid:durableId="826630518">
    <w:abstractNumId w:val="3"/>
  </w:num>
  <w:num w:numId="6" w16cid:durableId="755176267">
    <w:abstractNumId w:val="8"/>
  </w:num>
  <w:num w:numId="7" w16cid:durableId="1059783504">
    <w:abstractNumId w:val="6"/>
  </w:num>
  <w:num w:numId="8" w16cid:durableId="2000496454">
    <w:abstractNumId w:val="10"/>
  </w:num>
  <w:num w:numId="9" w16cid:durableId="1600407130">
    <w:abstractNumId w:val="1"/>
  </w:num>
  <w:num w:numId="10" w16cid:durableId="1369645476">
    <w:abstractNumId w:val="4"/>
  </w:num>
  <w:num w:numId="11" w16cid:durableId="3282184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42F"/>
    <w:rsid w:val="0001653E"/>
    <w:rsid w:val="00035509"/>
    <w:rsid w:val="0004352B"/>
    <w:rsid w:val="00062A61"/>
    <w:rsid w:val="000A0026"/>
    <w:rsid w:val="000B4E34"/>
    <w:rsid w:val="000B7A78"/>
    <w:rsid w:val="000E00D4"/>
    <w:rsid w:val="000E0567"/>
    <w:rsid w:val="000F3541"/>
    <w:rsid w:val="001120FE"/>
    <w:rsid w:val="00117978"/>
    <w:rsid w:val="00132C96"/>
    <w:rsid w:val="001418C1"/>
    <w:rsid w:val="00144EA9"/>
    <w:rsid w:val="00160483"/>
    <w:rsid w:val="00161185"/>
    <w:rsid w:val="001706C3"/>
    <w:rsid w:val="0018542F"/>
    <w:rsid w:val="001A035A"/>
    <w:rsid w:val="001A6043"/>
    <w:rsid w:val="001C287D"/>
    <w:rsid w:val="001D6DB4"/>
    <w:rsid w:val="001F7A7C"/>
    <w:rsid w:val="00201269"/>
    <w:rsid w:val="002311C5"/>
    <w:rsid w:val="00295550"/>
    <w:rsid w:val="002A6C11"/>
    <w:rsid w:val="002A7D3A"/>
    <w:rsid w:val="002B0130"/>
    <w:rsid w:val="002C61B6"/>
    <w:rsid w:val="002C6B8F"/>
    <w:rsid w:val="002D250A"/>
    <w:rsid w:val="002F2C48"/>
    <w:rsid w:val="002F7EFE"/>
    <w:rsid w:val="003034DF"/>
    <w:rsid w:val="00342C22"/>
    <w:rsid w:val="00345863"/>
    <w:rsid w:val="0038031B"/>
    <w:rsid w:val="0038429B"/>
    <w:rsid w:val="003B735C"/>
    <w:rsid w:val="003D72A4"/>
    <w:rsid w:val="003F32B1"/>
    <w:rsid w:val="00422E10"/>
    <w:rsid w:val="004632DC"/>
    <w:rsid w:val="00480CB8"/>
    <w:rsid w:val="00491B99"/>
    <w:rsid w:val="00497236"/>
    <w:rsid w:val="004D4074"/>
    <w:rsid w:val="004F7563"/>
    <w:rsid w:val="005011D1"/>
    <w:rsid w:val="0050668C"/>
    <w:rsid w:val="00516522"/>
    <w:rsid w:val="005258A5"/>
    <w:rsid w:val="00526A10"/>
    <w:rsid w:val="00536B51"/>
    <w:rsid w:val="005450E5"/>
    <w:rsid w:val="00590B29"/>
    <w:rsid w:val="005921A0"/>
    <w:rsid w:val="005A17F4"/>
    <w:rsid w:val="005B067C"/>
    <w:rsid w:val="005B563D"/>
    <w:rsid w:val="005D62E1"/>
    <w:rsid w:val="005E3DEC"/>
    <w:rsid w:val="006040AE"/>
    <w:rsid w:val="00621520"/>
    <w:rsid w:val="00631862"/>
    <w:rsid w:val="00635BE1"/>
    <w:rsid w:val="006371C4"/>
    <w:rsid w:val="00642B8D"/>
    <w:rsid w:val="006527BD"/>
    <w:rsid w:val="00653026"/>
    <w:rsid w:val="006605D2"/>
    <w:rsid w:val="00671CF5"/>
    <w:rsid w:val="006729DD"/>
    <w:rsid w:val="006A064C"/>
    <w:rsid w:val="006A0B14"/>
    <w:rsid w:val="006A5051"/>
    <w:rsid w:val="006B422F"/>
    <w:rsid w:val="006C1EA4"/>
    <w:rsid w:val="006C2BBA"/>
    <w:rsid w:val="006D4C7E"/>
    <w:rsid w:val="006E1E1C"/>
    <w:rsid w:val="006F7CA5"/>
    <w:rsid w:val="00703A78"/>
    <w:rsid w:val="00714FDA"/>
    <w:rsid w:val="00790262"/>
    <w:rsid w:val="007B554E"/>
    <w:rsid w:val="007C7525"/>
    <w:rsid w:val="007E4DB8"/>
    <w:rsid w:val="007E5C4E"/>
    <w:rsid w:val="007E63DF"/>
    <w:rsid w:val="007F5F24"/>
    <w:rsid w:val="00804342"/>
    <w:rsid w:val="008200D9"/>
    <w:rsid w:val="008361DA"/>
    <w:rsid w:val="008432C3"/>
    <w:rsid w:val="00845317"/>
    <w:rsid w:val="008652C9"/>
    <w:rsid w:val="008B1930"/>
    <w:rsid w:val="008C3775"/>
    <w:rsid w:val="008D7F31"/>
    <w:rsid w:val="008F1008"/>
    <w:rsid w:val="008F1B25"/>
    <w:rsid w:val="0091074F"/>
    <w:rsid w:val="0091084E"/>
    <w:rsid w:val="00927FB9"/>
    <w:rsid w:val="00963907"/>
    <w:rsid w:val="0098113E"/>
    <w:rsid w:val="009964C9"/>
    <w:rsid w:val="009A2D2E"/>
    <w:rsid w:val="009A5EE3"/>
    <w:rsid w:val="009B683B"/>
    <w:rsid w:val="00A03854"/>
    <w:rsid w:val="00A10EA0"/>
    <w:rsid w:val="00A130F5"/>
    <w:rsid w:val="00A16217"/>
    <w:rsid w:val="00A215D3"/>
    <w:rsid w:val="00A86BAF"/>
    <w:rsid w:val="00AB5D7E"/>
    <w:rsid w:val="00AC3D90"/>
    <w:rsid w:val="00AC5755"/>
    <w:rsid w:val="00AD6DD8"/>
    <w:rsid w:val="00B55D07"/>
    <w:rsid w:val="00B55EA6"/>
    <w:rsid w:val="00B81DDA"/>
    <w:rsid w:val="00B86798"/>
    <w:rsid w:val="00B945DA"/>
    <w:rsid w:val="00BD57B8"/>
    <w:rsid w:val="00BD5C85"/>
    <w:rsid w:val="00BF7467"/>
    <w:rsid w:val="00C31C4A"/>
    <w:rsid w:val="00C702DD"/>
    <w:rsid w:val="00C71389"/>
    <w:rsid w:val="00C71F2C"/>
    <w:rsid w:val="00C87087"/>
    <w:rsid w:val="00CB6DEB"/>
    <w:rsid w:val="00CC08B9"/>
    <w:rsid w:val="00CE4DCA"/>
    <w:rsid w:val="00CE5AAE"/>
    <w:rsid w:val="00D007BD"/>
    <w:rsid w:val="00D26797"/>
    <w:rsid w:val="00D56A8C"/>
    <w:rsid w:val="00D57BF8"/>
    <w:rsid w:val="00D65F53"/>
    <w:rsid w:val="00D91D8B"/>
    <w:rsid w:val="00D960AF"/>
    <w:rsid w:val="00DB1BC0"/>
    <w:rsid w:val="00DD1E25"/>
    <w:rsid w:val="00DD1F56"/>
    <w:rsid w:val="00DE01F1"/>
    <w:rsid w:val="00DE24DB"/>
    <w:rsid w:val="00DE75D0"/>
    <w:rsid w:val="00E14F44"/>
    <w:rsid w:val="00E16590"/>
    <w:rsid w:val="00E44210"/>
    <w:rsid w:val="00E449CF"/>
    <w:rsid w:val="00E53839"/>
    <w:rsid w:val="00E55599"/>
    <w:rsid w:val="00E81F89"/>
    <w:rsid w:val="00E8790E"/>
    <w:rsid w:val="00EB0A66"/>
    <w:rsid w:val="00EB6873"/>
    <w:rsid w:val="00EC03E0"/>
    <w:rsid w:val="00EC40E2"/>
    <w:rsid w:val="00EE10D6"/>
    <w:rsid w:val="00EE288A"/>
    <w:rsid w:val="00EF00DB"/>
    <w:rsid w:val="00F148F6"/>
    <w:rsid w:val="00F1799C"/>
    <w:rsid w:val="00F35540"/>
    <w:rsid w:val="00F44069"/>
    <w:rsid w:val="00F71B4A"/>
    <w:rsid w:val="00F9471A"/>
    <w:rsid w:val="00F96483"/>
    <w:rsid w:val="00F96CBD"/>
    <w:rsid w:val="00FA5447"/>
    <w:rsid w:val="00FB4DD9"/>
    <w:rsid w:val="00FD0BD0"/>
    <w:rsid w:val="00FF762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BAA64"/>
  <w15:chartTrackingRefBased/>
  <w15:docId w15:val="{35217E7C-ACBE-4AAC-8EBB-A32EFBFF5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B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318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D0BD0"/>
    <w:pPr>
      <w:ind w:left="720"/>
      <w:contextualSpacing/>
    </w:pPr>
  </w:style>
  <w:style w:type="paragraph" w:styleId="Header">
    <w:name w:val="header"/>
    <w:basedOn w:val="Normal"/>
    <w:link w:val="HeaderChar"/>
    <w:uiPriority w:val="99"/>
    <w:unhideWhenUsed/>
    <w:rsid w:val="007C75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7525"/>
  </w:style>
  <w:style w:type="paragraph" w:styleId="Footer">
    <w:name w:val="footer"/>
    <w:basedOn w:val="Normal"/>
    <w:link w:val="FooterChar"/>
    <w:uiPriority w:val="99"/>
    <w:unhideWhenUsed/>
    <w:rsid w:val="007C75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7525"/>
  </w:style>
  <w:style w:type="character" w:styleId="Hyperlink">
    <w:name w:val="Hyperlink"/>
    <w:basedOn w:val="DefaultParagraphFont"/>
    <w:uiPriority w:val="99"/>
    <w:unhideWhenUsed/>
    <w:rsid w:val="00117978"/>
    <w:rPr>
      <w:color w:val="0563C1" w:themeColor="hyperlink"/>
      <w:u w:val="single"/>
    </w:rPr>
  </w:style>
  <w:style w:type="character" w:styleId="UnresolvedMention">
    <w:name w:val="Unresolved Mention"/>
    <w:basedOn w:val="DefaultParagraphFont"/>
    <w:uiPriority w:val="99"/>
    <w:semiHidden/>
    <w:unhideWhenUsed/>
    <w:rsid w:val="001179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645071">
      <w:bodyDiv w:val="1"/>
      <w:marLeft w:val="0"/>
      <w:marRight w:val="0"/>
      <w:marTop w:val="0"/>
      <w:marBottom w:val="0"/>
      <w:divBdr>
        <w:top w:val="none" w:sz="0" w:space="0" w:color="auto"/>
        <w:left w:val="none" w:sz="0" w:space="0" w:color="auto"/>
        <w:bottom w:val="none" w:sz="0" w:space="0" w:color="auto"/>
        <w:right w:val="none" w:sz="0" w:space="0" w:color="auto"/>
      </w:divBdr>
    </w:div>
    <w:div w:id="325404615">
      <w:bodyDiv w:val="1"/>
      <w:marLeft w:val="0"/>
      <w:marRight w:val="0"/>
      <w:marTop w:val="0"/>
      <w:marBottom w:val="0"/>
      <w:divBdr>
        <w:top w:val="none" w:sz="0" w:space="0" w:color="auto"/>
        <w:left w:val="none" w:sz="0" w:space="0" w:color="auto"/>
        <w:bottom w:val="none" w:sz="0" w:space="0" w:color="auto"/>
        <w:right w:val="none" w:sz="0" w:space="0" w:color="auto"/>
      </w:divBdr>
    </w:div>
    <w:div w:id="366687519">
      <w:bodyDiv w:val="1"/>
      <w:marLeft w:val="0"/>
      <w:marRight w:val="0"/>
      <w:marTop w:val="0"/>
      <w:marBottom w:val="0"/>
      <w:divBdr>
        <w:top w:val="none" w:sz="0" w:space="0" w:color="auto"/>
        <w:left w:val="none" w:sz="0" w:space="0" w:color="auto"/>
        <w:bottom w:val="none" w:sz="0" w:space="0" w:color="auto"/>
        <w:right w:val="none" w:sz="0" w:space="0" w:color="auto"/>
      </w:divBdr>
    </w:div>
    <w:div w:id="1373386044">
      <w:bodyDiv w:val="1"/>
      <w:marLeft w:val="0"/>
      <w:marRight w:val="0"/>
      <w:marTop w:val="0"/>
      <w:marBottom w:val="0"/>
      <w:divBdr>
        <w:top w:val="none" w:sz="0" w:space="0" w:color="auto"/>
        <w:left w:val="none" w:sz="0" w:space="0" w:color="auto"/>
        <w:bottom w:val="none" w:sz="0" w:space="0" w:color="auto"/>
        <w:right w:val="none" w:sz="0" w:space="0" w:color="auto"/>
      </w:divBdr>
    </w:div>
    <w:div w:id="1753042872">
      <w:bodyDiv w:val="1"/>
      <w:marLeft w:val="0"/>
      <w:marRight w:val="0"/>
      <w:marTop w:val="0"/>
      <w:marBottom w:val="0"/>
      <w:divBdr>
        <w:top w:val="none" w:sz="0" w:space="0" w:color="auto"/>
        <w:left w:val="none" w:sz="0" w:space="0" w:color="auto"/>
        <w:bottom w:val="none" w:sz="0" w:space="0" w:color="auto"/>
        <w:right w:val="none" w:sz="0" w:space="0" w:color="auto"/>
      </w:divBdr>
    </w:div>
    <w:div w:id="1774015271">
      <w:bodyDiv w:val="1"/>
      <w:marLeft w:val="0"/>
      <w:marRight w:val="0"/>
      <w:marTop w:val="0"/>
      <w:marBottom w:val="0"/>
      <w:divBdr>
        <w:top w:val="none" w:sz="0" w:space="0" w:color="auto"/>
        <w:left w:val="none" w:sz="0" w:space="0" w:color="auto"/>
        <w:bottom w:val="none" w:sz="0" w:space="0" w:color="auto"/>
        <w:right w:val="none" w:sz="0" w:space="0" w:color="auto"/>
      </w:divBdr>
    </w:div>
    <w:div w:id="1872645559">
      <w:bodyDiv w:val="1"/>
      <w:marLeft w:val="0"/>
      <w:marRight w:val="0"/>
      <w:marTop w:val="0"/>
      <w:marBottom w:val="0"/>
      <w:divBdr>
        <w:top w:val="none" w:sz="0" w:space="0" w:color="auto"/>
        <w:left w:val="none" w:sz="0" w:space="0" w:color="auto"/>
        <w:bottom w:val="none" w:sz="0" w:space="0" w:color="auto"/>
        <w:right w:val="none" w:sz="0" w:space="0" w:color="auto"/>
      </w:divBdr>
    </w:div>
    <w:div w:id="1903909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1529</Words>
  <Characters>8717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 Yadav</dc:creator>
  <cp:keywords/>
  <dc:description/>
  <cp:lastModifiedBy>Uday Yadav</cp:lastModifiedBy>
  <cp:revision>31</cp:revision>
  <dcterms:created xsi:type="dcterms:W3CDTF">2023-05-21T11:42:00Z</dcterms:created>
  <dcterms:modified xsi:type="dcterms:W3CDTF">2023-06-18T06:59:00Z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4f967f0a9ede4b51d17d33029767319e15b815431020ea1fd0efd8e01467ba85</vt:lpwstr>
  </property>
</Properties>
</file>