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290"/>
        <w:gridCol w:w="1556"/>
        <w:gridCol w:w="1520"/>
        <w:gridCol w:w="1637"/>
        <w:gridCol w:w="3832"/>
        <w:gridCol w:w="4113"/>
      </w:tblGrid>
      <w:tr w:rsidR="00E87FCA" w:rsidRPr="005D2F6C" w14:paraId="62567648" w14:textId="73DE476B" w:rsidTr="00E87FCA">
        <w:tc>
          <w:tcPr>
            <w:tcW w:w="1350" w:type="dxa"/>
            <w:shd w:val="clear" w:color="auto" w:fill="C5E0B3" w:themeFill="accent6" w:themeFillTint="66"/>
          </w:tcPr>
          <w:p w14:paraId="7B00E102" w14:textId="7A9510A2"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S.no</w:t>
            </w:r>
          </w:p>
        </w:tc>
        <w:tc>
          <w:tcPr>
            <w:tcW w:w="1594" w:type="dxa"/>
            <w:shd w:val="clear" w:color="auto" w:fill="C5E0B3" w:themeFill="accent6" w:themeFillTint="66"/>
          </w:tcPr>
          <w:p w14:paraId="2E9DA3C0" w14:textId="2E25CB9C"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Year, First Author </w:t>
            </w:r>
          </w:p>
        </w:tc>
        <w:tc>
          <w:tcPr>
            <w:tcW w:w="1520" w:type="dxa"/>
            <w:shd w:val="clear" w:color="auto" w:fill="C5E0B3" w:themeFill="accent6" w:themeFillTint="66"/>
          </w:tcPr>
          <w:p w14:paraId="3AA2A273" w14:textId="68D6EC0D"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Study design </w:t>
            </w:r>
          </w:p>
        </w:tc>
        <w:tc>
          <w:tcPr>
            <w:tcW w:w="1301" w:type="dxa"/>
            <w:shd w:val="clear" w:color="auto" w:fill="C5E0B3" w:themeFill="accent6" w:themeFillTint="66"/>
          </w:tcPr>
          <w:p w14:paraId="0C3EDAA4" w14:textId="4DF99895"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Primary health care type/ Study setting</w:t>
            </w:r>
          </w:p>
        </w:tc>
        <w:tc>
          <w:tcPr>
            <w:tcW w:w="3916" w:type="dxa"/>
            <w:shd w:val="clear" w:color="auto" w:fill="C5E0B3" w:themeFill="accent6" w:themeFillTint="66"/>
          </w:tcPr>
          <w:p w14:paraId="7531E73A" w14:textId="4872DCBD"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Contextual barriers </w:t>
            </w:r>
          </w:p>
        </w:tc>
        <w:tc>
          <w:tcPr>
            <w:tcW w:w="4267" w:type="dxa"/>
            <w:shd w:val="clear" w:color="auto" w:fill="C5E0B3" w:themeFill="accent6" w:themeFillTint="66"/>
          </w:tcPr>
          <w:p w14:paraId="3166C7C9" w14:textId="2F5C1CDB"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Contextual facilitators </w:t>
            </w:r>
          </w:p>
        </w:tc>
      </w:tr>
      <w:tr w:rsidR="00E87FCA" w:rsidRPr="005D2F6C" w14:paraId="470CA36D" w14:textId="23EA409C" w:rsidTr="00E87FCA">
        <w:tc>
          <w:tcPr>
            <w:tcW w:w="1350" w:type="dxa"/>
          </w:tcPr>
          <w:p w14:paraId="239BFA9E" w14:textId="43AC1E2C"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1</w:t>
            </w:r>
          </w:p>
        </w:tc>
        <w:tc>
          <w:tcPr>
            <w:tcW w:w="1594" w:type="dxa"/>
          </w:tcPr>
          <w:p w14:paraId="2A04848B" w14:textId="7F63680F"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2019, Liaw</w:t>
            </w:r>
          </w:p>
        </w:tc>
        <w:tc>
          <w:tcPr>
            <w:tcW w:w="1520" w:type="dxa"/>
          </w:tcPr>
          <w:p w14:paraId="44F2F15F" w14:textId="796C867C"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Mixed method RCT</w:t>
            </w:r>
          </w:p>
        </w:tc>
        <w:tc>
          <w:tcPr>
            <w:tcW w:w="1301" w:type="dxa"/>
          </w:tcPr>
          <w:p w14:paraId="3722A47A" w14:textId="3B60B3E1"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56 General practices </w:t>
            </w:r>
          </w:p>
        </w:tc>
        <w:tc>
          <w:tcPr>
            <w:tcW w:w="3916" w:type="dxa"/>
          </w:tcPr>
          <w:p w14:paraId="04B02737" w14:textId="4ABD4389"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High turnover of staff in general practices and Medicare Locals/PHN that influenced the fidelity. </w:t>
            </w:r>
          </w:p>
          <w:p w14:paraId="26122926" w14:textId="3185B0AC"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Limited time frame to assess the effectiveness of the culture respect program</w:t>
            </w:r>
          </w:p>
        </w:tc>
        <w:tc>
          <w:tcPr>
            <w:tcW w:w="4267" w:type="dxa"/>
          </w:tcPr>
          <w:p w14:paraId="60377ECD" w14:textId="1EB45716"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Collaborative approach in co-designing, implementing, and evaluating. </w:t>
            </w:r>
          </w:p>
          <w:p w14:paraId="6CBD6EF8" w14:textId="6E464103"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Culture Respect program helped to understand addressing the needs and priorities of general practice and Indigenous communities </w:t>
            </w:r>
          </w:p>
        </w:tc>
      </w:tr>
      <w:tr w:rsidR="00E87FCA" w:rsidRPr="005D2F6C" w14:paraId="7EE75E6C" w14:textId="1FA7B8EF" w:rsidTr="00E87FCA">
        <w:tc>
          <w:tcPr>
            <w:tcW w:w="1350" w:type="dxa"/>
          </w:tcPr>
          <w:p w14:paraId="6C24AD09" w14:textId="3D0E599F"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2</w:t>
            </w:r>
          </w:p>
        </w:tc>
        <w:tc>
          <w:tcPr>
            <w:tcW w:w="1594" w:type="dxa"/>
          </w:tcPr>
          <w:p w14:paraId="3C0B9FB4" w14:textId="4140C079"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2018, Harris</w:t>
            </w:r>
          </w:p>
          <w:p w14:paraId="4AE674E6" w14:textId="01F3AFC5" w:rsidR="00E87FCA" w:rsidRPr="005D2F6C" w:rsidRDefault="00E87FCA" w:rsidP="0041792C">
            <w:pPr>
              <w:jc w:val="both"/>
              <w:rPr>
                <w:rFonts w:cstheme="minorHAnsi"/>
                <w:color w:val="000000" w:themeColor="text1"/>
                <w:sz w:val="20"/>
                <w:szCs w:val="20"/>
              </w:rPr>
            </w:pPr>
          </w:p>
        </w:tc>
        <w:tc>
          <w:tcPr>
            <w:tcW w:w="1520" w:type="dxa"/>
          </w:tcPr>
          <w:p w14:paraId="7F017FB5" w14:textId="3BAB7D51"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Implementation research </w:t>
            </w:r>
          </w:p>
        </w:tc>
        <w:tc>
          <w:tcPr>
            <w:tcW w:w="1301" w:type="dxa"/>
          </w:tcPr>
          <w:p w14:paraId="778D32EB" w14:textId="276C7FD8"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ACCHS/QLD</w:t>
            </w:r>
          </w:p>
        </w:tc>
        <w:tc>
          <w:tcPr>
            <w:tcW w:w="3916" w:type="dxa"/>
          </w:tcPr>
          <w:p w14:paraId="24F7582F" w14:textId="16A4C6AE" w:rsidR="00E87FCA" w:rsidRPr="006367C8" w:rsidRDefault="00E87FCA" w:rsidP="00EF1128">
            <w:pPr>
              <w:pStyle w:val="ListParagraph"/>
              <w:numPr>
                <w:ilvl w:val="0"/>
                <w:numId w:val="22"/>
              </w:numPr>
              <w:jc w:val="both"/>
              <w:rPr>
                <w:rFonts w:cstheme="minorHAnsi"/>
                <w:color w:val="000000" w:themeColor="text1"/>
                <w:sz w:val="20"/>
                <w:szCs w:val="20"/>
                <w:highlight w:val="yellow"/>
              </w:rPr>
            </w:pPr>
            <w:r w:rsidRPr="006367C8">
              <w:rPr>
                <w:rFonts w:cstheme="minorHAnsi"/>
                <w:color w:val="000000" w:themeColor="text1"/>
                <w:sz w:val="20"/>
                <w:szCs w:val="20"/>
                <w:highlight w:val="yellow"/>
              </w:rPr>
              <w:t>Staff had limited information and preparation for the promotion of HCs.</w:t>
            </w:r>
          </w:p>
          <w:p w14:paraId="66802396" w14:textId="66ACF2FF"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Presence of too many unfamiliar faces onsite (Strange faces can be off-putting) made the participants feel overwhelmed.</w:t>
            </w:r>
          </w:p>
          <w:p w14:paraId="136D674E" w14:textId="78B1403C"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Negative feedback on Facebook disengaged youths in attending HC clinic.</w:t>
            </w:r>
          </w:p>
          <w:p w14:paraId="3B98D79E" w14:textId="111CC6BD"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The design of health checks for young people must </w:t>
            </w:r>
            <w:proofErr w:type="gramStart"/>
            <w:r w:rsidRPr="005D2F6C">
              <w:rPr>
                <w:rFonts w:cstheme="minorHAnsi"/>
                <w:color w:val="000000" w:themeColor="text1"/>
                <w:sz w:val="20"/>
                <w:szCs w:val="20"/>
              </w:rPr>
              <w:t>take into account</w:t>
            </w:r>
            <w:proofErr w:type="gramEnd"/>
            <w:r w:rsidRPr="005D2F6C">
              <w:rPr>
                <w:rFonts w:cstheme="minorHAnsi"/>
                <w:color w:val="000000" w:themeColor="text1"/>
                <w:sz w:val="20"/>
                <w:szCs w:val="20"/>
              </w:rPr>
              <w:t xml:space="preserve"> the negative effect that comes from increasing responder burden (that increasing the amount of information collected in checks is beneficial for clinical practice but can act as a barrier for patients as more effort/time is required to complete)"</w:t>
            </w:r>
          </w:p>
        </w:tc>
        <w:tc>
          <w:tcPr>
            <w:tcW w:w="4267" w:type="dxa"/>
          </w:tcPr>
          <w:p w14:paraId="4D9EC945" w14:textId="10FBF26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Delivering health checks through ACCHS with local staff allows a sense of ownership and local accountability.</w:t>
            </w:r>
          </w:p>
          <w:p w14:paraId="704C759C" w14:textId="25446DB1" w:rsidR="00E87FCA" w:rsidRPr="005D2F6C" w:rsidRDefault="00E87FCA" w:rsidP="00EF1128">
            <w:pPr>
              <w:pStyle w:val="ListParagraph"/>
              <w:numPr>
                <w:ilvl w:val="0"/>
                <w:numId w:val="22"/>
              </w:numPr>
              <w:jc w:val="both"/>
              <w:rPr>
                <w:rFonts w:cstheme="minorHAnsi"/>
                <w:color w:val="000000" w:themeColor="text1"/>
                <w:sz w:val="20"/>
                <w:szCs w:val="20"/>
              </w:rPr>
            </w:pPr>
            <w:r w:rsidRPr="006367C8">
              <w:rPr>
                <w:rFonts w:cstheme="minorHAnsi"/>
                <w:color w:val="000000" w:themeColor="text1"/>
                <w:sz w:val="20"/>
                <w:szCs w:val="20"/>
                <w:highlight w:val="yellow"/>
              </w:rPr>
              <w:t>a platform and structure for staff to ask sensitive questions, facilitate follow-up of people identified as high risk and enhance communication</w:t>
            </w:r>
            <w:r w:rsidRPr="005D2F6C">
              <w:rPr>
                <w:rFonts w:cstheme="minorHAnsi"/>
                <w:color w:val="000000" w:themeColor="text1"/>
                <w:sz w:val="20"/>
                <w:szCs w:val="20"/>
              </w:rPr>
              <w:t>.</w:t>
            </w:r>
          </w:p>
          <w:p w14:paraId="1D4AB8A2" w14:textId="628854D1"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Social media, a powerful tool in health promotion with real-time feedback.</w:t>
            </w:r>
          </w:p>
          <w:p w14:paraId="728EB856" w14:textId="5C6E3D58"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Straightforward (non-confronting) HCs.</w:t>
            </w:r>
          </w:p>
          <w:p w14:paraId="22B6AFB7" w14:textId="751C8C99"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Assessments are done by local health workers. </w:t>
            </w:r>
          </w:p>
          <w:p w14:paraId="006E79D3" w14:textId="51F40BC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Social and Emotional Well-being support for families and individuals in distress</w:t>
            </w:r>
          </w:p>
        </w:tc>
      </w:tr>
      <w:tr w:rsidR="00E87FCA" w:rsidRPr="005D2F6C" w14:paraId="13496B99" w14:textId="535BAC7F" w:rsidTr="00E87FCA">
        <w:tc>
          <w:tcPr>
            <w:tcW w:w="1350" w:type="dxa"/>
          </w:tcPr>
          <w:p w14:paraId="0C1F26CE" w14:textId="6A910838"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3</w:t>
            </w:r>
          </w:p>
        </w:tc>
        <w:tc>
          <w:tcPr>
            <w:tcW w:w="1594" w:type="dxa"/>
          </w:tcPr>
          <w:p w14:paraId="53331205" w14:textId="33778B13"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2017, Spurling </w:t>
            </w:r>
          </w:p>
          <w:p w14:paraId="0D1E5B96" w14:textId="7CAAD6D4" w:rsidR="00E87FCA" w:rsidRPr="005D2F6C" w:rsidRDefault="00E87FCA" w:rsidP="0041792C">
            <w:pPr>
              <w:jc w:val="both"/>
              <w:rPr>
                <w:rFonts w:cstheme="minorHAnsi"/>
                <w:color w:val="000000" w:themeColor="text1"/>
                <w:sz w:val="20"/>
                <w:szCs w:val="20"/>
              </w:rPr>
            </w:pPr>
          </w:p>
        </w:tc>
        <w:tc>
          <w:tcPr>
            <w:tcW w:w="1520" w:type="dxa"/>
          </w:tcPr>
          <w:p w14:paraId="48DA1CB7" w14:textId="396DDE8B"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Qualitative study </w:t>
            </w:r>
          </w:p>
        </w:tc>
        <w:tc>
          <w:tcPr>
            <w:tcW w:w="1301" w:type="dxa"/>
          </w:tcPr>
          <w:p w14:paraId="728C814D" w14:textId="7240F474"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Inala health services </w:t>
            </w:r>
            <w:r w:rsidRPr="005D2F6C">
              <w:rPr>
                <w:rFonts w:cstheme="minorHAnsi"/>
                <w:color w:val="000000" w:themeColor="text1"/>
                <w:sz w:val="20"/>
                <w:szCs w:val="20"/>
                <w:highlight w:val="yellow"/>
              </w:rPr>
              <w:t>(</w:t>
            </w:r>
            <w:r w:rsidR="00B24B04">
              <w:rPr>
                <w:rFonts w:cstheme="minorHAnsi"/>
                <w:color w:val="000000" w:themeColor="text1"/>
                <w:sz w:val="20"/>
                <w:szCs w:val="20"/>
                <w:highlight w:val="yellow"/>
              </w:rPr>
              <w:t>Non</w:t>
            </w:r>
            <w:r w:rsidRPr="005D2F6C">
              <w:rPr>
                <w:rFonts w:cstheme="minorHAnsi"/>
                <w:color w:val="000000" w:themeColor="text1"/>
                <w:sz w:val="20"/>
                <w:szCs w:val="20"/>
                <w:highlight w:val="yellow"/>
              </w:rPr>
              <w:t>)</w:t>
            </w:r>
            <w:r w:rsidRPr="005D2F6C">
              <w:rPr>
                <w:rFonts w:cstheme="minorHAnsi"/>
                <w:color w:val="000000" w:themeColor="text1"/>
                <w:sz w:val="20"/>
                <w:szCs w:val="20"/>
              </w:rPr>
              <w:t>/QLD</w:t>
            </w:r>
          </w:p>
        </w:tc>
        <w:tc>
          <w:tcPr>
            <w:tcW w:w="3916" w:type="dxa"/>
          </w:tcPr>
          <w:p w14:paraId="5E2F5EBA" w14:textId="6470FB08"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Disempowering and traumatic experiences of institutional racism with social services and the police impact trust in the Health System</w:t>
            </w:r>
          </w:p>
          <w:p w14:paraId="52CC0BF4" w14:textId="321CF5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CA15A9">
              <w:rPr>
                <w:rFonts w:cstheme="minorHAnsi"/>
                <w:color w:val="000000" w:themeColor="text1"/>
                <w:sz w:val="20"/>
                <w:szCs w:val="20"/>
                <w:highlight w:val="yellow"/>
                <w:shd w:val="clear" w:color="auto" w:fill="FFFFFF"/>
              </w:rPr>
              <w:t>Feeling shame to go to the doctor</w:t>
            </w:r>
            <w:r w:rsidRPr="005D2F6C">
              <w:rPr>
                <w:rFonts w:cstheme="minorHAnsi"/>
                <w:color w:val="000000" w:themeColor="text1"/>
                <w:sz w:val="20"/>
                <w:szCs w:val="20"/>
                <w:shd w:val="clear" w:color="auto" w:fill="FFFFFF"/>
              </w:rPr>
              <w:t>.</w:t>
            </w:r>
          </w:p>
          <w:p w14:paraId="38F923A3" w14:textId="7BAD0361"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Time-consuming nature of HCs.</w:t>
            </w:r>
          </w:p>
          <w:p w14:paraId="47CD99C2" w14:textId="6C9E1E3C"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lastRenderedPageBreak/>
              <w:t>Health assessment based on the biomedical model of health.</w:t>
            </w:r>
          </w:p>
          <w:p w14:paraId="502C3E3F" w14:textId="6B53D250"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HCs content is superficial and did not get to the heart of people's problems.</w:t>
            </w:r>
          </w:p>
          <w:p w14:paraId="42A1814D" w14:textId="1C01AA2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Lack of social referrals (support community to navigate challenging elements such as education, employment, housing, grief, etc)</w:t>
            </w:r>
          </w:p>
          <w:p w14:paraId="60D32FDD" w14:textId="68FFA182" w:rsidR="00E87FCA" w:rsidRPr="005D2F6C" w:rsidRDefault="00E87FCA" w:rsidP="00EF1128">
            <w:pPr>
              <w:pStyle w:val="ListParagraph"/>
              <w:numPr>
                <w:ilvl w:val="0"/>
                <w:numId w:val="22"/>
              </w:numPr>
              <w:spacing w:after="160" w:line="259" w:lineRule="auto"/>
              <w:jc w:val="both"/>
              <w:rPr>
                <w:rFonts w:cstheme="minorHAnsi"/>
                <w:color w:val="000000" w:themeColor="text1"/>
                <w:sz w:val="20"/>
                <w:szCs w:val="20"/>
              </w:rPr>
            </w:pPr>
            <w:r w:rsidRPr="005D2F6C">
              <w:rPr>
                <w:rFonts w:cstheme="minorHAnsi"/>
                <w:color w:val="000000" w:themeColor="text1"/>
                <w:sz w:val="20"/>
                <w:szCs w:val="20"/>
              </w:rPr>
              <w:t xml:space="preserve">Holistic HCs (including mental health+ and social world central to health) rather than biomedical. </w:t>
            </w:r>
          </w:p>
          <w:p w14:paraId="0FCD0DD3" w14:textId="31E3DB22" w:rsidR="00E87FCA" w:rsidRPr="005D2F6C" w:rsidRDefault="00E87FCA" w:rsidP="004E722E">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Value the community’s authoritative knowledge (of parents, family members, and positive peer groups)</w:t>
            </w:r>
          </w:p>
          <w:p w14:paraId="127C8CA8" w14:textId="5F3DCC4B" w:rsidR="00E87FCA" w:rsidRPr="005D2F6C" w:rsidRDefault="00E87FCA" w:rsidP="005D2F6C">
            <w:pPr>
              <w:jc w:val="both"/>
              <w:rPr>
                <w:rFonts w:cstheme="minorHAnsi"/>
                <w:color w:val="000000" w:themeColor="text1"/>
                <w:sz w:val="20"/>
                <w:szCs w:val="20"/>
              </w:rPr>
            </w:pPr>
          </w:p>
        </w:tc>
        <w:tc>
          <w:tcPr>
            <w:tcW w:w="4267" w:type="dxa"/>
          </w:tcPr>
          <w:p w14:paraId="2B2D0900"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lastRenderedPageBreak/>
              <w:t>well-known doctor at this service.</w:t>
            </w:r>
          </w:p>
          <w:p w14:paraId="38D83961"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 Trusted services </w:t>
            </w:r>
          </w:p>
          <w:p w14:paraId="6F8C5A1E" w14:textId="09AD9F54"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Service was seen as a component of the</w:t>
            </w:r>
          </w:p>
          <w:p w14:paraId="7EF5580E" w14:textId="766A26D5"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community’s well-being and self-esteem.</w:t>
            </w:r>
          </w:p>
        </w:tc>
      </w:tr>
      <w:tr w:rsidR="00E87FCA" w:rsidRPr="005D2F6C" w14:paraId="6DF1182D" w14:textId="2AE78156" w:rsidTr="00E87FCA">
        <w:tc>
          <w:tcPr>
            <w:tcW w:w="1350" w:type="dxa"/>
          </w:tcPr>
          <w:p w14:paraId="31D488F1" w14:textId="58F535EB"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4</w:t>
            </w:r>
          </w:p>
        </w:tc>
        <w:tc>
          <w:tcPr>
            <w:tcW w:w="1594" w:type="dxa"/>
          </w:tcPr>
          <w:p w14:paraId="63F59012" w14:textId="77B9E6B4"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2015, Reeves</w:t>
            </w:r>
          </w:p>
          <w:p w14:paraId="02B1938B" w14:textId="4100810C" w:rsidR="00E87FCA" w:rsidRPr="005D2F6C" w:rsidRDefault="00E87FCA" w:rsidP="0041792C">
            <w:pPr>
              <w:jc w:val="both"/>
              <w:rPr>
                <w:rFonts w:cstheme="minorHAnsi"/>
                <w:color w:val="000000" w:themeColor="text1"/>
                <w:sz w:val="20"/>
                <w:szCs w:val="20"/>
              </w:rPr>
            </w:pPr>
          </w:p>
        </w:tc>
        <w:tc>
          <w:tcPr>
            <w:tcW w:w="1520" w:type="dxa"/>
          </w:tcPr>
          <w:p w14:paraId="5471B73A" w14:textId="11A807DD"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Cross-sectional retrospective evaluation </w:t>
            </w:r>
          </w:p>
        </w:tc>
        <w:tc>
          <w:tcPr>
            <w:tcW w:w="1301" w:type="dxa"/>
          </w:tcPr>
          <w:p w14:paraId="298EFF9E" w14:textId="622D4A8A"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Fitzroy valley health </w:t>
            </w:r>
            <w:r w:rsidRPr="005D2F6C">
              <w:rPr>
                <w:rFonts w:cstheme="minorHAnsi"/>
                <w:color w:val="000000" w:themeColor="text1"/>
                <w:sz w:val="20"/>
                <w:szCs w:val="20"/>
                <w:highlight w:val="yellow"/>
              </w:rPr>
              <w:t>services</w:t>
            </w:r>
            <w:r w:rsidR="004F641E">
              <w:rPr>
                <w:rFonts w:cstheme="minorHAnsi"/>
                <w:color w:val="000000" w:themeColor="text1"/>
                <w:sz w:val="20"/>
                <w:szCs w:val="20"/>
              </w:rPr>
              <w:t>(“ACCHO)</w:t>
            </w:r>
          </w:p>
        </w:tc>
        <w:tc>
          <w:tcPr>
            <w:tcW w:w="3916" w:type="dxa"/>
          </w:tcPr>
          <w:p w14:paraId="4411408D" w14:textId="59191471"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Poor access to primary healthcare </w:t>
            </w:r>
          </w:p>
          <w:p w14:paraId="0CDAC99D" w14:textId="0C81CED6"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workforce shortage in remote areas</w:t>
            </w:r>
          </w:p>
          <w:p w14:paraId="4F9991AE" w14:textId="0B4C6315"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Remoteness of services </w:t>
            </w:r>
          </w:p>
        </w:tc>
        <w:tc>
          <w:tcPr>
            <w:tcW w:w="4267" w:type="dxa"/>
          </w:tcPr>
          <w:p w14:paraId="6623644E" w14:textId="1CFE8DCE"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Strong community leadership and governance structure for allocating funding, sharing a single electronic medical record, and delineating areas of responsibility.</w:t>
            </w:r>
          </w:p>
          <w:p w14:paraId="4F757AD3" w14:textId="477AB7D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Population health programs focusing on prevention and early intervention and community advocacy around risk factors including alcohol restrictions. </w:t>
            </w:r>
          </w:p>
          <w:p w14:paraId="08B1FC4A" w14:textId="04D1E3BF"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Delegation of roles </w:t>
            </w:r>
          </w:p>
          <w:p w14:paraId="7AA74BAA" w14:textId="5495674E"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Culturally appropriate and respectful services. </w:t>
            </w:r>
          </w:p>
          <w:p w14:paraId="4B12A3A3" w14:textId="66CF83CF"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Providing avenues for feedback and responding effectively</w:t>
            </w:r>
          </w:p>
          <w:p w14:paraId="2CEC7641" w14:textId="147EB4E3"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funding for improvements in practice and PHC service delivery. </w:t>
            </w:r>
          </w:p>
          <w:p w14:paraId="24103765" w14:textId="4F1A487C"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partnership drove the change.</w:t>
            </w:r>
          </w:p>
          <w:p w14:paraId="50E49875"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Commonwealth and state government funding</w:t>
            </w:r>
          </w:p>
          <w:p w14:paraId="480B1DC1" w14:textId="7E1B151A"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lastRenderedPageBreak/>
              <w:t>increased PHC activity by providing additional resources and incentives to commence adult Indigenous health checks.</w:t>
            </w:r>
          </w:p>
          <w:p w14:paraId="45CBB22D" w14:textId="1A00B39F"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increased employment of Aboriginal staff and cultural training for all staff</w:t>
            </w:r>
          </w:p>
          <w:p w14:paraId="327F41F7" w14:textId="25D0133F"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provision of transport to assist.</w:t>
            </w:r>
          </w:p>
          <w:p w14:paraId="5915B40D"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patients to attend appointments and a less structured approach to appointments which enabled patients to attend when it was more convenient.</w:t>
            </w:r>
          </w:p>
          <w:p w14:paraId="0E59918B" w14:textId="4B3B2904"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Traditional healers were available upon request of patients</w:t>
            </w:r>
          </w:p>
        </w:tc>
      </w:tr>
      <w:tr w:rsidR="00E87FCA" w:rsidRPr="005D2F6C" w14:paraId="4E222F4D" w14:textId="21A0EEE6" w:rsidTr="00E87FCA">
        <w:tc>
          <w:tcPr>
            <w:tcW w:w="1350" w:type="dxa"/>
          </w:tcPr>
          <w:p w14:paraId="4B009EA3" w14:textId="52224F96"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lastRenderedPageBreak/>
              <w:t>5</w:t>
            </w:r>
          </w:p>
        </w:tc>
        <w:tc>
          <w:tcPr>
            <w:tcW w:w="1594" w:type="dxa"/>
          </w:tcPr>
          <w:p w14:paraId="55397700" w14:textId="652EAF1B"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2016, Dutton </w:t>
            </w:r>
          </w:p>
        </w:tc>
        <w:tc>
          <w:tcPr>
            <w:tcW w:w="1520" w:type="dxa"/>
          </w:tcPr>
          <w:p w14:paraId="765515CB" w14:textId="4E729F44" w:rsidR="00E87FCA" w:rsidRPr="005D2F6C" w:rsidRDefault="00E87FCA" w:rsidP="0041792C">
            <w:pPr>
              <w:jc w:val="both"/>
              <w:rPr>
                <w:rFonts w:cstheme="minorHAnsi"/>
                <w:color w:val="000000" w:themeColor="text1"/>
                <w:sz w:val="20"/>
                <w:szCs w:val="20"/>
              </w:rPr>
            </w:pPr>
            <w:r w:rsidRPr="005D2F6C">
              <w:rPr>
                <w:rFonts w:cstheme="minorHAnsi"/>
                <w:color w:val="1F1F1F"/>
                <w:sz w:val="20"/>
                <w:szCs w:val="20"/>
                <w:shd w:val="clear" w:color="auto" w:fill="FFFFFF"/>
              </w:rPr>
              <w:t xml:space="preserve">Retrospective audit of </w:t>
            </w:r>
            <w:r w:rsidR="004F641E">
              <w:rPr>
                <w:rFonts w:cstheme="minorHAnsi"/>
                <w:color w:val="1F1F1F"/>
                <w:sz w:val="20"/>
                <w:szCs w:val="20"/>
                <w:shd w:val="clear" w:color="auto" w:fill="FFFFFF"/>
              </w:rPr>
              <w:t>clinical</w:t>
            </w:r>
            <w:r w:rsidRPr="005D2F6C">
              <w:rPr>
                <w:rFonts w:cstheme="minorHAnsi"/>
                <w:color w:val="1F1F1F"/>
                <w:sz w:val="20"/>
                <w:szCs w:val="20"/>
                <w:shd w:val="clear" w:color="auto" w:fill="FFFFFF"/>
              </w:rPr>
              <w:t xml:space="preserve"> records</w:t>
            </w:r>
          </w:p>
        </w:tc>
        <w:tc>
          <w:tcPr>
            <w:tcW w:w="1301" w:type="dxa"/>
          </w:tcPr>
          <w:p w14:paraId="3931FF76" w14:textId="4DEFEEE5" w:rsidR="00E87FCA" w:rsidRPr="005D2F6C" w:rsidRDefault="00E87FCA" w:rsidP="0041792C">
            <w:pPr>
              <w:jc w:val="both"/>
              <w:rPr>
                <w:rFonts w:cstheme="minorHAnsi"/>
                <w:color w:val="000000" w:themeColor="text1"/>
                <w:sz w:val="20"/>
                <w:szCs w:val="20"/>
              </w:rPr>
            </w:pPr>
            <w:r w:rsidRPr="003A42E2">
              <w:rPr>
                <w:rFonts w:cstheme="minorHAnsi"/>
                <w:color w:val="1F1F1F"/>
                <w:sz w:val="20"/>
                <w:szCs w:val="20"/>
                <w:highlight w:val="yellow"/>
                <w:shd w:val="clear" w:color="auto" w:fill="FFFFFF"/>
              </w:rPr>
              <w:t>Orange Aboriginal Medical Service/NSW</w:t>
            </w:r>
          </w:p>
        </w:tc>
        <w:tc>
          <w:tcPr>
            <w:tcW w:w="3916" w:type="dxa"/>
          </w:tcPr>
          <w:p w14:paraId="14A25752" w14:textId="2DDFE563" w:rsidR="00E87FCA" w:rsidRPr="005D2F6C" w:rsidRDefault="00E87FCA" w:rsidP="007B7643">
            <w:pPr>
              <w:pStyle w:val="ListParagraph"/>
              <w:numPr>
                <w:ilvl w:val="0"/>
                <w:numId w:val="26"/>
              </w:numPr>
              <w:jc w:val="both"/>
              <w:rPr>
                <w:rFonts w:cstheme="minorHAnsi"/>
                <w:color w:val="000000" w:themeColor="text1"/>
                <w:sz w:val="20"/>
                <w:szCs w:val="20"/>
              </w:rPr>
            </w:pPr>
            <w:r w:rsidRPr="005D2F6C">
              <w:rPr>
                <w:rFonts w:cstheme="minorHAnsi"/>
                <w:color w:val="000000" w:themeColor="text1"/>
                <w:sz w:val="20"/>
                <w:szCs w:val="20"/>
              </w:rPr>
              <w:t xml:space="preserve">Under-identification or under-reporting </w:t>
            </w:r>
          </w:p>
          <w:p w14:paraId="024B26C2" w14:textId="3994CD17" w:rsidR="00E87FCA" w:rsidRPr="005D2F6C" w:rsidRDefault="00E87FCA" w:rsidP="007B7643">
            <w:pPr>
              <w:pStyle w:val="ListParagraph"/>
              <w:numPr>
                <w:ilvl w:val="0"/>
                <w:numId w:val="26"/>
              </w:numPr>
              <w:jc w:val="both"/>
              <w:rPr>
                <w:rFonts w:cstheme="minorHAnsi"/>
                <w:color w:val="000000" w:themeColor="text1"/>
                <w:sz w:val="20"/>
                <w:szCs w:val="20"/>
              </w:rPr>
            </w:pPr>
            <w:r w:rsidRPr="005D2F6C">
              <w:rPr>
                <w:rFonts w:cstheme="minorHAnsi"/>
                <w:color w:val="000000" w:themeColor="text1"/>
                <w:sz w:val="20"/>
                <w:szCs w:val="20"/>
              </w:rPr>
              <w:t>Turnover of GPs and system changes resulting in inconsistencies in identifying,</w:t>
            </w:r>
          </w:p>
          <w:p w14:paraId="1F8ECE99" w14:textId="32B482A3" w:rsidR="00E87FCA" w:rsidRPr="005D2F6C" w:rsidRDefault="00E87FCA" w:rsidP="007B7643">
            <w:pPr>
              <w:pStyle w:val="ListParagraph"/>
              <w:numPr>
                <w:ilvl w:val="0"/>
                <w:numId w:val="26"/>
              </w:numPr>
              <w:jc w:val="both"/>
              <w:rPr>
                <w:rFonts w:cstheme="minorHAnsi"/>
                <w:color w:val="000000" w:themeColor="text1"/>
                <w:sz w:val="20"/>
                <w:szCs w:val="20"/>
              </w:rPr>
            </w:pPr>
            <w:r w:rsidRPr="005D2F6C">
              <w:rPr>
                <w:rFonts w:cstheme="minorHAnsi"/>
                <w:color w:val="000000" w:themeColor="text1"/>
                <w:sz w:val="20"/>
                <w:szCs w:val="20"/>
              </w:rPr>
              <w:t>Reporting, referrals, and following up on health issues.</w:t>
            </w:r>
          </w:p>
          <w:p w14:paraId="21E689B6" w14:textId="7CF16095" w:rsidR="00E87FCA" w:rsidRPr="005D2F6C" w:rsidRDefault="00E87FCA" w:rsidP="007B7643">
            <w:pPr>
              <w:pStyle w:val="ListParagraph"/>
              <w:numPr>
                <w:ilvl w:val="0"/>
                <w:numId w:val="26"/>
              </w:numPr>
              <w:jc w:val="both"/>
              <w:rPr>
                <w:rFonts w:cstheme="minorHAnsi"/>
                <w:color w:val="000000" w:themeColor="text1"/>
                <w:sz w:val="20"/>
                <w:szCs w:val="20"/>
              </w:rPr>
            </w:pPr>
            <w:r w:rsidRPr="005D2F6C">
              <w:rPr>
                <w:rFonts w:cstheme="minorHAnsi"/>
                <w:color w:val="000000" w:themeColor="text1"/>
                <w:sz w:val="20"/>
                <w:szCs w:val="20"/>
              </w:rPr>
              <w:t xml:space="preserve">Some referrals may incur some out-of-pocket expense for the client. </w:t>
            </w:r>
          </w:p>
          <w:p w14:paraId="66B87A13" w14:textId="1F6BA691" w:rsidR="00E87FCA" w:rsidRPr="005D2F6C" w:rsidRDefault="00E87FCA" w:rsidP="0041792C">
            <w:pPr>
              <w:jc w:val="both"/>
              <w:rPr>
                <w:rFonts w:cstheme="minorHAnsi"/>
                <w:color w:val="000000" w:themeColor="text1"/>
                <w:sz w:val="20"/>
                <w:szCs w:val="20"/>
              </w:rPr>
            </w:pPr>
          </w:p>
        </w:tc>
        <w:tc>
          <w:tcPr>
            <w:tcW w:w="4267" w:type="dxa"/>
          </w:tcPr>
          <w:p w14:paraId="35F9A4C7" w14:textId="14EE00B2"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N</w:t>
            </w:r>
            <w:r>
              <w:rPr>
                <w:rFonts w:cstheme="minorHAnsi"/>
                <w:color w:val="000000" w:themeColor="text1"/>
                <w:sz w:val="20"/>
                <w:szCs w:val="20"/>
              </w:rPr>
              <w:t>A</w:t>
            </w:r>
          </w:p>
        </w:tc>
      </w:tr>
      <w:tr w:rsidR="00E87FCA" w:rsidRPr="005D2F6C" w14:paraId="0849E315" w14:textId="285B4AE5" w:rsidTr="00E87FCA">
        <w:tc>
          <w:tcPr>
            <w:tcW w:w="1350" w:type="dxa"/>
          </w:tcPr>
          <w:p w14:paraId="248C204E" w14:textId="095417D2"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6</w:t>
            </w:r>
          </w:p>
        </w:tc>
        <w:tc>
          <w:tcPr>
            <w:tcW w:w="1594" w:type="dxa"/>
          </w:tcPr>
          <w:p w14:paraId="107D8A39" w14:textId="6C661DA4"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2016, Schutze</w:t>
            </w:r>
          </w:p>
        </w:tc>
        <w:tc>
          <w:tcPr>
            <w:tcW w:w="1520" w:type="dxa"/>
          </w:tcPr>
          <w:p w14:paraId="2F7B87DF" w14:textId="0A82F0E3"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Descriptive study </w:t>
            </w:r>
          </w:p>
        </w:tc>
        <w:tc>
          <w:tcPr>
            <w:tcW w:w="1301" w:type="dxa"/>
          </w:tcPr>
          <w:p w14:paraId="3118322E" w14:textId="593885CA" w:rsidR="00E87FCA" w:rsidRPr="005D2F6C" w:rsidRDefault="00E87FCA" w:rsidP="0041792C">
            <w:pPr>
              <w:jc w:val="both"/>
              <w:rPr>
                <w:rFonts w:cstheme="minorHAnsi"/>
                <w:color w:val="000000" w:themeColor="text1"/>
                <w:sz w:val="20"/>
                <w:szCs w:val="20"/>
              </w:rPr>
            </w:pPr>
            <w:r w:rsidRPr="005D2F6C">
              <w:rPr>
                <w:rFonts w:cstheme="minorHAnsi"/>
                <w:color w:val="1F1F1F"/>
                <w:sz w:val="20"/>
                <w:szCs w:val="20"/>
                <w:shd w:val="clear" w:color="auto" w:fill="FFFFFF"/>
              </w:rPr>
              <w:t>General Practices in Sydney/NSW</w:t>
            </w:r>
          </w:p>
        </w:tc>
        <w:tc>
          <w:tcPr>
            <w:tcW w:w="3916" w:type="dxa"/>
          </w:tcPr>
          <w:p w14:paraId="30EF3C00" w14:textId="723E19D4"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low rates of Indigenous status identification, </w:t>
            </w:r>
          </w:p>
          <w:p w14:paraId="25D6DECA" w14:textId="54F6DE07" w:rsidR="00E87FCA" w:rsidRPr="003B5C25" w:rsidRDefault="00E87FCA" w:rsidP="00EF1128">
            <w:pPr>
              <w:pStyle w:val="ListParagraph"/>
              <w:numPr>
                <w:ilvl w:val="0"/>
                <w:numId w:val="22"/>
              </w:numPr>
              <w:jc w:val="both"/>
              <w:rPr>
                <w:rFonts w:cstheme="minorHAnsi"/>
                <w:color w:val="000000" w:themeColor="text1"/>
                <w:sz w:val="20"/>
                <w:szCs w:val="20"/>
                <w:highlight w:val="yellow"/>
                <w:shd w:val="clear" w:color="auto" w:fill="FFFFFF"/>
              </w:rPr>
            </w:pPr>
            <w:r w:rsidRPr="003B5C25">
              <w:rPr>
                <w:rFonts w:cstheme="minorHAnsi"/>
                <w:color w:val="000000" w:themeColor="text1"/>
                <w:sz w:val="20"/>
                <w:szCs w:val="20"/>
                <w:highlight w:val="yellow"/>
                <w:shd w:val="clear" w:color="auto" w:fill="FFFFFF"/>
              </w:rPr>
              <w:t>lack of knowledge of MBS item numbers,</w:t>
            </w:r>
          </w:p>
          <w:p w14:paraId="5608BA83" w14:textId="6FF4AEC3"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lack of organisational teamwork within the practice and</w:t>
            </w:r>
          </w:p>
          <w:p w14:paraId="12514903" w14:textId="4A19868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avoidance of billing specific MBS item numbers due to fear of the claim getting rejected or the laborious nature of the MBS item number system</w:t>
            </w:r>
          </w:p>
        </w:tc>
        <w:tc>
          <w:tcPr>
            <w:tcW w:w="4267" w:type="dxa"/>
          </w:tcPr>
          <w:p w14:paraId="51550EAE" w14:textId="12BD8049"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Participants (mainly </w:t>
            </w:r>
            <w:proofErr w:type="spellStart"/>
            <w:r w:rsidRPr="005D2F6C">
              <w:rPr>
                <w:rFonts w:cstheme="minorHAnsi"/>
                <w:color w:val="000000" w:themeColor="text1"/>
                <w:sz w:val="20"/>
                <w:szCs w:val="20"/>
              </w:rPr>
              <w:t>Gps</w:t>
            </w:r>
            <w:proofErr w:type="spellEnd"/>
            <w:r w:rsidRPr="005D2F6C">
              <w:rPr>
                <w:rFonts w:cstheme="minorHAnsi"/>
                <w:color w:val="000000" w:themeColor="text1"/>
                <w:sz w:val="20"/>
                <w:szCs w:val="20"/>
              </w:rPr>
              <w:t>) noted that MBS-715 (Indigenous HCs) allowed for earlier chronic disease detection and intervention + also enabled remuneration for the additional time that GPs tended to spend with Aboriginal and Torres Strait Islander patients"</w:t>
            </w:r>
          </w:p>
        </w:tc>
      </w:tr>
      <w:tr w:rsidR="00E87FCA" w:rsidRPr="005D2F6C" w14:paraId="083CB760" w14:textId="452BA138" w:rsidTr="00E87FCA">
        <w:tc>
          <w:tcPr>
            <w:tcW w:w="1350" w:type="dxa"/>
          </w:tcPr>
          <w:p w14:paraId="516C70BA" w14:textId="7A227D19"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lastRenderedPageBreak/>
              <w:t>7</w:t>
            </w:r>
          </w:p>
        </w:tc>
        <w:tc>
          <w:tcPr>
            <w:tcW w:w="1594" w:type="dxa"/>
          </w:tcPr>
          <w:p w14:paraId="59EA66AA" w14:textId="13CD98D2"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2015, Liaw</w:t>
            </w:r>
          </w:p>
          <w:p w14:paraId="15996457" w14:textId="6123102B" w:rsidR="00E87FCA" w:rsidRPr="005D2F6C" w:rsidRDefault="00E87FCA" w:rsidP="0041792C">
            <w:pPr>
              <w:jc w:val="both"/>
              <w:rPr>
                <w:rFonts w:cstheme="minorHAnsi"/>
                <w:color w:val="000000" w:themeColor="text1"/>
                <w:sz w:val="20"/>
                <w:szCs w:val="20"/>
              </w:rPr>
            </w:pPr>
            <w:r w:rsidRPr="005D2F6C" w:rsidDel="007C64ED">
              <w:rPr>
                <w:rFonts w:cstheme="minorHAnsi"/>
                <w:color w:val="000000" w:themeColor="text1"/>
                <w:sz w:val="20"/>
                <w:szCs w:val="20"/>
              </w:rPr>
              <w:t xml:space="preserve"> </w:t>
            </w:r>
          </w:p>
        </w:tc>
        <w:tc>
          <w:tcPr>
            <w:tcW w:w="1520" w:type="dxa"/>
          </w:tcPr>
          <w:p w14:paraId="14C10F8E" w14:textId="7BFD5AB4" w:rsidR="00E87FCA" w:rsidRPr="005D2F6C" w:rsidRDefault="00E87FCA" w:rsidP="0041792C">
            <w:pPr>
              <w:jc w:val="both"/>
              <w:rPr>
                <w:rFonts w:cstheme="minorHAnsi"/>
                <w:color w:val="000000" w:themeColor="text1"/>
                <w:sz w:val="20"/>
                <w:szCs w:val="20"/>
              </w:rPr>
            </w:pPr>
            <w:proofErr w:type="gramStart"/>
            <w:r w:rsidRPr="005D2F6C">
              <w:rPr>
                <w:rFonts w:cstheme="minorHAnsi"/>
                <w:color w:val="000000" w:themeColor="text1"/>
                <w:sz w:val="20"/>
                <w:szCs w:val="20"/>
              </w:rPr>
              <w:t>Pre-post intervention</w:t>
            </w:r>
            <w:proofErr w:type="gramEnd"/>
            <w:r w:rsidRPr="005D2F6C">
              <w:rPr>
                <w:rFonts w:cstheme="minorHAnsi"/>
                <w:color w:val="000000" w:themeColor="text1"/>
                <w:sz w:val="20"/>
                <w:szCs w:val="20"/>
              </w:rPr>
              <w:t xml:space="preserve"> study </w:t>
            </w:r>
          </w:p>
        </w:tc>
        <w:tc>
          <w:tcPr>
            <w:tcW w:w="1301" w:type="dxa"/>
          </w:tcPr>
          <w:p w14:paraId="4D7E7AE0" w14:textId="68717B89"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General </w:t>
            </w:r>
            <w:proofErr w:type="gramStart"/>
            <w:r w:rsidRPr="005D2F6C">
              <w:rPr>
                <w:rFonts w:cstheme="minorHAnsi"/>
                <w:color w:val="000000" w:themeColor="text1"/>
                <w:sz w:val="20"/>
                <w:szCs w:val="20"/>
              </w:rPr>
              <w:t>practices ?</w:t>
            </w:r>
            <w:proofErr w:type="gramEnd"/>
          </w:p>
        </w:tc>
        <w:tc>
          <w:tcPr>
            <w:tcW w:w="3916" w:type="dxa"/>
          </w:tcPr>
          <w:p w14:paraId="41E479C4" w14:textId="1F2FE744" w:rsidR="00E87FCA" w:rsidRPr="005D2F6C" w:rsidRDefault="00E87FCA" w:rsidP="007B7643">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Many practice staff were still unaware of Aboriginal history, stolen generations, the assimilation policy and their negative impact on health behaviour and trust in mainstream services.</w:t>
            </w:r>
          </w:p>
        </w:tc>
        <w:tc>
          <w:tcPr>
            <w:tcW w:w="4267" w:type="dxa"/>
          </w:tcPr>
          <w:p w14:paraId="618CF304" w14:textId="12E77860" w:rsidR="00E87FCA" w:rsidRPr="005D2F6C" w:rsidRDefault="00E87FCA" w:rsidP="00D4111D">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Embedding cultural respect in practice, and clinical measures improved after implementing </w:t>
            </w:r>
            <w:proofErr w:type="spellStart"/>
            <w:proofErr w:type="gramStart"/>
            <w:r w:rsidRPr="005D2F6C">
              <w:rPr>
                <w:rFonts w:cstheme="minorHAnsi"/>
                <w:color w:val="000000" w:themeColor="text1"/>
                <w:sz w:val="20"/>
                <w:szCs w:val="20"/>
                <w:shd w:val="clear" w:color="auto" w:fill="FFFFFF"/>
              </w:rPr>
              <w:t>WoTWoD</w:t>
            </w:r>
            <w:proofErr w:type="spellEnd"/>
            <w:r w:rsidRPr="005D2F6C">
              <w:rPr>
                <w:rFonts w:cstheme="minorHAnsi"/>
                <w:color w:val="000000" w:themeColor="text1"/>
                <w:sz w:val="20"/>
                <w:szCs w:val="20"/>
                <w:shd w:val="clear" w:color="auto" w:fill="FFFFFF"/>
              </w:rPr>
              <w:t>(</w:t>
            </w:r>
            <w:proofErr w:type="gramEnd"/>
            <w:r w:rsidRPr="005D2F6C">
              <w:rPr>
                <w:rFonts w:cstheme="minorHAnsi"/>
                <w:color w:val="000000" w:themeColor="text1"/>
                <w:sz w:val="20"/>
                <w:szCs w:val="20"/>
                <w:shd w:val="clear" w:color="auto" w:fill="FFFFFF"/>
              </w:rPr>
              <w:t>‘one-stop shop’ – concise and to the point ).</w:t>
            </w:r>
          </w:p>
          <w:p w14:paraId="350E9034"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Liaising with Aboriginal organisations </w:t>
            </w:r>
          </w:p>
          <w:p w14:paraId="48FB16A3" w14:textId="0EC53BB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Identification of ethnicity with the support from culture mentors that increased their sensitivity and confidence in dealing with Aboriginal patients.</w:t>
            </w:r>
          </w:p>
          <w:p w14:paraId="2A3A4F10" w14:textId="5F645C66"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Encouraging staff to undertake Aboriginal cultural training.</w:t>
            </w:r>
          </w:p>
          <w:p w14:paraId="4E488DC6" w14:textId="4C5C57AE"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displaying Aboriginal posters, flags, etc </w:t>
            </w:r>
          </w:p>
          <w:p w14:paraId="2482FA2F" w14:textId="6544136B"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 xml:space="preserve">registering </w:t>
            </w:r>
            <w:r w:rsidRPr="005D2F6C">
              <w:rPr>
                <w:rFonts w:cstheme="minorHAnsi"/>
                <w:color w:val="000000" w:themeColor="text1"/>
                <w:sz w:val="20"/>
                <w:szCs w:val="20"/>
                <w:highlight w:val="yellow"/>
                <w:shd w:val="clear" w:color="auto" w:fill="FFFFFF"/>
              </w:rPr>
              <w:t>for Indigenous Practice Incentive Payment (PIP)</w:t>
            </w:r>
          </w:p>
          <w:p w14:paraId="4A91BC37"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Friendly services</w:t>
            </w:r>
          </w:p>
          <w:p w14:paraId="35D4AC59" w14:textId="6B86C9F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A local care partnership that nurtured a supportive environment for the participants and cultural mentors </w:t>
            </w:r>
          </w:p>
        </w:tc>
      </w:tr>
      <w:tr w:rsidR="00E87FCA" w:rsidRPr="005D2F6C" w14:paraId="76713521" w14:textId="77777777" w:rsidTr="00E87FCA">
        <w:tc>
          <w:tcPr>
            <w:tcW w:w="1350" w:type="dxa"/>
          </w:tcPr>
          <w:p w14:paraId="6B27288C" w14:textId="18260F90"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8</w:t>
            </w:r>
          </w:p>
        </w:tc>
        <w:tc>
          <w:tcPr>
            <w:tcW w:w="1594" w:type="dxa"/>
          </w:tcPr>
          <w:p w14:paraId="604FEFBB" w14:textId="405A8182"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2014, Jennings</w:t>
            </w:r>
          </w:p>
        </w:tc>
        <w:tc>
          <w:tcPr>
            <w:tcW w:w="1520" w:type="dxa"/>
          </w:tcPr>
          <w:p w14:paraId="7E4D3C59" w14:textId="3D31FA6A"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Qualitative study </w:t>
            </w:r>
          </w:p>
        </w:tc>
        <w:tc>
          <w:tcPr>
            <w:tcW w:w="1301" w:type="dxa"/>
          </w:tcPr>
          <w:p w14:paraId="741114E5" w14:textId="373F9A3B"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Inala AMS</w:t>
            </w:r>
          </w:p>
        </w:tc>
        <w:tc>
          <w:tcPr>
            <w:tcW w:w="3916" w:type="dxa"/>
          </w:tcPr>
          <w:p w14:paraId="4E122032" w14:textId="7ED7D74A"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Lack of service-wide approach or systems for conducting HCs </w:t>
            </w:r>
          </w:p>
          <w:p w14:paraId="6B58E1A8" w14:textId="0956D14B"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Low staff motivation to HCs become a routine assessment. </w:t>
            </w:r>
          </w:p>
          <w:p w14:paraId="0E50B209" w14:textId="5E39D93B"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The length of HCs+ sections of the HC perceived as difficult, sensitive, or invasive.</w:t>
            </w:r>
          </w:p>
          <w:p w14:paraId="64510E4C"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 xml:space="preserve">Long waiting time </w:t>
            </w:r>
          </w:p>
          <w:p w14:paraId="09860EA5"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lack of a clear system for conducting HCs, including a</w:t>
            </w:r>
          </w:p>
          <w:p w14:paraId="53155954" w14:textId="00FA8305" w:rsidR="00E87FCA" w:rsidRPr="005D2F6C" w:rsidRDefault="00E87FCA" w:rsidP="007F5B43">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Lack of clarity about the specific role of AHWs, doctors, and nurses with the HCs</w:t>
            </w:r>
          </w:p>
          <w:p w14:paraId="066206BE" w14:textId="3B2AA2D1"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Doctors did not always complete HCs.</w:t>
            </w:r>
          </w:p>
          <w:p w14:paraId="782B91BA" w14:textId="51789541" w:rsidR="00E87FCA" w:rsidRPr="005D2F6C" w:rsidRDefault="00E87FCA" w:rsidP="00EF1128">
            <w:pPr>
              <w:pStyle w:val="ListParagraph"/>
              <w:numPr>
                <w:ilvl w:val="0"/>
                <w:numId w:val="22"/>
              </w:numPr>
              <w:jc w:val="both"/>
              <w:rPr>
                <w:rFonts w:cstheme="minorHAnsi"/>
                <w:b/>
                <w:bCs/>
                <w:color w:val="000000" w:themeColor="text1"/>
                <w:sz w:val="20"/>
                <w:szCs w:val="20"/>
              </w:rPr>
            </w:pPr>
            <w:r w:rsidRPr="005D2F6C">
              <w:rPr>
                <w:rFonts w:cstheme="minorHAnsi"/>
                <w:color w:val="000000" w:themeColor="text1"/>
                <w:sz w:val="20"/>
                <w:szCs w:val="20"/>
              </w:rPr>
              <w:t xml:space="preserve">misconceptions about Medicare requirements that also impacted HC </w:t>
            </w:r>
            <w:r w:rsidRPr="005D2F6C">
              <w:rPr>
                <w:rFonts w:cstheme="minorHAnsi"/>
                <w:color w:val="000000" w:themeColor="text1"/>
                <w:sz w:val="20"/>
                <w:szCs w:val="20"/>
              </w:rPr>
              <w:lastRenderedPageBreak/>
              <w:t>initiation and completion, for example, believing HC could only be completed after a review of blood test results.</w:t>
            </w:r>
          </w:p>
          <w:p w14:paraId="2D26D340"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faulty communication</w:t>
            </w:r>
          </w:p>
          <w:p w14:paraId="3F2B1A44"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systems (clients had presented for HCs but this was either not identified or not communicated to the clinical staff during the waiting period)</w:t>
            </w:r>
          </w:p>
          <w:p w14:paraId="7AECB428"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Lack of confidence among staff to discuss social </w:t>
            </w:r>
            <w:proofErr w:type="gramStart"/>
            <w:r w:rsidRPr="005D2F6C">
              <w:rPr>
                <w:rFonts w:cstheme="minorHAnsi"/>
                <w:color w:val="000000" w:themeColor="text1"/>
                <w:sz w:val="20"/>
                <w:szCs w:val="20"/>
              </w:rPr>
              <w:t>issues</w:t>
            </w:r>
            <w:proofErr w:type="gramEnd"/>
          </w:p>
          <w:p w14:paraId="51184919" w14:textId="641B3D7A"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Cultural barriers existed for AHWs to discuss lifestyle components with male clients.</w:t>
            </w:r>
          </w:p>
          <w:p w14:paraId="247E0C88"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Lack of client client-</w:t>
            </w:r>
            <w:proofErr w:type="spellStart"/>
            <w:r w:rsidRPr="005D2F6C">
              <w:rPr>
                <w:rFonts w:cstheme="minorHAnsi"/>
                <w:color w:val="000000" w:themeColor="text1"/>
                <w:sz w:val="20"/>
                <w:szCs w:val="20"/>
              </w:rPr>
              <w:t>centered</w:t>
            </w:r>
            <w:proofErr w:type="spellEnd"/>
            <w:r w:rsidRPr="005D2F6C">
              <w:rPr>
                <w:rFonts w:cstheme="minorHAnsi"/>
                <w:color w:val="000000" w:themeColor="text1"/>
                <w:sz w:val="20"/>
                <w:szCs w:val="20"/>
              </w:rPr>
              <w:t xml:space="preserve"> services </w:t>
            </w:r>
          </w:p>
          <w:p w14:paraId="146FB906"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Client health literacy and knowledge of HCs</w:t>
            </w:r>
          </w:p>
          <w:p w14:paraId="02516757" w14:textId="1D19E1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Confidentiality and perceived</w:t>
            </w:r>
          </w:p>
          <w:p w14:paraId="09526DC4" w14:textId="1F595535"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concerns about the information collected reaching the government Departments of Child Safety, Social Security, or Housing.</w:t>
            </w:r>
          </w:p>
          <w:p w14:paraId="4E5B8B0E" w14:textId="73DD2A6A" w:rsidR="00E87FCA" w:rsidRPr="005D2F6C" w:rsidRDefault="00E87FCA" w:rsidP="009E4921">
            <w:pPr>
              <w:ind w:left="360"/>
              <w:jc w:val="both"/>
              <w:rPr>
                <w:rFonts w:cstheme="minorHAnsi"/>
                <w:b/>
                <w:bCs/>
                <w:color w:val="000000" w:themeColor="text1"/>
                <w:sz w:val="20"/>
                <w:szCs w:val="20"/>
              </w:rPr>
            </w:pPr>
          </w:p>
        </w:tc>
        <w:tc>
          <w:tcPr>
            <w:tcW w:w="4267" w:type="dxa"/>
          </w:tcPr>
          <w:p w14:paraId="36FBA088" w14:textId="138F92F4"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lastRenderedPageBreak/>
              <w:t xml:space="preserve">clear service-wide systems that support the conduct of </w:t>
            </w:r>
            <w:proofErr w:type="gramStart"/>
            <w:r w:rsidRPr="005D2F6C">
              <w:rPr>
                <w:rFonts w:cstheme="minorHAnsi"/>
                <w:color w:val="000000" w:themeColor="text1"/>
                <w:sz w:val="20"/>
                <w:szCs w:val="20"/>
                <w:shd w:val="clear" w:color="auto" w:fill="FFFFFF"/>
              </w:rPr>
              <w:t>HCs</w:t>
            </w:r>
            <w:proofErr w:type="gramEnd"/>
          </w:p>
          <w:p w14:paraId="2EB74165"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supportive local clinical leadership and audit and feedback systems</w:t>
            </w:r>
          </w:p>
          <w:p w14:paraId="6325C402"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Staff training with consideration of culture and roles</w:t>
            </w:r>
          </w:p>
          <w:p w14:paraId="496724CC" w14:textId="55AE227D"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Rapport building </w:t>
            </w:r>
          </w:p>
          <w:p w14:paraId="65B0DF8B" w14:textId="0646273F"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Continuous critical review of health check content to improve staff confidence and community acceptance.</w:t>
            </w:r>
          </w:p>
          <w:p w14:paraId="78297419" w14:textId="791BAECE"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dedicated team of staff and dedicated HC days</w:t>
            </w:r>
          </w:p>
          <w:p w14:paraId="2D62EE1F" w14:textId="018D7A6C"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Reminder phone calls the day before the HC appointment.</w:t>
            </w:r>
          </w:p>
          <w:p w14:paraId="110DE029"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 xml:space="preserve">Community-based health education and promotion supported by staff to </w:t>
            </w:r>
            <w:r w:rsidRPr="005D2F6C">
              <w:rPr>
                <w:rFonts w:cstheme="minorHAnsi"/>
                <w:color w:val="000000" w:themeColor="text1"/>
                <w:sz w:val="20"/>
                <w:szCs w:val="20"/>
                <w:shd w:val="clear" w:color="auto" w:fill="FFFFFF"/>
              </w:rPr>
              <w:lastRenderedPageBreak/>
              <w:t>increase client engagement, knowledge, and acceptance of the health check.</w:t>
            </w:r>
          </w:p>
          <w:p w14:paraId="248066B3" w14:textId="77777777"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 walk-in consultations and opportunistic HCs</w:t>
            </w:r>
          </w:p>
          <w:p w14:paraId="28F26749" w14:textId="4F22827D"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Outreach activities </w:t>
            </w:r>
          </w:p>
        </w:tc>
      </w:tr>
      <w:tr w:rsidR="00E87FCA" w:rsidRPr="005D2F6C" w14:paraId="1E315E43" w14:textId="77777777" w:rsidTr="00E87FCA">
        <w:tc>
          <w:tcPr>
            <w:tcW w:w="1350" w:type="dxa"/>
          </w:tcPr>
          <w:p w14:paraId="6794979A" w14:textId="072FB4F3"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lastRenderedPageBreak/>
              <w:t>9</w:t>
            </w:r>
          </w:p>
        </w:tc>
        <w:tc>
          <w:tcPr>
            <w:tcW w:w="1594" w:type="dxa"/>
          </w:tcPr>
          <w:p w14:paraId="355CB967" w14:textId="7A38940C"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2013, </w:t>
            </w:r>
            <w:proofErr w:type="spellStart"/>
            <w:r w:rsidRPr="005D2F6C">
              <w:rPr>
                <w:rFonts w:cstheme="minorHAnsi"/>
                <w:color w:val="000000" w:themeColor="text1"/>
                <w:sz w:val="20"/>
                <w:szCs w:val="20"/>
              </w:rPr>
              <w:t>Panaretto</w:t>
            </w:r>
            <w:proofErr w:type="spellEnd"/>
          </w:p>
        </w:tc>
        <w:tc>
          <w:tcPr>
            <w:tcW w:w="1520" w:type="dxa"/>
          </w:tcPr>
          <w:p w14:paraId="41417D95" w14:textId="342FD3D5"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Implementation research </w:t>
            </w:r>
          </w:p>
        </w:tc>
        <w:tc>
          <w:tcPr>
            <w:tcW w:w="1301" w:type="dxa"/>
          </w:tcPr>
          <w:p w14:paraId="087B9CD1" w14:textId="16A32CC1"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ACCHS/QLD?</w:t>
            </w:r>
          </w:p>
        </w:tc>
        <w:tc>
          <w:tcPr>
            <w:tcW w:w="3916" w:type="dxa"/>
          </w:tcPr>
          <w:p w14:paraId="12088ECC" w14:textId="77777777" w:rsidR="00E87FCA" w:rsidRPr="005D2F6C" w:rsidRDefault="00E87FCA" w:rsidP="00FE062C">
            <w:pPr>
              <w:ind w:left="360"/>
              <w:jc w:val="both"/>
              <w:rPr>
                <w:rFonts w:cstheme="minorHAnsi"/>
                <w:color w:val="000000" w:themeColor="text1"/>
                <w:sz w:val="20"/>
                <w:szCs w:val="20"/>
              </w:rPr>
            </w:pPr>
            <w:r w:rsidRPr="005D2F6C">
              <w:rPr>
                <w:rFonts w:cstheme="minorHAnsi"/>
                <w:color w:val="000000" w:themeColor="text1"/>
                <w:sz w:val="20"/>
                <w:szCs w:val="20"/>
              </w:rPr>
              <w:t>Currently, there are no well-considered standards for performance or weighting models to enable comparison while the MBS rebates provide incentives for individual (and private) between services and sectors in Australian primary healthcare.</w:t>
            </w:r>
            <w:r w:rsidRPr="005D2F6C">
              <w:rPr>
                <w:rFonts w:cstheme="minorHAnsi"/>
                <w:color w:val="000000" w:themeColor="text1"/>
                <w:sz w:val="20"/>
                <w:szCs w:val="20"/>
              </w:rPr>
              <w:br/>
            </w:r>
          </w:p>
          <w:p w14:paraId="07EF1504" w14:textId="0B0261DF" w:rsidR="00E87FCA" w:rsidRPr="005D2F6C" w:rsidRDefault="00E87FCA" w:rsidP="007F5B43">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Lack of available workforce</w:t>
            </w:r>
          </w:p>
          <w:p w14:paraId="00409230" w14:textId="7AD455AF" w:rsidR="00E87FCA" w:rsidRPr="005D2F6C" w:rsidRDefault="00E87FCA" w:rsidP="007F5B43">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Inadequate practice size and capacity</w:t>
            </w:r>
          </w:p>
          <w:p w14:paraId="56032EE1" w14:textId="7FFF1C4F" w:rsidR="00E87FCA" w:rsidRPr="005D2F6C" w:rsidRDefault="00E87FCA" w:rsidP="007F5B43">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lastRenderedPageBreak/>
              <w:t>competing time pressures for both staff and patients</w:t>
            </w:r>
          </w:p>
          <w:p w14:paraId="6BEA650B" w14:textId="5F406AC6" w:rsidR="00E87FCA" w:rsidRPr="005D2F6C" w:rsidRDefault="00E87FCA" w:rsidP="007F5B43">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Limited referral options-</w:t>
            </w:r>
          </w:p>
          <w:p w14:paraId="342EBC23" w14:textId="5F916BD6" w:rsidR="00E87FCA" w:rsidRDefault="00E87FCA" w:rsidP="007F5B43">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Lack of supportive organisational infrastructure</w:t>
            </w:r>
          </w:p>
          <w:p w14:paraId="093BAFAF" w14:textId="54B26E45" w:rsidR="00E87FCA" w:rsidRPr="005D2F6C" w:rsidRDefault="00E87FCA" w:rsidP="007F5B43">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Lack of incentives and training</w:t>
            </w:r>
            <w:r w:rsidRPr="005D2F6C">
              <w:rPr>
                <w:rFonts w:cstheme="minorHAnsi"/>
                <w:color w:val="000000" w:themeColor="text1"/>
                <w:sz w:val="20"/>
                <w:szCs w:val="20"/>
              </w:rPr>
              <w:br/>
              <w:t>(challenging to develop incentives/mechanisms to increase performance within Indigenous PHC, as services operate in very different contexts and cannot be fairly compared easily).</w:t>
            </w:r>
          </w:p>
        </w:tc>
        <w:tc>
          <w:tcPr>
            <w:tcW w:w="4267" w:type="dxa"/>
          </w:tcPr>
          <w:p w14:paraId="6503EFE5" w14:textId="33F5C559" w:rsidR="00E87FCA" w:rsidRPr="00CB30F7" w:rsidRDefault="00E87FCA" w:rsidP="00EF1128">
            <w:pPr>
              <w:pStyle w:val="ListParagraph"/>
              <w:numPr>
                <w:ilvl w:val="0"/>
                <w:numId w:val="22"/>
              </w:numPr>
              <w:jc w:val="both"/>
              <w:rPr>
                <w:rFonts w:cstheme="minorHAnsi"/>
                <w:color w:val="000000" w:themeColor="text1"/>
                <w:sz w:val="20"/>
                <w:szCs w:val="20"/>
                <w:shd w:val="clear" w:color="auto" w:fill="FFFFFF"/>
              </w:rPr>
            </w:pPr>
            <w:r w:rsidRPr="00CB30F7">
              <w:rPr>
                <w:rFonts w:cstheme="minorHAnsi"/>
                <w:color w:val="000000" w:themeColor="text1"/>
                <w:sz w:val="20"/>
                <w:szCs w:val="20"/>
                <w:shd w:val="clear" w:color="auto" w:fill="FFFFFF"/>
              </w:rPr>
              <w:lastRenderedPageBreak/>
              <w:t xml:space="preserve">Service-level strategies to improve </w:t>
            </w:r>
            <w:proofErr w:type="gramStart"/>
            <w:r w:rsidRPr="00CB30F7">
              <w:rPr>
                <w:rFonts w:cstheme="minorHAnsi"/>
                <w:color w:val="000000" w:themeColor="text1"/>
                <w:sz w:val="20"/>
                <w:szCs w:val="20"/>
                <w:shd w:val="clear" w:color="auto" w:fill="FFFFFF"/>
              </w:rPr>
              <w:t>administration</w:t>
            </w:r>
            <w:proofErr w:type="gramEnd"/>
            <w:r w:rsidRPr="00CB30F7">
              <w:rPr>
                <w:rFonts w:cstheme="minorHAnsi"/>
                <w:color w:val="000000" w:themeColor="text1"/>
                <w:sz w:val="20"/>
                <w:szCs w:val="20"/>
                <w:shd w:val="clear" w:color="auto" w:fill="FFFFFF"/>
              </w:rPr>
              <w:t xml:space="preserve"> </w:t>
            </w:r>
          </w:p>
          <w:p w14:paraId="631702F9" w14:textId="5FCF818A" w:rsidR="00E87FCA" w:rsidRPr="00A12581" w:rsidRDefault="00E87FCA" w:rsidP="00A12581">
            <w:pPr>
              <w:pStyle w:val="ListParagraph"/>
              <w:numPr>
                <w:ilvl w:val="0"/>
                <w:numId w:val="22"/>
              </w:numPr>
              <w:jc w:val="both"/>
              <w:rPr>
                <w:rFonts w:cstheme="minorHAnsi"/>
                <w:color w:val="000000" w:themeColor="text1"/>
                <w:sz w:val="20"/>
                <w:szCs w:val="20"/>
                <w:shd w:val="clear" w:color="auto" w:fill="FFFFFF"/>
              </w:rPr>
            </w:pPr>
            <w:r w:rsidRPr="00CB30F7">
              <w:rPr>
                <w:rFonts w:cstheme="minorHAnsi"/>
                <w:color w:val="000000" w:themeColor="text1"/>
                <w:sz w:val="20"/>
                <w:szCs w:val="20"/>
                <w:shd w:val="clear" w:color="auto" w:fill="FFFFFF"/>
              </w:rPr>
              <w:t xml:space="preserve">Improved communication regarding roles and scope of practice among clinicians </w:t>
            </w:r>
          </w:p>
          <w:p w14:paraId="3A8D35F1" w14:textId="1919D588" w:rsidR="00E87FCA" w:rsidRDefault="00E87FCA" w:rsidP="00EF1128">
            <w:pPr>
              <w:pStyle w:val="ListParagraph"/>
              <w:numPr>
                <w:ilvl w:val="0"/>
                <w:numId w:val="22"/>
              </w:numPr>
              <w:jc w:val="both"/>
              <w:rPr>
                <w:rFonts w:cstheme="minorHAnsi"/>
                <w:color w:val="000000" w:themeColor="text1"/>
                <w:sz w:val="20"/>
                <w:szCs w:val="20"/>
                <w:shd w:val="clear" w:color="auto" w:fill="FFFFFF"/>
              </w:rPr>
            </w:pPr>
            <w:r w:rsidRPr="00CB30F7">
              <w:rPr>
                <w:rFonts w:cstheme="minorHAnsi"/>
                <w:color w:val="000000" w:themeColor="text1"/>
                <w:sz w:val="20"/>
                <w:szCs w:val="20"/>
                <w:shd w:val="clear" w:color="auto" w:fill="FFFFFF"/>
              </w:rPr>
              <w:t xml:space="preserve">Putting in place a Community Controlled quality improvement program </w:t>
            </w:r>
            <w:r>
              <w:rPr>
                <w:rFonts w:cstheme="minorHAnsi"/>
                <w:color w:val="000000" w:themeColor="text1"/>
                <w:sz w:val="20"/>
                <w:szCs w:val="20"/>
                <w:shd w:val="clear" w:color="auto" w:fill="FFFFFF"/>
              </w:rPr>
              <w:t>may</w:t>
            </w:r>
            <w:r w:rsidRPr="00CB30F7">
              <w:rPr>
                <w:rFonts w:cstheme="minorHAnsi"/>
                <w:color w:val="000000" w:themeColor="text1"/>
                <w:sz w:val="20"/>
                <w:szCs w:val="20"/>
                <w:shd w:val="clear" w:color="auto" w:fill="FFFFFF"/>
              </w:rPr>
              <w:t xml:space="preserve"> be beneficial in improving </w:t>
            </w:r>
            <w:proofErr w:type="gramStart"/>
            <w:r w:rsidRPr="00CB30F7">
              <w:rPr>
                <w:rFonts w:cstheme="minorHAnsi"/>
                <w:color w:val="000000" w:themeColor="text1"/>
                <w:sz w:val="20"/>
                <w:szCs w:val="20"/>
                <w:shd w:val="clear" w:color="auto" w:fill="FFFFFF"/>
              </w:rPr>
              <w:t>outcomes</w:t>
            </w:r>
            <w:proofErr w:type="gramEnd"/>
          </w:p>
          <w:p w14:paraId="64E00145" w14:textId="4F33A10F" w:rsidR="00E87FCA" w:rsidRPr="00A12581" w:rsidRDefault="00E87FCA" w:rsidP="00A12581">
            <w:pPr>
              <w:pStyle w:val="ListParagraph"/>
              <w:numPr>
                <w:ilvl w:val="0"/>
                <w:numId w:val="22"/>
              </w:numPr>
              <w:jc w:val="both"/>
              <w:rPr>
                <w:rFonts w:cstheme="minorHAnsi"/>
                <w:color w:val="000000" w:themeColor="text1"/>
                <w:sz w:val="20"/>
                <w:szCs w:val="20"/>
                <w:shd w:val="clear" w:color="auto" w:fill="FFFFFF"/>
              </w:rPr>
            </w:pPr>
            <w:r w:rsidRPr="00A12581">
              <w:rPr>
                <w:rFonts w:cstheme="minorHAnsi"/>
                <w:color w:val="000000" w:themeColor="text1"/>
                <w:sz w:val="20"/>
                <w:szCs w:val="20"/>
                <w:shd w:val="clear" w:color="auto" w:fill="FFFFFF"/>
              </w:rPr>
              <w:t xml:space="preserve">AICCHs sector may be outperforming the mainstream general practice in the </w:t>
            </w:r>
            <w:r w:rsidRPr="00A12581">
              <w:rPr>
                <w:rFonts w:cstheme="minorHAnsi"/>
                <w:color w:val="000000" w:themeColor="text1"/>
                <w:sz w:val="20"/>
                <w:szCs w:val="20"/>
                <w:shd w:val="clear" w:color="auto" w:fill="FFFFFF"/>
              </w:rPr>
              <w:lastRenderedPageBreak/>
              <w:t>care of the Aboriginal and Torres</w:t>
            </w:r>
            <w:r>
              <w:rPr>
                <w:rFonts w:cstheme="minorHAnsi"/>
                <w:color w:val="000000" w:themeColor="text1"/>
                <w:sz w:val="20"/>
                <w:szCs w:val="20"/>
                <w:shd w:val="clear" w:color="auto" w:fill="FFFFFF"/>
              </w:rPr>
              <w:t xml:space="preserve"> </w:t>
            </w:r>
            <w:r w:rsidRPr="00A12581">
              <w:rPr>
                <w:rFonts w:cstheme="minorHAnsi"/>
                <w:color w:val="000000" w:themeColor="text1"/>
                <w:sz w:val="20"/>
                <w:szCs w:val="20"/>
                <w:shd w:val="clear" w:color="auto" w:fill="FFFFFF"/>
              </w:rPr>
              <w:t>Strait Islander patients</w:t>
            </w:r>
            <w:r>
              <w:rPr>
                <w:rFonts w:cstheme="minorHAnsi"/>
                <w:color w:val="000000" w:themeColor="text1"/>
                <w:sz w:val="20"/>
                <w:szCs w:val="20"/>
                <w:shd w:val="clear" w:color="auto" w:fill="FFFFFF"/>
              </w:rPr>
              <w:t xml:space="preserve"> so greater resourcing allocation to them may be beneficial.</w:t>
            </w:r>
          </w:p>
          <w:p w14:paraId="323B3824" w14:textId="77777777" w:rsidR="00E87FCA" w:rsidRPr="00CB30F7" w:rsidRDefault="00E87FCA" w:rsidP="00EF1128">
            <w:pPr>
              <w:pStyle w:val="ListParagraph"/>
              <w:numPr>
                <w:ilvl w:val="0"/>
                <w:numId w:val="22"/>
              </w:numPr>
              <w:jc w:val="both"/>
              <w:rPr>
                <w:rFonts w:cstheme="minorHAnsi"/>
                <w:color w:val="000000" w:themeColor="text1"/>
                <w:sz w:val="20"/>
                <w:szCs w:val="20"/>
                <w:shd w:val="clear" w:color="auto" w:fill="FFFFFF"/>
              </w:rPr>
            </w:pPr>
            <w:r w:rsidRPr="00CB30F7">
              <w:rPr>
                <w:rFonts w:cstheme="minorHAnsi"/>
                <w:color w:val="000000" w:themeColor="text1"/>
                <w:sz w:val="20"/>
                <w:szCs w:val="20"/>
                <w:shd w:val="clear" w:color="auto" w:fill="FFFFFF"/>
              </w:rPr>
              <w:t xml:space="preserve">Interventions to educate patients about the value of preventive health checks to increase </w:t>
            </w:r>
            <w:proofErr w:type="gramStart"/>
            <w:r w:rsidRPr="00CB30F7">
              <w:rPr>
                <w:rFonts w:cstheme="minorHAnsi"/>
                <w:color w:val="000000" w:themeColor="text1"/>
                <w:sz w:val="20"/>
                <w:szCs w:val="20"/>
                <w:shd w:val="clear" w:color="auto" w:fill="FFFFFF"/>
              </w:rPr>
              <w:t>demand</w:t>
            </w:r>
            <w:proofErr w:type="gramEnd"/>
            <w:r w:rsidRPr="00CB30F7">
              <w:rPr>
                <w:rFonts w:cstheme="minorHAnsi"/>
                <w:color w:val="000000" w:themeColor="text1"/>
                <w:sz w:val="20"/>
                <w:szCs w:val="20"/>
                <w:shd w:val="clear" w:color="auto" w:fill="FFFFFF"/>
              </w:rPr>
              <w:t xml:space="preserve"> </w:t>
            </w:r>
          </w:p>
          <w:p w14:paraId="51CF7110" w14:textId="0B514BF5"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CB30F7">
              <w:rPr>
                <w:rFonts w:cstheme="minorHAnsi"/>
                <w:color w:val="000000" w:themeColor="text1"/>
                <w:sz w:val="20"/>
                <w:szCs w:val="20"/>
                <w:shd w:val="clear" w:color="auto" w:fill="FFFFFF"/>
              </w:rPr>
              <w:t>Interventions aimed to improve clinician confidence in delivering preventative health check</w:t>
            </w:r>
            <w:r>
              <w:rPr>
                <w:rFonts w:cstheme="minorHAnsi"/>
                <w:color w:val="000000" w:themeColor="text1"/>
                <w:sz w:val="20"/>
                <w:szCs w:val="20"/>
                <w:shd w:val="clear" w:color="auto" w:fill="FFFFFF"/>
              </w:rPr>
              <w:t>s.</w:t>
            </w:r>
          </w:p>
        </w:tc>
      </w:tr>
      <w:tr w:rsidR="00E87FCA" w:rsidRPr="005D2F6C" w14:paraId="58890575" w14:textId="77777777" w:rsidTr="00E87FCA">
        <w:tc>
          <w:tcPr>
            <w:tcW w:w="1350" w:type="dxa"/>
          </w:tcPr>
          <w:p w14:paraId="4323A926" w14:textId="6C771400"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lastRenderedPageBreak/>
              <w:t>10</w:t>
            </w:r>
          </w:p>
        </w:tc>
        <w:tc>
          <w:tcPr>
            <w:tcW w:w="1594" w:type="dxa"/>
          </w:tcPr>
          <w:p w14:paraId="70103C7B" w14:textId="78006B5C"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2013, Spurling</w:t>
            </w:r>
          </w:p>
        </w:tc>
        <w:tc>
          <w:tcPr>
            <w:tcW w:w="1520" w:type="dxa"/>
          </w:tcPr>
          <w:p w14:paraId="590515BC" w14:textId="7814A0CD"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Feasibility study </w:t>
            </w:r>
          </w:p>
        </w:tc>
        <w:tc>
          <w:tcPr>
            <w:tcW w:w="1301" w:type="dxa"/>
          </w:tcPr>
          <w:p w14:paraId="331FA676" w14:textId="1E02EB07"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Inala Indigenous service /QLD</w:t>
            </w:r>
          </w:p>
        </w:tc>
        <w:tc>
          <w:tcPr>
            <w:tcW w:w="3916" w:type="dxa"/>
          </w:tcPr>
          <w:p w14:paraId="1772272C" w14:textId="6B6820FC" w:rsidR="00E87FCA" w:rsidRPr="005D2F6C" w:rsidRDefault="00E87FCA" w:rsidP="00264C1A">
            <w:pPr>
              <w:pStyle w:val="ListParagraph"/>
              <w:numPr>
                <w:ilvl w:val="0"/>
                <w:numId w:val="24"/>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Issues of confidentiality, trust</w:t>
            </w:r>
            <w:r>
              <w:rPr>
                <w:rFonts w:cstheme="minorHAnsi"/>
                <w:color w:val="000000" w:themeColor="text1"/>
                <w:sz w:val="20"/>
                <w:szCs w:val="20"/>
                <w:shd w:val="clear" w:color="auto" w:fill="FFFFFF"/>
              </w:rPr>
              <w:t>,</w:t>
            </w:r>
            <w:r w:rsidRPr="005D2F6C">
              <w:rPr>
                <w:rFonts w:cstheme="minorHAnsi"/>
                <w:color w:val="000000" w:themeColor="text1"/>
                <w:sz w:val="20"/>
                <w:szCs w:val="20"/>
                <w:shd w:val="clear" w:color="auto" w:fill="FFFFFF"/>
              </w:rPr>
              <w:t xml:space="preserve"> and respect that arise with the creation of computerised forms (need to be managed in a culturally appropriate way in Aboriginal and Torres Strait Islander communities)</w:t>
            </w:r>
          </w:p>
          <w:p w14:paraId="1C73F5F9" w14:textId="77777777" w:rsidR="00E87FCA" w:rsidRPr="005D2F6C" w:rsidRDefault="00E87FCA" w:rsidP="0041792C">
            <w:pPr>
              <w:jc w:val="both"/>
              <w:rPr>
                <w:rFonts w:cstheme="minorHAnsi"/>
                <w:color w:val="000000" w:themeColor="text1"/>
                <w:sz w:val="20"/>
                <w:szCs w:val="20"/>
                <w:shd w:val="clear" w:color="auto" w:fill="FFFFFF"/>
              </w:rPr>
            </w:pPr>
          </w:p>
          <w:p w14:paraId="390DD44B" w14:textId="7A0C4A09"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High staff turnover </w:t>
            </w:r>
          </w:p>
          <w:p w14:paraId="6041DC8D" w14:textId="3F369B0A" w:rsidR="00E87FCA" w:rsidRPr="005D2F6C" w:rsidRDefault="00E87FCA" w:rsidP="00A12581">
            <w:pPr>
              <w:pStyle w:val="ListParagraph"/>
              <w:jc w:val="both"/>
              <w:rPr>
                <w:rFonts w:cstheme="minorHAnsi"/>
                <w:color w:val="000000" w:themeColor="text1"/>
                <w:sz w:val="20"/>
                <w:szCs w:val="20"/>
              </w:rPr>
            </w:pPr>
          </w:p>
        </w:tc>
        <w:tc>
          <w:tcPr>
            <w:tcW w:w="4267" w:type="dxa"/>
          </w:tcPr>
          <w:p w14:paraId="36743647" w14:textId="79E9D6BC" w:rsidR="00E87FCA" w:rsidRPr="00A12581" w:rsidRDefault="00E87FCA" w:rsidP="0041792C">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Computerised HCs have the potential to use decision support</w:t>
            </w:r>
            <w:r>
              <w:rPr>
                <w:rFonts w:cstheme="minorHAnsi"/>
                <w:color w:val="000000" w:themeColor="text1"/>
                <w:sz w:val="20"/>
                <w:szCs w:val="20"/>
                <w:shd w:val="clear" w:color="auto" w:fill="FFFFFF"/>
              </w:rPr>
              <w:t xml:space="preserve"> by </w:t>
            </w:r>
            <w:r w:rsidRPr="005D2F6C">
              <w:rPr>
                <w:rFonts w:cstheme="minorHAnsi"/>
                <w:color w:val="000000" w:themeColor="text1"/>
                <w:sz w:val="20"/>
                <w:szCs w:val="20"/>
                <w:shd w:val="clear" w:color="auto" w:fill="FFFFFF"/>
              </w:rPr>
              <w:t xml:space="preserve">including cardiovascular risk calculation and referral </w:t>
            </w:r>
            <w:proofErr w:type="gramStart"/>
            <w:r w:rsidRPr="005D2F6C">
              <w:rPr>
                <w:rFonts w:cstheme="minorHAnsi"/>
                <w:color w:val="000000" w:themeColor="text1"/>
                <w:sz w:val="20"/>
                <w:szCs w:val="20"/>
                <w:shd w:val="clear" w:color="auto" w:fill="FFFFFF"/>
              </w:rPr>
              <w:t>prompts</w:t>
            </w:r>
            <w:proofErr w:type="gramEnd"/>
          </w:p>
          <w:p w14:paraId="4314EFDE" w14:textId="67F9E235" w:rsidR="00E87FCA" w:rsidRPr="005D2F6C" w:rsidRDefault="00E87FCA" w:rsidP="00EF1128">
            <w:pPr>
              <w:pStyle w:val="ListParagraph"/>
              <w:numPr>
                <w:ilvl w:val="0"/>
                <w:numId w:val="22"/>
              </w:numPr>
              <w:jc w:val="both"/>
              <w:rPr>
                <w:rFonts w:cstheme="minorHAnsi"/>
                <w:color w:val="000000" w:themeColor="text1"/>
                <w:sz w:val="20"/>
                <w:szCs w:val="20"/>
              </w:rPr>
            </w:pPr>
            <w:r>
              <w:rPr>
                <w:rFonts w:cstheme="minorHAnsi"/>
                <w:color w:val="000000" w:themeColor="text1"/>
                <w:sz w:val="20"/>
                <w:szCs w:val="20"/>
              </w:rPr>
              <w:t>IT</w:t>
            </w:r>
            <w:r w:rsidRPr="005D2F6C">
              <w:rPr>
                <w:rFonts w:cstheme="minorHAnsi"/>
                <w:color w:val="000000" w:themeColor="text1"/>
                <w:sz w:val="20"/>
                <w:szCs w:val="20"/>
              </w:rPr>
              <w:t xml:space="preserve"> system has facilitated the generation of a large clinical dataset at minimal extra inconvenience to patients. </w:t>
            </w:r>
          </w:p>
          <w:p w14:paraId="42542FCF" w14:textId="05B9DFD1"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Has the potential to conduct large numbers of computerised HCs </w:t>
            </w:r>
            <w:r>
              <w:rPr>
                <w:rFonts w:cstheme="minorHAnsi"/>
                <w:color w:val="000000" w:themeColor="text1"/>
                <w:sz w:val="20"/>
                <w:szCs w:val="20"/>
              </w:rPr>
              <w:t>over time</w:t>
            </w:r>
            <w:r w:rsidRPr="005D2F6C">
              <w:rPr>
                <w:rFonts w:cstheme="minorHAnsi"/>
                <w:color w:val="000000" w:themeColor="text1"/>
                <w:sz w:val="20"/>
                <w:szCs w:val="20"/>
              </w:rPr>
              <w:t xml:space="preserve"> which will help research </w:t>
            </w:r>
            <w:r>
              <w:rPr>
                <w:rFonts w:cstheme="minorHAnsi"/>
                <w:color w:val="000000" w:themeColor="text1"/>
                <w:sz w:val="20"/>
                <w:szCs w:val="20"/>
              </w:rPr>
              <w:t>and</w:t>
            </w:r>
            <w:r w:rsidRPr="005D2F6C">
              <w:rPr>
                <w:rFonts w:cstheme="minorHAnsi"/>
                <w:color w:val="000000" w:themeColor="text1"/>
                <w:sz w:val="20"/>
                <w:szCs w:val="20"/>
              </w:rPr>
              <w:t xml:space="preserve"> inform strategies to address the health needs of Aboriginal and Torres Strait Islander peoples.</w:t>
            </w:r>
          </w:p>
          <w:p w14:paraId="4917F8FA" w14:textId="77777777" w:rsidR="00E87FCA" w:rsidRPr="005D2F6C" w:rsidRDefault="00E87FCA" w:rsidP="0041792C">
            <w:pPr>
              <w:jc w:val="both"/>
              <w:rPr>
                <w:rFonts w:cstheme="minorHAnsi"/>
                <w:color w:val="000000" w:themeColor="text1"/>
                <w:sz w:val="20"/>
                <w:szCs w:val="20"/>
              </w:rPr>
            </w:pPr>
          </w:p>
          <w:p w14:paraId="59B6E556" w14:textId="0BD1925A"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The shorter nature of the form and other benefits of the computerised form such as constrained answers and a summary self-populating problem list outweighed the challenge posed by a new IT system</w:t>
            </w:r>
          </w:p>
        </w:tc>
      </w:tr>
      <w:tr w:rsidR="00E87FCA" w:rsidRPr="005D2F6C" w14:paraId="413EF023" w14:textId="77777777" w:rsidTr="00E87FCA">
        <w:tc>
          <w:tcPr>
            <w:tcW w:w="1350" w:type="dxa"/>
          </w:tcPr>
          <w:p w14:paraId="57977C21" w14:textId="5BB174FB"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11</w:t>
            </w:r>
          </w:p>
        </w:tc>
        <w:tc>
          <w:tcPr>
            <w:tcW w:w="1594" w:type="dxa"/>
          </w:tcPr>
          <w:p w14:paraId="092FBB65" w14:textId="6AEE6B4E"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2010, DiGiacomo</w:t>
            </w:r>
          </w:p>
          <w:p w14:paraId="1BA344F4" w14:textId="178FBEC4" w:rsidR="00E87FCA" w:rsidRPr="005D2F6C" w:rsidRDefault="00E87FCA" w:rsidP="0041792C">
            <w:pPr>
              <w:jc w:val="both"/>
              <w:rPr>
                <w:rFonts w:cstheme="minorHAnsi"/>
                <w:color w:val="000000" w:themeColor="text1"/>
                <w:sz w:val="20"/>
                <w:szCs w:val="20"/>
              </w:rPr>
            </w:pPr>
          </w:p>
        </w:tc>
        <w:tc>
          <w:tcPr>
            <w:tcW w:w="1520" w:type="dxa"/>
          </w:tcPr>
          <w:p w14:paraId="472B0946" w14:textId="71071D2D"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Feasibility study </w:t>
            </w:r>
          </w:p>
        </w:tc>
        <w:tc>
          <w:tcPr>
            <w:tcW w:w="1301" w:type="dxa"/>
          </w:tcPr>
          <w:p w14:paraId="590F9BF8" w14:textId="3AB5B125"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Aboriginal Medical service /</w:t>
            </w:r>
            <w:proofErr w:type="gramStart"/>
            <w:r w:rsidRPr="005D2F6C">
              <w:rPr>
                <w:rFonts w:cstheme="minorHAnsi"/>
                <w:color w:val="000000" w:themeColor="text1"/>
                <w:sz w:val="20"/>
                <w:szCs w:val="20"/>
              </w:rPr>
              <w:t>QLD</w:t>
            </w:r>
            <w:r w:rsidR="009742A5">
              <w:rPr>
                <w:rFonts w:cstheme="minorHAnsi"/>
                <w:color w:val="000000" w:themeColor="text1"/>
                <w:sz w:val="20"/>
                <w:szCs w:val="20"/>
              </w:rPr>
              <w:t>(</w:t>
            </w:r>
            <w:proofErr w:type="gramEnd"/>
            <w:r w:rsidR="009742A5">
              <w:rPr>
                <w:rFonts w:cstheme="minorHAnsi"/>
                <w:color w:val="000000" w:themeColor="text1"/>
                <w:sz w:val="20"/>
                <w:szCs w:val="20"/>
              </w:rPr>
              <w:t>Govt run)</w:t>
            </w:r>
          </w:p>
        </w:tc>
        <w:tc>
          <w:tcPr>
            <w:tcW w:w="3916" w:type="dxa"/>
          </w:tcPr>
          <w:p w14:paraId="14FA775F"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Space constraints and equipment shortages </w:t>
            </w:r>
          </w:p>
          <w:p w14:paraId="73D6684C" w14:textId="67C22E95"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confidentiality</w:t>
            </w:r>
          </w:p>
          <w:p w14:paraId="68079A3D" w14:textId="3B1BD788"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Time limitations of GPs </w:t>
            </w:r>
          </w:p>
          <w:p w14:paraId="690003CC"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lastRenderedPageBreak/>
              <w:t xml:space="preserve">Skill mix and scope of practice </w:t>
            </w:r>
          </w:p>
          <w:p w14:paraId="46DF5541" w14:textId="4F1FEC96"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 xml:space="preserve">Inability of invited clients to access screening day Screening may be daunting for clients (The process of comprehensive assessment can also be daunting for some individuals and impractical at times. Many patients attend primary care for, and are focused on an acute problem or problems and may find it difficult to </w:t>
            </w:r>
            <w:proofErr w:type="gramStart"/>
            <w:r w:rsidRPr="005D2F6C">
              <w:rPr>
                <w:rFonts w:cstheme="minorHAnsi"/>
                <w:color w:val="000000" w:themeColor="text1"/>
                <w:sz w:val="20"/>
                <w:szCs w:val="20"/>
                <w:shd w:val="clear" w:color="auto" w:fill="FFFFFF"/>
              </w:rPr>
              <w:t>also opportunistically undertake health</w:t>
            </w:r>
            <w:proofErr w:type="gramEnd"/>
            <w:r w:rsidRPr="005D2F6C">
              <w:rPr>
                <w:rFonts w:cstheme="minorHAnsi"/>
                <w:color w:val="000000" w:themeColor="text1"/>
                <w:sz w:val="20"/>
                <w:szCs w:val="20"/>
                <w:shd w:val="clear" w:color="auto" w:fill="FFFFFF"/>
              </w:rPr>
              <w:t xml:space="preserve"> checks)</w:t>
            </w:r>
          </w:p>
        </w:tc>
        <w:tc>
          <w:tcPr>
            <w:tcW w:w="4267" w:type="dxa"/>
          </w:tcPr>
          <w:p w14:paraId="2C16DDAF" w14:textId="1F794453"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lastRenderedPageBreak/>
              <w:t xml:space="preserve">Use of large multipurpose room and partitions to designate clinical stations. </w:t>
            </w:r>
          </w:p>
          <w:p w14:paraId="23FE658F"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Planning within the AMS for allocation of resources </w:t>
            </w:r>
          </w:p>
          <w:p w14:paraId="25FADA31"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lastRenderedPageBreak/>
              <w:t>Scheduling of clients and awareness among staff Briefing regarding cultural competence AHWs and nurses commencing health check using a health station model</w:t>
            </w:r>
          </w:p>
          <w:p w14:paraId="183E8391" w14:textId="48A97D53"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GP designated to AHC day –specifically completing AHC on patients who did not have a regular GP and were unlikely to come back for follow-up. </w:t>
            </w:r>
          </w:p>
          <w:p w14:paraId="57789865" w14:textId="16C40BFB"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Collaborations with expertise in diabetes, smoking cessation, cardiac rehabilitation, heart failure, and health psychology </w:t>
            </w:r>
          </w:p>
          <w:p w14:paraId="7C7F73DF" w14:textId="13A59F0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local health services were invited to participate on the day Increased skill and awareness of AMS staff. </w:t>
            </w:r>
          </w:p>
          <w:p w14:paraId="19443710"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Transport provision</w:t>
            </w:r>
          </w:p>
          <w:p w14:paraId="3749B6C7" w14:textId="674E4E70"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Community-focused activity </w:t>
            </w:r>
          </w:p>
          <w:p w14:paraId="0A9932EF" w14:textId="6AB7A90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Cultural safety training for AMs staff</w:t>
            </w:r>
          </w:p>
          <w:p w14:paraId="6A0C8B6F" w14:textId="3B85E2BC"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Background music and social setting at AMs</w:t>
            </w:r>
          </w:p>
          <w:p w14:paraId="00D6887E" w14:textId="3243B1E6"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Healthy refreshments provided</w:t>
            </w:r>
          </w:p>
        </w:tc>
      </w:tr>
      <w:tr w:rsidR="00E87FCA" w:rsidRPr="005D2F6C" w14:paraId="79A87ACC" w14:textId="77777777" w:rsidTr="00E87FCA">
        <w:tc>
          <w:tcPr>
            <w:tcW w:w="1350" w:type="dxa"/>
          </w:tcPr>
          <w:p w14:paraId="0F571FCC" w14:textId="066CADB6"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lastRenderedPageBreak/>
              <w:t>12</w:t>
            </w:r>
          </w:p>
        </w:tc>
        <w:tc>
          <w:tcPr>
            <w:tcW w:w="1594" w:type="dxa"/>
          </w:tcPr>
          <w:p w14:paraId="268F488F" w14:textId="64CFB4C7"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2009, Hayman</w:t>
            </w:r>
          </w:p>
        </w:tc>
        <w:tc>
          <w:tcPr>
            <w:tcW w:w="1520" w:type="dxa"/>
          </w:tcPr>
          <w:p w14:paraId="4E8F2694" w14:textId="47D6BD02"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Implementation research </w:t>
            </w:r>
          </w:p>
        </w:tc>
        <w:tc>
          <w:tcPr>
            <w:tcW w:w="1301" w:type="dxa"/>
          </w:tcPr>
          <w:p w14:paraId="64C7DFA5" w14:textId="346BCEDD"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Inala Health service /QLD</w:t>
            </w:r>
          </w:p>
        </w:tc>
        <w:tc>
          <w:tcPr>
            <w:tcW w:w="3916" w:type="dxa"/>
          </w:tcPr>
          <w:p w14:paraId="7B1E8D43" w14:textId="0A5DE4D1"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Barriers included a few items (</w:t>
            </w:r>
            <w:proofErr w:type="spellStart"/>
            <w:r w:rsidRPr="005D2F6C">
              <w:rPr>
                <w:rFonts w:cstheme="minorHAnsi"/>
                <w:color w:val="000000" w:themeColor="text1"/>
                <w:sz w:val="20"/>
                <w:szCs w:val="20"/>
                <w:shd w:val="clear" w:color="auto" w:fill="FFFFFF"/>
              </w:rPr>
              <w:t>eg</w:t>
            </w:r>
            <w:proofErr w:type="spellEnd"/>
            <w:r w:rsidRPr="005D2F6C">
              <w:rPr>
                <w:rFonts w:cstheme="minorHAnsi"/>
                <w:color w:val="000000" w:themeColor="text1"/>
                <w:sz w:val="20"/>
                <w:szCs w:val="20"/>
                <w:shd w:val="clear" w:color="auto" w:fill="FFFFFF"/>
              </w:rPr>
              <w:t>, artwork) that Indigenous people could identify with, a lack of Indigenous.</w:t>
            </w:r>
          </w:p>
          <w:p w14:paraId="5E1E48C9"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proofErr w:type="gramStart"/>
            <w:r w:rsidRPr="005D2F6C">
              <w:rPr>
                <w:rFonts w:cstheme="minorHAnsi"/>
                <w:color w:val="000000" w:themeColor="text1"/>
                <w:sz w:val="20"/>
                <w:szCs w:val="20"/>
                <w:shd w:val="clear" w:color="auto" w:fill="FFFFFF"/>
              </w:rPr>
              <w:t>staff;</w:t>
            </w:r>
            <w:proofErr w:type="gramEnd"/>
            <w:r w:rsidRPr="005D2F6C">
              <w:rPr>
                <w:rFonts w:cstheme="minorHAnsi"/>
                <w:color w:val="000000" w:themeColor="text1"/>
                <w:sz w:val="20"/>
                <w:szCs w:val="20"/>
                <w:shd w:val="clear" w:color="auto" w:fill="FFFFFF"/>
              </w:rPr>
              <w:t xml:space="preserve"> staff perceived as unfriendly; inflexibility regarding time;</w:t>
            </w:r>
          </w:p>
          <w:p w14:paraId="62DB9BA6" w14:textId="1D0B43FC"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 xml:space="preserve">and intolerance of Indigenous children’s </w:t>
            </w:r>
            <w:proofErr w:type="spellStart"/>
            <w:r w:rsidRPr="005D2F6C">
              <w:rPr>
                <w:rFonts w:cstheme="minorHAnsi"/>
                <w:color w:val="000000" w:themeColor="text1"/>
                <w:sz w:val="20"/>
                <w:szCs w:val="20"/>
                <w:shd w:val="clear" w:color="auto" w:fill="FFFFFF"/>
              </w:rPr>
              <w:t>behavior</w:t>
            </w:r>
            <w:proofErr w:type="spellEnd"/>
            <w:r w:rsidRPr="005D2F6C">
              <w:rPr>
                <w:rFonts w:cstheme="minorHAnsi"/>
                <w:color w:val="000000" w:themeColor="text1"/>
                <w:sz w:val="20"/>
                <w:szCs w:val="20"/>
                <w:shd w:val="clear" w:color="auto" w:fill="FFFFFF"/>
              </w:rPr>
              <w:t>.</w:t>
            </w:r>
          </w:p>
        </w:tc>
        <w:tc>
          <w:tcPr>
            <w:tcW w:w="4267" w:type="dxa"/>
          </w:tcPr>
          <w:p w14:paraId="679598CA" w14:textId="7A8449EA"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More Indigenous staff — employ an Indigenous person as a health worker, receptionist, or liaison officer for the centre.</w:t>
            </w:r>
          </w:p>
          <w:p w14:paraId="66878C11" w14:textId="777777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Culturally appropriate waiting room to feel people more like at home (appropriate health posters and artefacts+ Play Aboriginal radio station)</w:t>
            </w:r>
          </w:p>
          <w:p w14:paraId="683CF359" w14:textId="1AF2893A"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Cultural awareness — provide cultural awareness talks to all staff within the </w:t>
            </w:r>
            <w:proofErr w:type="gramStart"/>
            <w:r w:rsidRPr="005D2F6C">
              <w:rPr>
                <w:rFonts w:cstheme="minorHAnsi"/>
                <w:color w:val="000000" w:themeColor="text1"/>
                <w:sz w:val="20"/>
                <w:szCs w:val="20"/>
                <w:shd w:val="clear" w:color="auto" w:fill="FFFFFF"/>
              </w:rPr>
              <w:t>centre</w:t>
            </w:r>
            <w:proofErr w:type="gramEnd"/>
          </w:p>
          <w:p w14:paraId="65ADAC29" w14:textId="111D5153"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Inform the Indigenous community — disseminate information to the </w:t>
            </w:r>
            <w:r w:rsidRPr="005D2F6C">
              <w:rPr>
                <w:rFonts w:cstheme="minorHAnsi"/>
                <w:color w:val="000000" w:themeColor="text1"/>
                <w:sz w:val="20"/>
                <w:szCs w:val="20"/>
                <w:shd w:val="clear" w:color="auto" w:fill="FFFFFF"/>
              </w:rPr>
              <w:lastRenderedPageBreak/>
              <w:t xml:space="preserve">Indigenous community about services available at the </w:t>
            </w:r>
            <w:proofErr w:type="gramStart"/>
            <w:r w:rsidRPr="005D2F6C">
              <w:rPr>
                <w:rFonts w:cstheme="minorHAnsi"/>
                <w:color w:val="000000" w:themeColor="text1"/>
                <w:sz w:val="20"/>
                <w:szCs w:val="20"/>
                <w:shd w:val="clear" w:color="auto" w:fill="FFFFFF"/>
              </w:rPr>
              <w:t>centre</w:t>
            </w:r>
            <w:proofErr w:type="gramEnd"/>
          </w:p>
          <w:p w14:paraId="72E5F010" w14:textId="2CC592F4"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Promote intersectoral collaboration.</w:t>
            </w:r>
          </w:p>
          <w:p w14:paraId="4494163F" w14:textId="5DC2C0BD"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enabling bulk billing to increase </w:t>
            </w:r>
            <w:proofErr w:type="gramStart"/>
            <w:r w:rsidRPr="005D2F6C">
              <w:rPr>
                <w:rFonts w:cstheme="minorHAnsi"/>
                <w:color w:val="000000" w:themeColor="text1"/>
                <w:sz w:val="20"/>
                <w:szCs w:val="20"/>
                <w:shd w:val="clear" w:color="auto" w:fill="FFFFFF"/>
              </w:rPr>
              <w:t>funding</w:t>
            </w:r>
            <w:proofErr w:type="gramEnd"/>
          </w:p>
          <w:p w14:paraId="51CA2E9D" w14:textId="152EEA1F"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energetic Indigenous leadership</w:t>
            </w:r>
          </w:p>
          <w:p w14:paraId="408E9445" w14:textId="77777777" w:rsidR="00E87FCA" w:rsidRPr="005D2F6C" w:rsidRDefault="00E87FCA" w:rsidP="0041792C">
            <w:pPr>
              <w:jc w:val="both"/>
              <w:rPr>
                <w:rFonts w:cstheme="minorHAnsi"/>
                <w:color w:val="000000" w:themeColor="text1"/>
                <w:sz w:val="20"/>
                <w:szCs w:val="20"/>
                <w:shd w:val="clear" w:color="auto" w:fill="FFFFFF"/>
              </w:rPr>
            </w:pPr>
          </w:p>
          <w:p w14:paraId="0C79D3A0" w14:textId="7A2CD692" w:rsidR="00E87FCA" w:rsidRPr="005D2F6C" w:rsidRDefault="00E87FCA" w:rsidP="0041792C">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Community consultation and participation of the local Inala Elders, employing Indigenous people and holding cultural awareness talks was vital to the success of the changes.</w:t>
            </w:r>
          </w:p>
          <w:p w14:paraId="1DEF1FED" w14:textId="4564B28A" w:rsidR="00E87FCA" w:rsidRPr="005D2F6C" w:rsidRDefault="00E87FCA" w:rsidP="0041792C">
            <w:pPr>
              <w:jc w:val="both"/>
              <w:rPr>
                <w:rFonts w:cstheme="minorHAnsi"/>
                <w:color w:val="000000" w:themeColor="text1"/>
                <w:sz w:val="20"/>
                <w:szCs w:val="20"/>
              </w:rPr>
            </w:pPr>
          </w:p>
        </w:tc>
      </w:tr>
      <w:tr w:rsidR="00E87FCA" w:rsidRPr="005D2F6C" w14:paraId="50AAE224" w14:textId="77777777" w:rsidTr="00E87FCA">
        <w:tc>
          <w:tcPr>
            <w:tcW w:w="1350" w:type="dxa"/>
          </w:tcPr>
          <w:p w14:paraId="5C75FC93" w14:textId="3FD757F9"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lastRenderedPageBreak/>
              <w:t>13</w:t>
            </w:r>
          </w:p>
        </w:tc>
        <w:tc>
          <w:tcPr>
            <w:tcW w:w="1594" w:type="dxa"/>
          </w:tcPr>
          <w:p w14:paraId="4F7BCAB0" w14:textId="3CCE96A5"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2009, Spurling</w:t>
            </w:r>
          </w:p>
        </w:tc>
        <w:tc>
          <w:tcPr>
            <w:tcW w:w="1520" w:type="dxa"/>
          </w:tcPr>
          <w:p w14:paraId="4B4B48F3" w14:textId="443D9512"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Cross-sectional </w:t>
            </w:r>
          </w:p>
        </w:tc>
        <w:tc>
          <w:tcPr>
            <w:tcW w:w="1301" w:type="dxa"/>
          </w:tcPr>
          <w:p w14:paraId="223A75B6" w14:textId="2206431D"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Inala Health service /QLD</w:t>
            </w:r>
          </w:p>
        </w:tc>
        <w:tc>
          <w:tcPr>
            <w:tcW w:w="3916" w:type="dxa"/>
          </w:tcPr>
          <w:p w14:paraId="18509231" w14:textId="4D4658B9"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rPr>
              <w:t xml:space="preserve">HCs did not consider new </w:t>
            </w:r>
            <w:r w:rsidRPr="005D2F6C">
              <w:rPr>
                <w:rFonts w:cstheme="minorHAnsi"/>
                <w:color w:val="000000" w:themeColor="text1"/>
                <w:sz w:val="20"/>
                <w:szCs w:val="20"/>
                <w:shd w:val="clear" w:color="auto" w:fill="FFFFFF"/>
              </w:rPr>
              <w:t>investigations (depression, hypertension, diabetes, and pap smears), lifestyle advice, referrals, and new medications.</w:t>
            </w:r>
          </w:p>
          <w:p w14:paraId="30D1A291" w14:textId="50BDE677"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Misinterpreting and not addressing community priorities.</w:t>
            </w:r>
          </w:p>
          <w:p w14:paraId="37C27C04" w14:textId="2392D80A"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w:t>
            </w:r>
            <w:r w:rsidRPr="005D2F6C">
              <w:rPr>
                <w:rFonts w:cstheme="minorHAnsi"/>
                <w:color w:val="000000" w:themeColor="text1"/>
                <w:sz w:val="20"/>
                <w:szCs w:val="20"/>
                <w:shd w:val="clear" w:color="auto" w:fill="FFFFFF"/>
              </w:rPr>
              <w:t xml:space="preserve"> biomedical emphasis on health assessment </w:t>
            </w:r>
          </w:p>
        </w:tc>
        <w:tc>
          <w:tcPr>
            <w:tcW w:w="4267" w:type="dxa"/>
          </w:tcPr>
          <w:p w14:paraId="3B1C886F" w14:textId="7BB104E4" w:rsidR="00E87FCA" w:rsidRPr="005D2F6C" w:rsidRDefault="00E87FCA" w:rsidP="00264C1A">
            <w:pPr>
              <w:pStyle w:val="ListParagraph"/>
              <w:jc w:val="both"/>
              <w:rPr>
                <w:rFonts w:cstheme="minorHAnsi"/>
                <w:color w:val="000000" w:themeColor="text1"/>
                <w:sz w:val="20"/>
                <w:szCs w:val="20"/>
              </w:rPr>
            </w:pPr>
            <w:r w:rsidRPr="005D2F6C">
              <w:rPr>
                <w:rFonts w:cstheme="minorHAnsi"/>
                <w:color w:val="000000" w:themeColor="text1"/>
                <w:sz w:val="20"/>
                <w:szCs w:val="20"/>
              </w:rPr>
              <w:t>N</w:t>
            </w:r>
            <w:r>
              <w:rPr>
                <w:rFonts w:cstheme="minorHAnsi"/>
                <w:color w:val="000000" w:themeColor="text1"/>
                <w:sz w:val="20"/>
                <w:szCs w:val="20"/>
              </w:rPr>
              <w:t>A</w:t>
            </w:r>
          </w:p>
        </w:tc>
      </w:tr>
      <w:tr w:rsidR="00E87FCA" w:rsidRPr="005D2F6C" w14:paraId="18B69DEE" w14:textId="77777777" w:rsidTr="00E87FCA">
        <w:tc>
          <w:tcPr>
            <w:tcW w:w="1350" w:type="dxa"/>
          </w:tcPr>
          <w:p w14:paraId="2712358E" w14:textId="4F09F1F9"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t>14</w:t>
            </w:r>
          </w:p>
        </w:tc>
        <w:tc>
          <w:tcPr>
            <w:tcW w:w="1594" w:type="dxa"/>
          </w:tcPr>
          <w:p w14:paraId="46B2546C" w14:textId="44DB2B20"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2008, Keho</w:t>
            </w:r>
          </w:p>
        </w:tc>
        <w:tc>
          <w:tcPr>
            <w:tcW w:w="1520" w:type="dxa"/>
          </w:tcPr>
          <w:p w14:paraId="19560AF3" w14:textId="4996C2B3"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Cross-sectional </w:t>
            </w:r>
          </w:p>
        </w:tc>
        <w:tc>
          <w:tcPr>
            <w:tcW w:w="1301" w:type="dxa"/>
          </w:tcPr>
          <w:p w14:paraId="14EEC407" w14:textId="7D6858ED"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General Practice/ACT</w:t>
            </w:r>
          </w:p>
        </w:tc>
        <w:tc>
          <w:tcPr>
            <w:tcW w:w="3916" w:type="dxa"/>
          </w:tcPr>
          <w:p w14:paraId="59BA7EFB" w14:textId="1EC69DEE"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low levels of routine identification of Aboriginal and Torres Strait Islander </w:t>
            </w:r>
            <w:proofErr w:type="gramStart"/>
            <w:r w:rsidRPr="005D2F6C">
              <w:rPr>
                <w:rFonts w:cstheme="minorHAnsi"/>
                <w:color w:val="000000" w:themeColor="text1"/>
                <w:sz w:val="20"/>
                <w:szCs w:val="20"/>
                <w:shd w:val="clear" w:color="auto" w:fill="FFFFFF"/>
              </w:rPr>
              <w:t>status(</w:t>
            </w:r>
            <w:proofErr w:type="gramEnd"/>
            <w:r w:rsidRPr="005D2F6C">
              <w:rPr>
                <w:rFonts w:cstheme="minorHAnsi"/>
                <w:color w:val="000000" w:themeColor="text1"/>
                <w:sz w:val="20"/>
                <w:szCs w:val="20"/>
                <w:shd w:val="clear" w:color="auto" w:fill="FFFFFF"/>
              </w:rPr>
              <w:t>fear of offending and feasibility concerns among staff)</w:t>
            </w:r>
          </w:p>
          <w:p w14:paraId="6DFE376D" w14:textId="44A57C71"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Lack of resources (time and workforce) to undertake </w:t>
            </w:r>
            <w:proofErr w:type="gramStart"/>
            <w:r w:rsidRPr="005D2F6C">
              <w:rPr>
                <w:rFonts w:cstheme="minorHAnsi"/>
                <w:color w:val="000000" w:themeColor="text1"/>
                <w:sz w:val="20"/>
                <w:szCs w:val="20"/>
                <w:shd w:val="clear" w:color="auto" w:fill="FFFFFF"/>
              </w:rPr>
              <w:t>HCs</w:t>
            </w:r>
            <w:proofErr w:type="gramEnd"/>
          </w:p>
          <w:p w14:paraId="73603CC1" w14:textId="1E722F58"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Lack of support for general practices about </w:t>
            </w:r>
            <w:proofErr w:type="gramStart"/>
            <w:r w:rsidRPr="005D2F6C">
              <w:rPr>
                <w:rFonts w:cstheme="minorHAnsi"/>
                <w:color w:val="000000" w:themeColor="text1"/>
                <w:sz w:val="20"/>
                <w:szCs w:val="20"/>
                <w:shd w:val="clear" w:color="auto" w:fill="FFFFFF"/>
              </w:rPr>
              <w:t>the  identification</w:t>
            </w:r>
            <w:proofErr w:type="gramEnd"/>
            <w:r w:rsidRPr="005D2F6C">
              <w:rPr>
                <w:rFonts w:cstheme="minorHAnsi"/>
                <w:color w:val="000000" w:themeColor="text1"/>
                <w:sz w:val="20"/>
                <w:szCs w:val="20"/>
                <w:shd w:val="clear" w:color="auto" w:fill="FFFFFF"/>
              </w:rPr>
              <w:t xml:space="preserve"> and use of Aboriginal and Torres Strait Islander-specific health interventions</w:t>
            </w:r>
          </w:p>
          <w:p w14:paraId="12498BFB" w14:textId="0C1EBFF2"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attitudinal barriers (</w:t>
            </w:r>
            <w:proofErr w:type="spellStart"/>
            <w:r w:rsidRPr="005D2F6C">
              <w:rPr>
                <w:rFonts w:cstheme="minorHAnsi"/>
                <w:color w:val="000000" w:themeColor="text1"/>
                <w:sz w:val="20"/>
                <w:szCs w:val="20"/>
                <w:shd w:val="clear" w:color="auto" w:fill="FFFFFF"/>
              </w:rPr>
              <w:t>eg.</w:t>
            </w:r>
            <w:proofErr w:type="spellEnd"/>
            <w:r w:rsidRPr="005D2F6C">
              <w:rPr>
                <w:rFonts w:cstheme="minorHAnsi"/>
                <w:color w:val="000000" w:themeColor="text1"/>
                <w:sz w:val="20"/>
                <w:szCs w:val="20"/>
                <w:shd w:val="clear" w:color="auto" w:fill="FFFFFF"/>
              </w:rPr>
              <w:t xml:space="preserve"> views that Aboriginal and Torres Strait Islander patients are one of many high-</w:t>
            </w:r>
            <w:r w:rsidRPr="005D2F6C">
              <w:rPr>
                <w:rFonts w:cstheme="minorHAnsi"/>
                <w:color w:val="000000" w:themeColor="text1"/>
                <w:sz w:val="20"/>
                <w:szCs w:val="20"/>
                <w:shd w:val="clear" w:color="auto" w:fill="FFFFFF"/>
              </w:rPr>
              <w:lastRenderedPageBreak/>
              <w:t>needs subgroups, and therefore special treatment is unjustified)</w:t>
            </w:r>
          </w:p>
          <w:p w14:paraId="4D5028D0" w14:textId="4EC494CA"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general practice software does not facilitate identification)</w:t>
            </w:r>
          </w:p>
          <w:p w14:paraId="24B0C3F8" w14:textId="6BF8E175"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little awareness of specific GP-mediated health interventions</w:t>
            </w:r>
          </w:p>
          <w:p w14:paraId="79B9614C" w14:textId="209C2514"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Lack of support for preventive health interventions</w:t>
            </w:r>
          </w:p>
          <w:p w14:paraId="30B0CC84" w14:textId="1BA3D1BF"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Staff felt </w:t>
            </w:r>
            <w:r w:rsidRPr="005D2F6C">
              <w:rPr>
                <w:rFonts w:cstheme="minorHAnsi"/>
                <w:color w:val="000000" w:themeColor="text1"/>
                <w:sz w:val="20"/>
                <w:szCs w:val="20"/>
                <w:shd w:val="clear" w:color="auto" w:fill="FFFFFF"/>
              </w:rPr>
              <w:t>HCs were driven by a bureaucratic desire for quantifiable MBS items and queried their clinical benefit to patients.</w:t>
            </w:r>
          </w:p>
          <w:p w14:paraId="60F45D90" w14:textId="126B5573"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 xml:space="preserve">Lack of awareness about the HCs </w:t>
            </w:r>
          </w:p>
          <w:p w14:paraId="26E2F96A" w14:textId="2F9D60B5" w:rsidR="00E87FCA" w:rsidRPr="005D2F6C" w:rsidRDefault="00E87FCA" w:rsidP="005D2F6C">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Attitudes that Aboriginal and Torres Strait Islander health is not sufficiently different to warrant a unique response, and</w:t>
            </w:r>
            <w:r>
              <w:rPr>
                <w:rFonts w:cstheme="minorHAnsi"/>
                <w:color w:val="000000" w:themeColor="text1"/>
                <w:sz w:val="20"/>
                <w:szCs w:val="20"/>
              </w:rPr>
              <w:t xml:space="preserve"> </w:t>
            </w:r>
            <w:r w:rsidRPr="005D2F6C">
              <w:rPr>
                <w:rFonts w:cstheme="minorHAnsi"/>
                <w:color w:val="000000" w:themeColor="text1"/>
                <w:sz w:val="20"/>
                <w:szCs w:val="20"/>
              </w:rPr>
              <w:t>that general practice should ‘treat everyone the same’ will need to shift if identification and uptake of HCs are to improve.</w:t>
            </w:r>
          </w:p>
        </w:tc>
        <w:tc>
          <w:tcPr>
            <w:tcW w:w="4267" w:type="dxa"/>
          </w:tcPr>
          <w:p w14:paraId="71A3A757" w14:textId="3031A87C"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lastRenderedPageBreak/>
              <w:t xml:space="preserve">Workshops supporting HC implementation. </w:t>
            </w:r>
          </w:p>
          <w:p w14:paraId="68BB5235" w14:textId="461CE5AC"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More divisional support, including one-to-one practice </w:t>
            </w:r>
            <w:proofErr w:type="gramStart"/>
            <w:r w:rsidRPr="005D2F6C">
              <w:rPr>
                <w:rFonts w:cstheme="minorHAnsi"/>
                <w:color w:val="000000" w:themeColor="text1"/>
                <w:sz w:val="20"/>
                <w:szCs w:val="20"/>
                <w:shd w:val="clear" w:color="auto" w:fill="FFFFFF"/>
              </w:rPr>
              <w:t>visits</w:t>
            </w:r>
            <w:proofErr w:type="gramEnd"/>
            <w:r w:rsidRPr="005D2F6C">
              <w:rPr>
                <w:rFonts w:cstheme="minorHAnsi"/>
                <w:color w:val="000000" w:themeColor="text1"/>
                <w:sz w:val="20"/>
                <w:szCs w:val="20"/>
                <w:shd w:val="clear" w:color="auto" w:fill="FFFFFF"/>
              </w:rPr>
              <w:t xml:space="preserve"> </w:t>
            </w:r>
          </w:p>
          <w:p w14:paraId="58F07DF4" w14:textId="32ED844F"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Increasing number of doctors </w:t>
            </w:r>
          </w:p>
          <w:p w14:paraId="6A50D97A" w14:textId="6D47550A"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Awareness raising for Aboriginal and Torres Strait Islander </w:t>
            </w:r>
            <w:proofErr w:type="gramStart"/>
            <w:r w:rsidRPr="005D2F6C">
              <w:rPr>
                <w:rFonts w:cstheme="minorHAnsi"/>
                <w:color w:val="000000" w:themeColor="text1"/>
                <w:sz w:val="20"/>
                <w:szCs w:val="20"/>
                <w:shd w:val="clear" w:color="auto" w:fill="FFFFFF"/>
              </w:rPr>
              <w:t>people</w:t>
            </w:r>
            <w:proofErr w:type="gramEnd"/>
            <w:r w:rsidRPr="005D2F6C">
              <w:rPr>
                <w:rFonts w:cstheme="minorHAnsi"/>
                <w:color w:val="000000" w:themeColor="text1"/>
                <w:sz w:val="20"/>
                <w:szCs w:val="20"/>
                <w:shd w:val="clear" w:color="auto" w:fill="FFFFFF"/>
              </w:rPr>
              <w:t xml:space="preserve"> </w:t>
            </w:r>
          </w:p>
          <w:p w14:paraId="7A6B3014" w14:textId="75BABE2E"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Reducing required paperwork </w:t>
            </w:r>
          </w:p>
          <w:p w14:paraId="57B0D9D5" w14:textId="2B8FAC2E"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Providing kits, posters, or brochures </w:t>
            </w:r>
          </w:p>
          <w:p w14:paraId="78405347" w14:textId="770D1EC2"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A ‘one-stop-shop’ (</w:t>
            </w:r>
            <w:proofErr w:type="spellStart"/>
            <w:r w:rsidRPr="005D2F6C">
              <w:rPr>
                <w:rFonts w:cstheme="minorHAnsi"/>
                <w:color w:val="000000" w:themeColor="text1"/>
                <w:sz w:val="20"/>
                <w:szCs w:val="20"/>
                <w:shd w:val="clear" w:color="auto" w:fill="FFFFFF"/>
              </w:rPr>
              <w:t>eg.</w:t>
            </w:r>
            <w:proofErr w:type="spellEnd"/>
            <w:r w:rsidRPr="005D2F6C">
              <w:rPr>
                <w:rFonts w:cstheme="minorHAnsi"/>
                <w:color w:val="000000" w:themeColor="text1"/>
                <w:sz w:val="20"/>
                <w:szCs w:val="20"/>
                <w:shd w:val="clear" w:color="auto" w:fill="FFFFFF"/>
              </w:rPr>
              <w:t xml:space="preserve"> website) summarising GP-relevant Aboriginal and Torres Strait Islander health interventions </w:t>
            </w:r>
          </w:p>
          <w:p w14:paraId="56B0087E" w14:textId="0A0CF382"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shd w:val="clear" w:color="auto" w:fill="FFFFFF"/>
              </w:rPr>
              <w:t>Improvements in software functionality, including HC templates.</w:t>
            </w:r>
          </w:p>
          <w:p w14:paraId="6C872C2D" w14:textId="1EE88608"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lastRenderedPageBreak/>
              <w:t>Training of administration staff</w:t>
            </w:r>
          </w:p>
        </w:tc>
      </w:tr>
      <w:tr w:rsidR="00E87FCA" w:rsidRPr="005D2F6C" w14:paraId="763C8948" w14:textId="77777777" w:rsidTr="00E87FCA">
        <w:tc>
          <w:tcPr>
            <w:tcW w:w="1350" w:type="dxa"/>
          </w:tcPr>
          <w:p w14:paraId="2B22B5EC" w14:textId="24934169"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lastRenderedPageBreak/>
              <w:t>15</w:t>
            </w:r>
          </w:p>
        </w:tc>
        <w:tc>
          <w:tcPr>
            <w:tcW w:w="1594" w:type="dxa"/>
          </w:tcPr>
          <w:p w14:paraId="295FE813" w14:textId="50C83193"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2007, Si</w:t>
            </w:r>
          </w:p>
          <w:p w14:paraId="30D57660" w14:textId="32A35E27" w:rsidR="00E87FCA" w:rsidRPr="005D2F6C" w:rsidRDefault="00E87FCA" w:rsidP="0041792C">
            <w:pPr>
              <w:jc w:val="both"/>
              <w:rPr>
                <w:rFonts w:cstheme="minorHAnsi"/>
                <w:color w:val="000000" w:themeColor="text1"/>
                <w:sz w:val="20"/>
                <w:szCs w:val="20"/>
              </w:rPr>
            </w:pPr>
          </w:p>
        </w:tc>
        <w:tc>
          <w:tcPr>
            <w:tcW w:w="1520" w:type="dxa"/>
          </w:tcPr>
          <w:p w14:paraId="741AC4C9" w14:textId="042A4B01"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 xml:space="preserve">Qualitative </w:t>
            </w:r>
          </w:p>
        </w:tc>
        <w:tc>
          <w:tcPr>
            <w:tcW w:w="1301" w:type="dxa"/>
          </w:tcPr>
          <w:p w14:paraId="41FC480F" w14:textId="7FA8FBD6" w:rsidR="00E87FCA" w:rsidRPr="005D2F6C" w:rsidRDefault="00E87FCA" w:rsidP="0041792C">
            <w:pPr>
              <w:jc w:val="both"/>
              <w:rPr>
                <w:rFonts w:cstheme="minorHAnsi"/>
                <w:color w:val="000000" w:themeColor="text1"/>
                <w:sz w:val="20"/>
                <w:szCs w:val="20"/>
              </w:rPr>
            </w:pPr>
            <w:r w:rsidRPr="009D0833">
              <w:rPr>
                <w:rFonts w:cstheme="minorHAnsi"/>
                <w:color w:val="000000" w:themeColor="text1"/>
                <w:sz w:val="20"/>
                <w:szCs w:val="20"/>
                <w:highlight w:val="yellow"/>
              </w:rPr>
              <w:t>Aboriginal Community Health Centres/NT</w:t>
            </w:r>
          </w:p>
        </w:tc>
        <w:tc>
          <w:tcPr>
            <w:tcW w:w="3916" w:type="dxa"/>
          </w:tcPr>
          <w:p w14:paraId="30C5DFBF" w14:textId="40152043"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Emphasise on strategies and actions related to chronic illness management rather than prevention.</w:t>
            </w:r>
          </w:p>
          <w:p w14:paraId="63214E7B" w14:textId="51E99BDB"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MBS rebates provide incentives for individual (and private) GPs to deliver preventive services, they may have less effect in motivating practitioners working in remote Indigenous community health </w:t>
            </w:r>
            <w:proofErr w:type="spellStart"/>
            <w:r w:rsidRPr="005D2F6C">
              <w:rPr>
                <w:rFonts w:cstheme="minorHAnsi"/>
                <w:color w:val="000000" w:themeColor="text1"/>
                <w:sz w:val="20"/>
                <w:szCs w:val="20"/>
                <w:shd w:val="clear" w:color="auto" w:fill="FFFFFF"/>
              </w:rPr>
              <w:t>centers</w:t>
            </w:r>
            <w:proofErr w:type="spellEnd"/>
            <w:r w:rsidRPr="005D2F6C">
              <w:rPr>
                <w:rFonts w:cstheme="minorHAnsi"/>
                <w:color w:val="000000" w:themeColor="text1"/>
                <w:sz w:val="20"/>
                <w:szCs w:val="20"/>
                <w:shd w:val="clear" w:color="auto" w:fill="FFFFFF"/>
              </w:rPr>
              <w:t xml:space="preserve">, who are usually in salaried positions ** at the time of study rebates were not claimed by nurses or </w:t>
            </w:r>
            <w:proofErr w:type="gramStart"/>
            <w:r w:rsidRPr="005D2F6C">
              <w:rPr>
                <w:rFonts w:cstheme="minorHAnsi"/>
                <w:color w:val="000000" w:themeColor="text1"/>
                <w:sz w:val="20"/>
                <w:szCs w:val="20"/>
                <w:shd w:val="clear" w:color="auto" w:fill="FFFFFF"/>
              </w:rPr>
              <w:t>AHWs</w:t>
            </w:r>
            <w:proofErr w:type="gramEnd"/>
          </w:p>
          <w:p w14:paraId="066536CD" w14:textId="2D2980EA" w:rsidR="00E87FCA" w:rsidRPr="005D2F6C" w:rsidRDefault="00E87FCA" w:rsidP="0041792C">
            <w:pPr>
              <w:jc w:val="both"/>
              <w:rPr>
                <w:rFonts w:cstheme="minorHAnsi"/>
                <w:color w:val="000000" w:themeColor="text1"/>
                <w:sz w:val="20"/>
                <w:szCs w:val="20"/>
              </w:rPr>
            </w:pPr>
          </w:p>
        </w:tc>
        <w:tc>
          <w:tcPr>
            <w:tcW w:w="4267" w:type="dxa"/>
          </w:tcPr>
          <w:p w14:paraId="2808F6AD" w14:textId="12B6640F"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External linkages” (including outreach and health promotion type initiatives)</w:t>
            </w:r>
          </w:p>
          <w:p w14:paraId="13F39E96" w14:textId="15397F29" w:rsidR="00E87FCA" w:rsidRPr="005D2F6C" w:rsidRDefault="00E87FCA" w:rsidP="005D2F6C">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Organisational influence” (including use of management processes to demonstrate interest in preventive care and</w:t>
            </w:r>
            <w:r>
              <w:rPr>
                <w:rFonts w:cstheme="minorHAnsi"/>
                <w:color w:val="000000" w:themeColor="text1"/>
                <w:sz w:val="20"/>
                <w:szCs w:val="20"/>
              </w:rPr>
              <w:t xml:space="preserve"> s</w:t>
            </w:r>
            <w:r w:rsidRPr="005D2F6C">
              <w:rPr>
                <w:rFonts w:cstheme="minorHAnsi"/>
                <w:color w:val="000000" w:themeColor="text1"/>
                <w:sz w:val="20"/>
                <w:szCs w:val="20"/>
              </w:rPr>
              <w:t>ecuring new resources).</w:t>
            </w:r>
          </w:p>
          <w:p w14:paraId="73F417A8" w14:textId="5B14906A"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Review of information system function and development of reminder systems (clinical information systems).</w:t>
            </w:r>
          </w:p>
        </w:tc>
      </w:tr>
      <w:tr w:rsidR="00E87FCA" w:rsidRPr="005D2F6C" w14:paraId="29063E50" w14:textId="77777777" w:rsidTr="00E87FCA">
        <w:tc>
          <w:tcPr>
            <w:tcW w:w="1350" w:type="dxa"/>
          </w:tcPr>
          <w:p w14:paraId="68427467" w14:textId="1E343768" w:rsidR="00E87FCA" w:rsidRPr="005D2F6C" w:rsidRDefault="00FA0FCE" w:rsidP="0041792C">
            <w:pPr>
              <w:jc w:val="both"/>
              <w:rPr>
                <w:rFonts w:cstheme="minorHAnsi"/>
                <w:color w:val="000000" w:themeColor="text1"/>
                <w:sz w:val="20"/>
                <w:szCs w:val="20"/>
              </w:rPr>
            </w:pPr>
            <w:r>
              <w:rPr>
                <w:rFonts w:cstheme="minorHAnsi"/>
                <w:color w:val="000000" w:themeColor="text1"/>
                <w:sz w:val="20"/>
                <w:szCs w:val="20"/>
              </w:rPr>
              <w:lastRenderedPageBreak/>
              <w:t>16</w:t>
            </w:r>
          </w:p>
        </w:tc>
        <w:tc>
          <w:tcPr>
            <w:tcW w:w="1594" w:type="dxa"/>
          </w:tcPr>
          <w:p w14:paraId="710088E2" w14:textId="25FFFABA"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2005, Calver</w:t>
            </w:r>
          </w:p>
          <w:p w14:paraId="245B72C6" w14:textId="405FCAE5" w:rsidR="00E87FCA" w:rsidRPr="005D2F6C" w:rsidRDefault="00E87FCA" w:rsidP="0041792C">
            <w:pPr>
              <w:jc w:val="both"/>
              <w:rPr>
                <w:rFonts w:cstheme="minorHAnsi"/>
                <w:color w:val="000000" w:themeColor="text1"/>
                <w:sz w:val="20"/>
                <w:szCs w:val="20"/>
              </w:rPr>
            </w:pPr>
          </w:p>
        </w:tc>
        <w:tc>
          <w:tcPr>
            <w:tcW w:w="1520" w:type="dxa"/>
          </w:tcPr>
          <w:p w14:paraId="62015BE6" w14:textId="7DCC1D26" w:rsidR="00E87FCA" w:rsidRPr="005D2F6C" w:rsidRDefault="00E87FCA" w:rsidP="0041792C">
            <w:pPr>
              <w:jc w:val="both"/>
              <w:rPr>
                <w:rFonts w:cstheme="minorHAnsi"/>
                <w:color w:val="000000" w:themeColor="text1"/>
                <w:sz w:val="20"/>
                <w:szCs w:val="20"/>
              </w:rPr>
            </w:pPr>
            <w:r w:rsidRPr="005D2F6C">
              <w:rPr>
                <w:rFonts w:cstheme="minorHAnsi"/>
                <w:color w:val="000000" w:themeColor="text1"/>
                <w:sz w:val="20"/>
                <w:szCs w:val="20"/>
              </w:rPr>
              <w:t>RCT</w:t>
            </w:r>
          </w:p>
        </w:tc>
        <w:tc>
          <w:tcPr>
            <w:tcW w:w="1301" w:type="dxa"/>
          </w:tcPr>
          <w:p w14:paraId="692F6988" w14:textId="4EDF8BD0" w:rsidR="00E87FCA" w:rsidRPr="005D2F6C" w:rsidRDefault="00E87FCA" w:rsidP="0041792C">
            <w:pPr>
              <w:jc w:val="both"/>
              <w:rPr>
                <w:rFonts w:cstheme="minorHAnsi"/>
                <w:color w:val="000000" w:themeColor="text1"/>
                <w:sz w:val="20"/>
                <w:szCs w:val="20"/>
              </w:rPr>
            </w:pPr>
            <w:r w:rsidRPr="009D0833">
              <w:rPr>
                <w:rFonts w:cstheme="minorHAnsi"/>
                <w:color w:val="1F1F1F"/>
                <w:sz w:val="20"/>
                <w:szCs w:val="20"/>
                <w:highlight w:val="yellow"/>
                <w:shd w:val="clear" w:color="auto" w:fill="FFFFFF"/>
              </w:rPr>
              <w:t>Community Health Services/WA</w:t>
            </w:r>
          </w:p>
        </w:tc>
        <w:tc>
          <w:tcPr>
            <w:tcW w:w="3916" w:type="dxa"/>
          </w:tcPr>
          <w:p w14:paraId="26962CE6" w14:textId="13521215" w:rsidR="00E87FCA" w:rsidRPr="005D2F6C" w:rsidRDefault="00E87FCA" w:rsidP="00264C1A">
            <w:pPr>
              <w:pStyle w:val="ListParagraph"/>
              <w:numPr>
                <w:ilvl w:val="0"/>
                <w:numId w:val="23"/>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Once-off unstructured health assessments unlikely to benefit Aboriginal and Torres Strait Islander health.</w:t>
            </w:r>
          </w:p>
          <w:p w14:paraId="5AF08496" w14:textId="45CCC73E" w:rsidR="00E87FCA" w:rsidRPr="005D2F6C" w:rsidRDefault="00E87FCA" w:rsidP="00EF1128">
            <w:pPr>
              <w:pStyle w:val="ListParagraph"/>
              <w:numPr>
                <w:ilvl w:val="0"/>
                <w:numId w:val="22"/>
              </w:numPr>
              <w:jc w:val="both"/>
              <w:rPr>
                <w:rFonts w:cstheme="minorHAnsi"/>
                <w:color w:val="000000" w:themeColor="text1"/>
                <w:sz w:val="20"/>
                <w:szCs w:val="20"/>
                <w:shd w:val="clear" w:color="auto" w:fill="FFFFFF"/>
              </w:rPr>
            </w:pPr>
            <w:r w:rsidRPr="005D2F6C">
              <w:rPr>
                <w:rFonts w:cstheme="minorHAnsi"/>
                <w:color w:val="000000" w:themeColor="text1"/>
                <w:sz w:val="20"/>
                <w:szCs w:val="20"/>
                <w:shd w:val="clear" w:color="auto" w:fill="FFFFFF"/>
              </w:rPr>
              <w:t xml:space="preserve">Lack of investment in a community priority </w:t>
            </w:r>
          </w:p>
        </w:tc>
        <w:tc>
          <w:tcPr>
            <w:tcW w:w="4267" w:type="dxa"/>
          </w:tcPr>
          <w:p w14:paraId="581B43D6" w14:textId="1BDABBF2" w:rsidR="00E87FCA" w:rsidRPr="005D2F6C" w:rsidRDefault="00E87FCA" w:rsidP="00EF1128">
            <w:pPr>
              <w:pStyle w:val="ListParagraph"/>
              <w:numPr>
                <w:ilvl w:val="0"/>
                <w:numId w:val="22"/>
              </w:numPr>
              <w:jc w:val="both"/>
              <w:rPr>
                <w:rFonts w:cstheme="minorHAnsi"/>
                <w:color w:val="000000" w:themeColor="text1"/>
                <w:sz w:val="20"/>
                <w:szCs w:val="20"/>
              </w:rPr>
            </w:pPr>
            <w:r w:rsidRPr="005D2F6C">
              <w:rPr>
                <w:rFonts w:cstheme="minorHAnsi"/>
                <w:color w:val="000000" w:themeColor="text1"/>
                <w:sz w:val="20"/>
                <w:szCs w:val="20"/>
              </w:rPr>
              <w:t>N</w:t>
            </w:r>
            <w:r>
              <w:rPr>
                <w:rFonts w:cstheme="minorHAnsi"/>
                <w:color w:val="000000" w:themeColor="text1"/>
                <w:sz w:val="20"/>
                <w:szCs w:val="20"/>
              </w:rPr>
              <w:t>A</w:t>
            </w:r>
          </w:p>
        </w:tc>
      </w:tr>
      <w:tr w:rsidR="00E87FCA" w:rsidRPr="005D2F6C" w14:paraId="55B98117" w14:textId="77777777" w:rsidTr="00E87FCA">
        <w:tc>
          <w:tcPr>
            <w:tcW w:w="1350" w:type="dxa"/>
          </w:tcPr>
          <w:p w14:paraId="0B7D1824" w14:textId="77777777" w:rsidR="00E87FCA" w:rsidRPr="005D2F6C" w:rsidRDefault="00E87FCA" w:rsidP="0041792C">
            <w:pPr>
              <w:jc w:val="both"/>
              <w:rPr>
                <w:rFonts w:cstheme="minorHAnsi"/>
                <w:color w:val="000000" w:themeColor="text1"/>
                <w:sz w:val="20"/>
                <w:szCs w:val="20"/>
              </w:rPr>
            </w:pPr>
          </w:p>
        </w:tc>
        <w:tc>
          <w:tcPr>
            <w:tcW w:w="12598" w:type="dxa"/>
            <w:gridSpan w:val="5"/>
          </w:tcPr>
          <w:p w14:paraId="42C68A6E" w14:textId="3B6ACE67" w:rsidR="00E87FCA" w:rsidRPr="005D2F6C" w:rsidRDefault="00E87FCA" w:rsidP="0041792C">
            <w:pPr>
              <w:jc w:val="both"/>
              <w:rPr>
                <w:rFonts w:cstheme="minorHAnsi"/>
                <w:color w:val="000000" w:themeColor="text1"/>
                <w:sz w:val="20"/>
                <w:szCs w:val="20"/>
              </w:rPr>
            </w:pPr>
          </w:p>
        </w:tc>
      </w:tr>
    </w:tbl>
    <w:p w14:paraId="48587408" w14:textId="77777777" w:rsidR="00714FDA" w:rsidRPr="00D5226F" w:rsidRDefault="00714FDA">
      <w:pPr>
        <w:rPr>
          <w:rFonts w:ascii="Times New Roman" w:hAnsi="Times New Roman" w:cs="Times New Roman"/>
          <w:color w:val="000000" w:themeColor="text1"/>
        </w:rPr>
      </w:pPr>
    </w:p>
    <w:p w14:paraId="14DE72C0" w14:textId="77777777" w:rsidR="00BB2C5C" w:rsidRPr="00D5226F" w:rsidRDefault="00BB2C5C">
      <w:pPr>
        <w:rPr>
          <w:rFonts w:ascii="Times New Roman" w:hAnsi="Times New Roman" w:cs="Times New Roman"/>
          <w:color w:val="000000" w:themeColor="text1"/>
        </w:rPr>
      </w:pPr>
    </w:p>
    <w:p w14:paraId="74DAC6E8" w14:textId="44B3244B" w:rsidR="00D50433" w:rsidRPr="001A3D57" w:rsidRDefault="00D50433">
      <w:pPr>
        <w:rPr>
          <w:rFonts w:ascii="Times New Roman" w:hAnsi="Times New Roman" w:cs="Times New Roman"/>
          <w:color w:val="ED7D31" w:themeColor="accent2"/>
        </w:rPr>
      </w:pPr>
    </w:p>
    <w:sectPr w:rsidR="00D50433" w:rsidRPr="001A3D57" w:rsidSect="0090606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A1FBD"/>
    <w:multiLevelType w:val="hybridMultilevel"/>
    <w:tmpl w:val="9AB48496"/>
    <w:lvl w:ilvl="0" w:tplc="AF18CDCC">
      <w:start w:val="2016"/>
      <w:numFmt w:val="bullet"/>
      <w:lvlText w:val="-"/>
      <w:lvlJc w:val="left"/>
      <w:pPr>
        <w:ind w:left="132" w:hanging="360"/>
      </w:pPr>
      <w:rPr>
        <w:rFonts w:ascii="Calibri" w:eastAsiaTheme="minorHAnsi" w:hAnsi="Calibri" w:cs="Calibri" w:hint="default"/>
      </w:rPr>
    </w:lvl>
    <w:lvl w:ilvl="1" w:tplc="0C090003" w:tentative="1">
      <w:start w:val="1"/>
      <w:numFmt w:val="bullet"/>
      <w:lvlText w:val="o"/>
      <w:lvlJc w:val="left"/>
      <w:pPr>
        <w:ind w:left="852" w:hanging="360"/>
      </w:pPr>
      <w:rPr>
        <w:rFonts w:ascii="Courier New" w:hAnsi="Courier New" w:cs="Courier New" w:hint="default"/>
      </w:rPr>
    </w:lvl>
    <w:lvl w:ilvl="2" w:tplc="0C090005" w:tentative="1">
      <w:start w:val="1"/>
      <w:numFmt w:val="bullet"/>
      <w:lvlText w:val=""/>
      <w:lvlJc w:val="left"/>
      <w:pPr>
        <w:ind w:left="1572" w:hanging="360"/>
      </w:pPr>
      <w:rPr>
        <w:rFonts w:ascii="Wingdings" w:hAnsi="Wingdings" w:hint="default"/>
      </w:rPr>
    </w:lvl>
    <w:lvl w:ilvl="3" w:tplc="0C090001" w:tentative="1">
      <w:start w:val="1"/>
      <w:numFmt w:val="bullet"/>
      <w:lvlText w:val=""/>
      <w:lvlJc w:val="left"/>
      <w:pPr>
        <w:ind w:left="2292" w:hanging="360"/>
      </w:pPr>
      <w:rPr>
        <w:rFonts w:ascii="Symbol" w:hAnsi="Symbol" w:hint="default"/>
      </w:rPr>
    </w:lvl>
    <w:lvl w:ilvl="4" w:tplc="0C090003" w:tentative="1">
      <w:start w:val="1"/>
      <w:numFmt w:val="bullet"/>
      <w:lvlText w:val="o"/>
      <w:lvlJc w:val="left"/>
      <w:pPr>
        <w:ind w:left="3012" w:hanging="360"/>
      </w:pPr>
      <w:rPr>
        <w:rFonts w:ascii="Courier New" w:hAnsi="Courier New" w:cs="Courier New" w:hint="default"/>
      </w:rPr>
    </w:lvl>
    <w:lvl w:ilvl="5" w:tplc="0C090005" w:tentative="1">
      <w:start w:val="1"/>
      <w:numFmt w:val="bullet"/>
      <w:lvlText w:val=""/>
      <w:lvlJc w:val="left"/>
      <w:pPr>
        <w:ind w:left="3732" w:hanging="360"/>
      </w:pPr>
      <w:rPr>
        <w:rFonts w:ascii="Wingdings" w:hAnsi="Wingdings" w:hint="default"/>
      </w:rPr>
    </w:lvl>
    <w:lvl w:ilvl="6" w:tplc="0C090001" w:tentative="1">
      <w:start w:val="1"/>
      <w:numFmt w:val="bullet"/>
      <w:lvlText w:val=""/>
      <w:lvlJc w:val="left"/>
      <w:pPr>
        <w:ind w:left="4452" w:hanging="360"/>
      </w:pPr>
      <w:rPr>
        <w:rFonts w:ascii="Symbol" w:hAnsi="Symbol" w:hint="default"/>
      </w:rPr>
    </w:lvl>
    <w:lvl w:ilvl="7" w:tplc="0C090003" w:tentative="1">
      <w:start w:val="1"/>
      <w:numFmt w:val="bullet"/>
      <w:lvlText w:val="o"/>
      <w:lvlJc w:val="left"/>
      <w:pPr>
        <w:ind w:left="5172" w:hanging="360"/>
      </w:pPr>
      <w:rPr>
        <w:rFonts w:ascii="Courier New" w:hAnsi="Courier New" w:cs="Courier New" w:hint="default"/>
      </w:rPr>
    </w:lvl>
    <w:lvl w:ilvl="8" w:tplc="0C090005" w:tentative="1">
      <w:start w:val="1"/>
      <w:numFmt w:val="bullet"/>
      <w:lvlText w:val=""/>
      <w:lvlJc w:val="left"/>
      <w:pPr>
        <w:ind w:left="5892" w:hanging="360"/>
      </w:pPr>
      <w:rPr>
        <w:rFonts w:ascii="Wingdings" w:hAnsi="Wingdings" w:hint="default"/>
      </w:rPr>
    </w:lvl>
  </w:abstractNum>
  <w:abstractNum w:abstractNumId="1" w15:restartNumberingAfterBreak="0">
    <w:nsid w:val="01CB74D4"/>
    <w:multiLevelType w:val="hybridMultilevel"/>
    <w:tmpl w:val="64D0DE2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0B8D42FF"/>
    <w:multiLevelType w:val="hybridMultilevel"/>
    <w:tmpl w:val="07DCCBF4"/>
    <w:lvl w:ilvl="0" w:tplc="AF18CDCC">
      <w:start w:val="2016"/>
      <w:numFmt w:val="bullet"/>
      <w:lvlText w:val="-"/>
      <w:lvlJc w:val="left"/>
      <w:pPr>
        <w:ind w:left="720" w:hanging="360"/>
      </w:pPr>
      <w:rPr>
        <w:rFonts w:ascii="Calibri" w:eastAsiaTheme="minorHAnsi" w:hAnsi="Calibri" w:cs="Calibri" w:hint="default"/>
      </w:rPr>
    </w:lvl>
    <w:lvl w:ilvl="1" w:tplc="FDBEFDE6">
      <w:numFmt w:val="bullet"/>
      <w:lvlText w:val="•"/>
      <w:lvlJc w:val="left"/>
      <w:pPr>
        <w:ind w:left="1440" w:hanging="360"/>
      </w:pPr>
      <w:rPr>
        <w:rFonts w:ascii="Roboto" w:eastAsiaTheme="minorHAnsi" w:hAnsi="Roboto" w:cstheme="minorBid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F902D1B"/>
    <w:multiLevelType w:val="hybridMultilevel"/>
    <w:tmpl w:val="6616D8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FB43213"/>
    <w:multiLevelType w:val="hybridMultilevel"/>
    <w:tmpl w:val="6546BE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CE07AEE"/>
    <w:multiLevelType w:val="hybridMultilevel"/>
    <w:tmpl w:val="A1EC6BDA"/>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CE23852"/>
    <w:multiLevelType w:val="hybridMultilevel"/>
    <w:tmpl w:val="5D46D14E"/>
    <w:lvl w:ilvl="0" w:tplc="0C090001">
      <w:start w:val="1"/>
      <w:numFmt w:val="bullet"/>
      <w:lvlText w:val=""/>
      <w:lvlJc w:val="left"/>
      <w:pPr>
        <w:ind w:left="720" w:hanging="360"/>
      </w:pPr>
      <w:rPr>
        <w:rFonts w:ascii="Symbol" w:hAnsi="Symbol" w:hint="default"/>
      </w:rPr>
    </w:lvl>
    <w:lvl w:ilvl="1" w:tplc="07A222A6">
      <w:numFmt w:val="bullet"/>
      <w:lvlText w:val="-"/>
      <w:lvlJc w:val="left"/>
      <w:pPr>
        <w:ind w:left="1440" w:hanging="360"/>
      </w:pPr>
      <w:rPr>
        <w:rFonts w:ascii="Times New Roman" w:eastAsiaTheme="minorHAnsi" w:hAnsi="Times New Roman" w:cs="Times New Roman"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2775FF5"/>
    <w:multiLevelType w:val="hybridMultilevel"/>
    <w:tmpl w:val="1688E2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6A30502"/>
    <w:multiLevelType w:val="hybridMultilevel"/>
    <w:tmpl w:val="E2743F42"/>
    <w:lvl w:ilvl="0" w:tplc="AF18CDCC">
      <w:start w:val="2016"/>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D037C69"/>
    <w:multiLevelType w:val="hybridMultilevel"/>
    <w:tmpl w:val="BD60824C"/>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1C33CD6"/>
    <w:multiLevelType w:val="hybridMultilevel"/>
    <w:tmpl w:val="25241A30"/>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29947D0"/>
    <w:multiLevelType w:val="hybridMultilevel"/>
    <w:tmpl w:val="771CE6B8"/>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4A37E03"/>
    <w:multiLevelType w:val="hybridMultilevel"/>
    <w:tmpl w:val="3D821868"/>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BF26635"/>
    <w:multiLevelType w:val="hybridMultilevel"/>
    <w:tmpl w:val="B52A9DF4"/>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1064878"/>
    <w:multiLevelType w:val="hybridMultilevel"/>
    <w:tmpl w:val="E59894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1380631"/>
    <w:multiLevelType w:val="hybridMultilevel"/>
    <w:tmpl w:val="8F04FE0C"/>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1A86E76"/>
    <w:multiLevelType w:val="hybridMultilevel"/>
    <w:tmpl w:val="FB743F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4C00E04"/>
    <w:multiLevelType w:val="hybridMultilevel"/>
    <w:tmpl w:val="BB5E7692"/>
    <w:lvl w:ilvl="0" w:tplc="AF18CDCC">
      <w:start w:val="2016"/>
      <w:numFmt w:val="bullet"/>
      <w:lvlText w:val="-"/>
      <w:lvlJc w:val="left"/>
      <w:pPr>
        <w:ind w:left="1440" w:hanging="360"/>
      </w:pPr>
      <w:rPr>
        <w:rFonts w:ascii="Calibri" w:eastAsiaTheme="minorHAnsi" w:hAnsi="Calibri" w:cs="Calibri"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563D1EB2"/>
    <w:multiLevelType w:val="hybridMultilevel"/>
    <w:tmpl w:val="BA28135A"/>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71F1A11"/>
    <w:multiLevelType w:val="hybridMultilevel"/>
    <w:tmpl w:val="8A6E4896"/>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8A45A09"/>
    <w:multiLevelType w:val="hybridMultilevel"/>
    <w:tmpl w:val="A5E02C18"/>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9030F41"/>
    <w:multiLevelType w:val="hybridMultilevel"/>
    <w:tmpl w:val="D7D24DD8"/>
    <w:lvl w:ilvl="0" w:tplc="38081E6E">
      <w:numFmt w:val="bullet"/>
      <w:lvlText w:val="•"/>
      <w:lvlJc w:val="left"/>
      <w:pPr>
        <w:ind w:left="720" w:hanging="360"/>
      </w:pPr>
      <w:rPr>
        <w:rFonts w:ascii="Roboto" w:eastAsiaTheme="minorHAnsi" w:hAnsi="Roboto"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37118E0"/>
    <w:multiLevelType w:val="hybridMultilevel"/>
    <w:tmpl w:val="F8A0C300"/>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69D2E72"/>
    <w:multiLevelType w:val="hybridMultilevel"/>
    <w:tmpl w:val="08120410"/>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7BD55E97"/>
    <w:multiLevelType w:val="hybridMultilevel"/>
    <w:tmpl w:val="2D6ACBBC"/>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F7D28D4"/>
    <w:multiLevelType w:val="hybridMultilevel"/>
    <w:tmpl w:val="34B6814E"/>
    <w:lvl w:ilvl="0" w:tplc="AF18CDCC">
      <w:start w:val="2016"/>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6247453">
    <w:abstractNumId w:val="3"/>
  </w:num>
  <w:num w:numId="2" w16cid:durableId="355808491">
    <w:abstractNumId w:val="9"/>
  </w:num>
  <w:num w:numId="3" w16cid:durableId="1170605094">
    <w:abstractNumId w:val="15"/>
  </w:num>
  <w:num w:numId="4" w16cid:durableId="1536501504">
    <w:abstractNumId w:val="20"/>
  </w:num>
  <w:num w:numId="5" w16cid:durableId="1382557914">
    <w:abstractNumId w:val="8"/>
  </w:num>
  <w:num w:numId="6" w16cid:durableId="1328705654">
    <w:abstractNumId w:val="11"/>
  </w:num>
  <w:num w:numId="7" w16cid:durableId="690841177">
    <w:abstractNumId w:val="12"/>
  </w:num>
  <w:num w:numId="8" w16cid:durableId="1606578770">
    <w:abstractNumId w:val="25"/>
  </w:num>
  <w:num w:numId="9" w16cid:durableId="1189757923">
    <w:abstractNumId w:val="21"/>
  </w:num>
  <w:num w:numId="10" w16cid:durableId="1691107619">
    <w:abstractNumId w:val="2"/>
  </w:num>
  <w:num w:numId="11" w16cid:durableId="1573392760">
    <w:abstractNumId w:val="17"/>
  </w:num>
  <w:num w:numId="12" w16cid:durableId="1520729471">
    <w:abstractNumId w:val="19"/>
  </w:num>
  <w:num w:numId="13" w16cid:durableId="1322731016">
    <w:abstractNumId w:val="18"/>
  </w:num>
  <w:num w:numId="14" w16cid:durableId="879247365">
    <w:abstractNumId w:val="10"/>
  </w:num>
  <w:num w:numId="15" w16cid:durableId="1606885116">
    <w:abstractNumId w:val="22"/>
  </w:num>
  <w:num w:numId="16" w16cid:durableId="720011185">
    <w:abstractNumId w:val="23"/>
  </w:num>
  <w:num w:numId="17" w16cid:durableId="1856192022">
    <w:abstractNumId w:val="5"/>
  </w:num>
  <w:num w:numId="18" w16cid:durableId="286086220">
    <w:abstractNumId w:val="13"/>
  </w:num>
  <w:num w:numId="19" w16cid:durableId="104543651">
    <w:abstractNumId w:val="24"/>
  </w:num>
  <w:num w:numId="20" w16cid:durableId="1361129598">
    <w:abstractNumId w:val="0"/>
  </w:num>
  <w:num w:numId="21" w16cid:durableId="1911305274">
    <w:abstractNumId w:val="16"/>
  </w:num>
  <w:num w:numId="22" w16cid:durableId="1362903611">
    <w:abstractNumId w:val="6"/>
  </w:num>
  <w:num w:numId="23" w16cid:durableId="703142553">
    <w:abstractNumId w:val="7"/>
  </w:num>
  <w:num w:numId="24" w16cid:durableId="384984164">
    <w:abstractNumId w:val="4"/>
  </w:num>
  <w:num w:numId="25" w16cid:durableId="1225261755">
    <w:abstractNumId w:val="1"/>
  </w:num>
  <w:num w:numId="26" w16cid:durableId="16125174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EAF"/>
    <w:rsid w:val="00003E17"/>
    <w:rsid w:val="00010E75"/>
    <w:rsid w:val="000159B1"/>
    <w:rsid w:val="00030ED9"/>
    <w:rsid w:val="00035200"/>
    <w:rsid w:val="00037A23"/>
    <w:rsid w:val="00044C63"/>
    <w:rsid w:val="00045464"/>
    <w:rsid w:val="00045E52"/>
    <w:rsid w:val="00062E4A"/>
    <w:rsid w:val="0006459C"/>
    <w:rsid w:val="00066CA3"/>
    <w:rsid w:val="000672F2"/>
    <w:rsid w:val="000A5D12"/>
    <w:rsid w:val="000B6C3D"/>
    <w:rsid w:val="000D59E6"/>
    <w:rsid w:val="000E0621"/>
    <w:rsid w:val="000F3EA2"/>
    <w:rsid w:val="000F6034"/>
    <w:rsid w:val="001022F6"/>
    <w:rsid w:val="00141B97"/>
    <w:rsid w:val="00143DF8"/>
    <w:rsid w:val="00153DF3"/>
    <w:rsid w:val="00166B7D"/>
    <w:rsid w:val="00174F7E"/>
    <w:rsid w:val="00181D5E"/>
    <w:rsid w:val="001919DB"/>
    <w:rsid w:val="00195D03"/>
    <w:rsid w:val="001A0A17"/>
    <w:rsid w:val="001A3D57"/>
    <w:rsid w:val="001A4B55"/>
    <w:rsid w:val="001C3A79"/>
    <w:rsid w:val="001C5949"/>
    <w:rsid w:val="001D3110"/>
    <w:rsid w:val="001E19DD"/>
    <w:rsid w:val="001E623C"/>
    <w:rsid w:val="00204305"/>
    <w:rsid w:val="00213E8A"/>
    <w:rsid w:val="00221013"/>
    <w:rsid w:val="002416BE"/>
    <w:rsid w:val="00246AE3"/>
    <w:rsid w:val="00256931"/>
    <w:rsid w:val="002628CF"/>
    <w:rsid w:val="00264C1A"/>
    <w:rsid w:val="002874F8"/>
    <w:rsid w:val="0029429D"/>
    <w:rsid w:val="002A0D31"/>
    <w:rsid w:val="002A257A"/>
    <w:rsid w:val="002A3594"/>
    <w:rsid w:val="002B1840"/>
    <w:rsid w:val="002B3950"/>
    <w:rsid w:val="002C4018"/>
    <w:rsid w:val="002D364E"/>
    <w:rsid w:val="002E445A"/>
    <w:rsid w:val="002E659E"/>
    <w:rsid w:val="002F59FB"/>
    <w:rsid w:val="00303650"/>
    <w:rsid w:val="00303658"/>
    <w:rsid w:val="003325B5"/>
    <w:rsid w:val="003339F5"/>
    <w:rsid w:val="00333CF0"/>
    <w:rsid w:val="00334F37"/>
    <w:rsid w:val="00335DE0"/>
    <w:rsid w:val="003523B9"/>
    <w:rsid w:val="00361BE8"/>
    <w:rsid w:val="0038521B"/>
    <w:rsid w:val="00386F74"/>
    <w:rsid w:val="00395688"/>
    <w:rsid w:val="0039599D"/>
    <w:rsid w:val="003A2001"/>
    <w:rsid w:val="003A42E2"/>
    <w:rsid w:val="003A5572"/>
    <w:rsid w:val="003A66D4"/>
    <w:rsid w:val="003A6982"/>
    <w:rsid w:val="003B0C5D"/>
    <w:rsid w:val="003B5C25"/>
    <w:rsid w:val="003B73FF"/>
    <w:rsid w:val="003C36BD"/>
    <w:rsid w:val="003D295B"/>
    <w:rsid w:val="003D6675"/>
    <w:rsid w:val="003E387B"/>
    <w:rsid w:val="003F37DE"/>
    <w:rsid w:val="003F54C9"/>
    <w:rsid w:val="004056A6"/>
    <w:rsid w:val="00407B2F"/>
    <w:rsid w:val="004178C3"/>
    <w:rsid w:val="0041792C"/>
    <w:rsid w:val="0042401C"/>
    <w:rsid w:val="00425311"/>
    <w:rsid w:val="00431F87"/>
    <w:rsid w:val="00432F69"/>
    <w:rsid w:val="004438CA"/>
    <w:rsid w:val="00444E32"/>
    <w:rsid w:val="00476B29"/>
    <w:rsid w:val="004A3333"/>
    <w:rsid w:val="004C738F"/>
    <w:rsid w:val="004E722E"/>
    <w:rsid w:val="004F3BC3"/>
    <w:rsid w:val="004F641E"/>
    <w:rsid w:val="00507E3E"/>
    <w:rsid w:val="00513391"/>
    <w:rsid w:val="0051762F"/>
    <w:rsid w:val="005203F5"/>
    <w:rsid w:val="00537EB1"/>
    <w:rsid w:val="00553557"/>
    <w:rsid w:val="00554367"/>
    <w:rsid w:val="00557687"/>
    <w:rsid w:val="0057246F"/>
    <w:rsid w:val="00572CA4"/>
    <w:rsid w:val="0057333D"/>
    <w:rsid w:val="00575964"/>
    <w:rsid w:val="00577381"/>
    <w:rsid w:val="005850C0"/>
    <w:rsid w:val="005914C8"/>
    <w:rsid w:val="00593E1C"/>
    <w:rsid w:val="005A1656"/>
    <w:rsid w:val="005B1F83"/>
    <w:rsid w:val="005B3330"/>
    <w:rsid w:val="005B431E"/>
    <w:rsid w:val="005B46FD"/>
    <w:rsid w:val="005B4F12"/>
    <w:rsid w:val="005B6C72"/>
    <w:rsid w:val="005B7686"/>
    <w:rsid w:val="005D2F6C"/>
    <w:rsid w:val="00603926"/>
    <w:rsid w:val="006040AE"/>
    <w:rsid w:val="00610713"/>
    <w:rsid w:val="00612285"/>
    <w:rsid w:val="00631C01"/>
    <w:rsid w:val="00632081"/>
    <w:rsid w:val="006367C8"/>
    <w:rsid w:val="00641ECE"/>
    <w:rsid w:val="006471EC"/>
    <w:rsid w:val="00667065"/>
    <w:rsid w:val="006706CF"/>
    <w:rsid w:val="00682EAF"/>
    <w:rsid w:val="0069438B"/>
    <w:rsid w:val="006A7C6E"/>
    <w:rsid w:val="006B0A8A"/>
    <w:rsid w:val="006C197B"/>
    <w:rsid w:val="006C1CDC"/>
    <w:rsid w:val="006C6028"/>
    <w:rsid w:val="006D7999"/>
    <w:rsid w:val="006E2BC5"/>
    <w:rsid w:val="006E5638"/>
    <w:rsid w:val="00710294"/>
    <w:rsid w:val="00711348"/>
    <w:rsid w:val="00714FDA"/>
    <w:rsid w:val="00715567"/>
    <w:rsid w:val="00720F34"/>
    <w:rsid w:val="007337E0"/>
    <w:rsid w:val="0074091A"/>
    <w:rsid w:val="00740C7E"/>
    <w:rsid w:val="00741778"/>
    <w:rsid w:val="007470C4"/>
    <w:rsid w:val="0076007E"/>
    <w:rsid w:val="007624CE"/>
    <w:rsid w:val="00770FCB"/>
    <w:rsid w:val="007A3E64"/>
    <w:rsid w:val="007B7643"/>
    <w:rsid w:val="007C64ED"/>
    <w:rsid w:val="007D09C3"/>
    <w:rsid w:val="007E52B2"/>
    <w:rsid w:val="007E63C2"/>
    <w:rsid w:val="007F5B43"/>
    <w:rsid w:val="00810C4D"/>
    <w:rsid w:val="00811218"/>
    <w:rsid w:val="00814484"/>
    <w:rsid w:val="00821A2D"/>
    <w:rsid w:val="00826F93"/>
    <w:rsid w:val="00837365"/>
    <w:rsid w:val="00842692"/>
    <w:rsid w:val="0085648D"/>
    <w:rsid w:val="00866CFC"/>
    <w:rsid w:val="00867509"/>
    <w:rsid w:val="008756A6"/>
    <w:rsid w:val="008769F0"/>
    <w:rsid w:val="008805B2"/>
    <w:rsid w:val="00882748"/>
    <w:rsid w:val="00884321"/>
    <w:rsid w:val="008863B2"/>
    <w:rsid w:val="00890D83"/>
    <w:rsid w:val="008A0A50"/>
    <w:rsid w:val="008C0C91"/>
    <w:rsid w:val="008C5AF3"/>
    <w:rsid w:val="008E09AB"/>
    <w:rsid w:val="008E69A5"/>
    <w:rsid w:val="008F2838"/>
    <w:rsid w:val="0090100E"/>
    <w:rsid w:val="00906062"/>
    <w:rsid w:val="009109AD"/>
    <w:rsid w:val="00913F05"/>
    <w:rsid w:val="0092017B"/>
    <w:rsid w:val="00921C2A"/>
    <w:rsid w:val="00931E33"/>
    <w:rsid w:val="00932BEE"/>
    <w:rsid w:val="00933AEA"/>
    <w:rsid w:val="0094054E"/>
    <w:rsid w:val="00944C77"/>
    <w:rsid w:val="0094704A"/>
    <w:rsid w:val="009478AE"/>
    <w:rsid w:val="0095508C"/>
    <w:rsid w:val="00963943"/>
    <w:rsid w:val="00964DC6"/>
    <w:rsid w:val="009670BF"/>
    <w:rsid w:val="009742A5"/>
    <w:rsid w:val="00974D5D"/>
    <w:rsid w:val="00984B3F"/>
    <w:rsid w:val="00986E41"/>
    <w:rsid w:val="009A556E"/>
    <w:rsid w:val="009A62BD"/>
    <w:rsid w:val="009C09F4"/>
    <w:rsid w:val="009C56B6"/>
    <w:rsid w:val="009C6AFB"/>
    <w:rsid w:val="009D0833"/>
    <w:rsid w:val="009E16EA"/>
    <w:rsid w:val="009E4921"/>
    <w:rsid w:val="009F16A5"/>
    <w:rsid w:val="00A02115"/>
    <w:rsid w:val="00A12581"/>
    <w:rsid w:val="00A244A6"/>
    <w:rsid w:val="00A3174C"/>
    <w:rsid w:val="00A337E5"/>
    <w:rsid w:val="00A35B04"/>
    <w:rsid w:val="00A42C00"/>
    <w:rsid w:val="00A44983"/>
    <w:rsid w:val="00A5147C"/>
    <w:rsid w:val="00A60C88"/>
    <w:rsid w:val="00A7095A"/>
    <w:rsid w:val="00A82286"/>
    <w:rsid w:val="00A837A0"/>
    <w:rsid w:val="00A95CC1"/>
    <w:rsid w:val="00A964F4"/>
    <w:rsid w:val="00AA53BB"/>
    <w:rsid w:val="00AC0287"/>
    <w:rsid w:val="00AD5AFE"/>
    <w:rsid w:val="00AF1A92"/>
    <w:rsid w:val="00AF41D8"/>
    <w:rsid w:val="00AF610F"/>
    <w:rsid w:val="00AF7E3D"/>
    <w:rsid w:val="00B047B7"/>
    <w:rsid w:val="00B15C47"/>
    <w:rsid w:val="00B163BC"/>
    <w:rsid w:val="00B23B9D"/>
    <w:rsid w:val="00B24B04"/>
    <w:rsid w:val="00B27EF8"/>
    <w:rsid w:val="00B33E95"/>
    <w:rsid w:val="00B44CBF"/>
    <w:rsid w:val="00B51F1F"/>
    <w:rsid w:val="00B55148"/>
    <w:rsid w:val="00B55324"/>
    <w:rsid w:val="00B82606"/>
    <w:rsid w:val="00BB22AF"/>
    <w:rsid w:val="00BB2C5C"/>
    <w:rsid w:val="00BB7266"/>
    <w:rsid w:val="00BC5435"/>
    <w:rsid w:val="00BD416E"/>
    <w:rsid w:val="00BD647D"/>
    <w:rsid w:val="00BE101F"/>
    <w:rsid w:val="00BF040D"/>
    <w:rsid w:val="00C03501"/>
    <w:rsid w:val="00C059DC"/>
    <w:rsid w:val="00C14992"/>
    <w:rsid w:val="00C14CE0"/>
    <w:rsid w:val="00C21E62"/>
    <w:rsid w:val="00C25347"/>
    <w:rsid w:val="00C52F04"/>
    <w:rsid w:val="00C673BE"/>
    <w:rsid w:val="00C76D92"/>
    <w:rsid w:val="00C903F5"/>
    <w:rsid w:val="00C9614D"/>
    <w:rsid w:val="00CA15A9"/>
    <w:rsid w:val="00CB30F7"/>
    <w:rsid w:val="00CB3A3A"/>
    <w:rsid w:val="00CB6C9D"/>
    <w:rsid w:val="00CB766C"/>
    <w:rsid w:val="00CD69AF"/>
    <w:rsid w:val="00CF71D0"/>
    <w:rsid w:val="00D04015"/>
    <w:rsid w:val="00D117C8"/>
    <w:rsid w:val="00D15709"/>
    <w:rsid w:val="00D4111D"/>
    <w:rsid w:val="00D44DEA"/>
    <w:rsid w:val="00D453F0"/>
    <w:rsid w:val="00D50210"/>
    <w:rsid w:val="00D50433"/>
    <w:rsid w:val="00D5226F"/>
    <w:rsid w:val="00D7144C"/>
    <w:rsid w:val="00D8439F"/>
    <w:rsid w:val="00DA009B"/>
    <w:rsid w:val="00DB0B02"/>
    <w:rsid w:val="00DB0F41"/>
    <w:rsid w:val="00DB2B3A"/>
    <w:rsid w:val="00DB3F61"/>
    <w:rsid w:val="00DC46AE"/>
    <w:rsid w:val="00DD31A3"/>
    <w:rsid w:val="00DE08EC"/>
    <w:rsid w:val="00DE6D9D"/>
    <w:rsid w:val="00E10C7A"/>
    <w:rsid w:val="00E229BD"/>
    <w:rsid w:val="00E30022"/>
    <w:rsid w:val="00E57107"/>
    <w:rsid w:val="00E76199"/>
    <w:rsid w:val="00E87FCA"/>
    <w:rsid w:val="00EA5847"/>
    <w:rsid w:val="00EB2D00"/>
    <w:rsid w:val="00EC1820"/>
    <w:rsid w:val="00EE6394"/>
    <w:rsid w:val="00EF1128"/>
    <w:rsid w:val="00F11BE4"/>
    <w:rsid w:val="00F32562"/>
    <w:rsid w:val="00F32ED3"/>
    <w:rsid w:val="00F368F1"/>
    <w:rsid w:val="00F5000A"/>
    <w:rsid w:val="00F501C8"/>
    <w:rsid w:val="00F51CDF"/>
    <w:rsid w:val="00F57EA3"/>
    <w:rsid w:val="00F64637"/>
    <w:rsid w:val="00F678B7"/>
    <w:rsid w:val="00F70D50"/>
    <w:rsid w:val="00F805E4"/>
    <w:rsid w:val="00F81B56"/>
    <w:rsid w:val="00F916CE"/>
    <w:rsid w:val="00FA0FCE"/>
    <w:rsid w:val="00FA1F55"/>
    <w:rsid w:val="00FA5E8A"/>
    <w:rsid w:val="00FB7C3D"/>
    <w:rsid w:val="00FD5FAC"/>
    <w:rsid w:val="00FE062C"/>
    <w:rsid w:val="00FE1C3E"/>
    <w:rsid w:val="00FE5C1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FEC64"/>
  <w15:chartTrackingRefBased/>
  <w15:docId w15:val="{1C61A9D4-ACBB-47DD-A7CB-73FDB3C35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29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766C"/>
    <w:pPr>
      <w:ind w:left="720"/>
      <w:contextualSpacing/>
    </w:pPr>
  </w:style>
  <w:style w:type="character" w:styleId="CommentReference">
    <w:name w:val="annotation reference"/>
    <w:basedOn w:val="DefaultParagraphFont"/>
    <w:uiPriority w:val="99"/>
    <w:semiHidden/>
    <w:unhideWhenUsed/>
    <w:rsid w:val="00F81B56"/>
    <w:rPr>
      <w:sz w:val="16"/>
      <w:szCs w:val="16"/>
    </w:rPr>
  </w:style>
  <w:style w:type="paragraph" w:styleId="CommentText">
    <w:name w:val="annotation text"/>
    <w:basedOn w:val="Normal"/>
    <w:link w:val="CommentTextChar"/>
    <w:uiPriority w:val="99"/>
    <w:unhideWhenUsed/>
    <w:rsid w:val="00F81B56"/>
    <w:pPr>
      <w:spacing w:line="240" w:lineRule="auto"/>
    </w:pPr>
    <w:rPr>
      <w:sz w:val="20"/>
      <w:szCs w:val="20"/>
    </w:rPr>
  </w:style>
  <w:style w:type="character" w:customStyle="1" w:styleId="CommentTextChar">
    <w:name w:val="Comment Text Char"/>
    <w:basedOn w:val="DefaultParagraphFont"/>
    <w:link w:val="CommentText"/>
    <w:uiPriority w:val="99"/>
    <w:rsid w:val="00F81B56"/>
    <w:rPr>
      <w:sz w:val="20"/>
      <w:szCs w:val="20"/>
    </w:rPr>
  </w:style>
  <w:style w:type="paragraph" w:styleId="CommentSubject">
    <w:name w:val="annotation subject"/>
    <w:basedOn w:val="CommentText"/>
    <w:next w:val="CommentText"/>
    <w:link w:val="CommentSubjectChar"/>
    <w:uiPriority w:val="99"/>
    <w:semiHidden/>
    <w:unhideWhenUsed/>
    <w:rsid w:val="00F81B56"/>
    <w:rPr>
      <w:b/>
      <w:bCs/>
    </w:rPr>
  </w:style>
  <w:style w:type="character" w:customStyle="1" w:styleId="CommentSubjectChar">
    <w:name w:val="Comment Subject Char"/>
    <w:basedOn w:val="CommentTextChar"/>
    <w:link w:val="CommentSubject"/>
    <w:uiPriority w:val="99"/>
    <w:semiHidden/>
    <w:rsid w:val="00F81B56"/>
    <w:rPr>
      <w:b/>
      <w:bCs/>
      <w:sz w:val="20"/>
      <w:szCs w:val="20"/>
    </w:rPr>
  </w:style>
  <w:style w:type="paragraph" w:styleId="Revision">
    <w:name w:val="Revision"/>
    <w:hidden/>
    <w:uiPriority w:val="99"/>
    <w:semiHidden/>
    <w:rsid w:val="0071134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3A01EE-A4EA-4DF6-9B3A-0E3A2F357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1435</TotalTime>
  <Pages>10</Pages>
  <Words>2240</Words>
  <Characters>12771</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Uday Yadav</dc:creator>
  <cp:keywords/>
  <dc:description/>
  <cp:lastModifiedBy>Uday Yadav</cp:lastModifiedBy>
  <cp:revision>321</cp:revision>
  <cp:lastPrinted>2023-05-22T23:04:00Z</cp:lastPrinted>
  <dcterms:created xsi:type="dcterms:W3CDTF">2023-05-18T23:15:00Z</dcterms:created>
  <dcterms:modified xsi:type="dcterms:W3CDTF">2023-08-15T04:40:00Z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d8925a682b8f6cd5631b6436b9ccb1c0a9a4b74b4e0d6b9669ca0386b6a1620a</vt:lpwstr>
  </property>
</Properties>
</file>