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7"/>
        <w:gridCol w:w="2091"/>
        <w:gridCol w:w="1881"/>
        <w:gridCol w:w="1777"/>
        <w:gridCol w:w="1818"/>
        <w:gridCol w:w="622"/>
        <w:gridCol w:w="36"/>
        <w:gridCol w:w="36"/>
        <w:gridCol w:w="36"/>
        <w:gridCol w:w="36"/>
      </w:tblGrid>
      <w:tr w:rsidR="00365BA4" w:rsidRPr="00433E84" w14:paraId="77E60B75" w14:textId="77777777" w:rsidTr="004F0EF2">
        <w:trPr>
          <w:trHeight w:val="703"/>
        </w:trPr>
        <w:tc>
          <w:tcPr>
            <w:tcW w:w="0" w:type="auto"/>
            <w:gridSpan w:val="5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2B169D3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  <w:p w14:paraId="3B357F5F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pt-BR"/>
                <w14:ligatures w14:val="none"/>
              </w:rPr>
              <w:t>Table 3.  Clinical outcomes of the Covid-19 patients with cirrhosis and matched controls without cirrhosis during hospitalization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E643070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34A2F2C2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6A47CD8C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5FA5623A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66B63A43" w14:textId="77777777" w:rsidR="00365BA4" w:rsidRPr="00C25F21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val="en-US" w:eastAsia="pt-BR"/>
                <w14:ligatures w14:val="none"/>
              </w:rPr>
            </w:pPr>
          </w:p>
        </w:tc>
      </w:tr>
      <w:tr w:rsidR="00365BA4" w:rsidRPr="00951538" w14:paraId="2CB483C4" w14:textId="77777777" w:rsidTr="004F0EF2">
        <w:trPr>
          <w:trHeight w:val="5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F526FA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Variables</w:t>
            </w:r>
          </w:p>
        </w:tc>
        <w:tc>
          <w:tcPr>
            <w:tcW w:w="2133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892461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557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E97B3D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Overall</w:t>
            </w: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:lang w:eastAsia="pt-BR"/>
                <w14:ligatures w14:val="none"/>
              </w:rPr>
              <w:t>1</w:t>
            </w:r>
          </w:p>
          <w:p w14:paraId="6CDA8CD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N= 749</w:t>
            </w:r>
          </w:p>
        </w:tc>
        <w:tc>
          <w:tcPr>
            <w:tcW w:w="1520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7597F6E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Study group</w:t>
            </w: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:lang w:eastAsia="pt-BR"/>
                <w14:ligatures w14:val="none"/>
              </w:rPr>
              <w:t>1</w:t>
            </w:r>
          </w:p>
          <w:p w14:paraId="5F7A4D5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N= 117</w:t>
            </w:r>
          </w:p>
        </w:tc>
        <w:tc>
          <w:tcPr>
            <w:tcW w:w="1501" w:type="dxa"/>
            <w:tcBorders>
              <w:top w:val="single" w:sz="8" w:space="0" w:color="000000"/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71F5ED2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Control group</w:t>
            </w: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:lang w:eastAsia="pt-BR"/>
                <w14:ligatures w14:val="none"/>
              </w:rPr>
              <w:t>1</w:t>
            </w:r>
          </w:p>
          <w:p w14:paraId="0297D640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N= 632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</w:tcPr>
          <w:p w14:paraId="16030A1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p-value</w:t>
            </w:r>
            <w:r w:rsidRPr="0095153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:vertAlign w:val="superscript"/>
                <w:lang w:eastAsia="pt-BR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</w:tcPr>
          <w:p w14:paraId="0DA656EC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</w:tcPr>
          <w:p w14:paraId="416141F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</w:tcPr>
          <w:p w14:paraId="4B2BD32E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</w:tcPr>
          <w:p w14:paraId="6B51659F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</w:p>
        </w:tc>
      </w:tr>
    </w:tbl>
    <w:p w14:paraId="242FCB8C" w14:textId="77777777" w:rsidR="00365BA4" w:rsidRPr="00951538" w:rsidRDefault="00365BA4" w:rsidP="00365BA4">
      <w:pPr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951538">
        <w:rPr>
          <w:rFonts w:ascii="Times New Roman" w:eastAsia="Times New Roman" w:hAnsi="Times New Roman" w:cs="Times New Roman"/>
          <w:color w:val="000000"/>
          <w:kern w:val="0"/>
          <w:lang w:eastAsia="pt-BR"/>
          <w14:ligatures w14:val="none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1692"/>
        <w:gridCol w:w="716"/>
      </w:tblGrid>
      <w:tr w:rsidR="00365BA4" w:rsidRPr="00951538" w14:paraId="0E61400E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A08F6D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Hospital length of stay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AB331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10.0 (5.0, 20.0)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CD317A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13.0 (6.0, 21.0)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3F1A89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10.0 (5.0, 20.0)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4E9F4CE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0.106</w:t>
            </w:r>
          </w:p>
        </w:tc>
      </w:tr>
      <w:tr w:rsidR="00365BA4" w:rsidRPr="00951538" w14:paraId="6418BDEB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E31BEC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Admission in ICU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B30778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300 (40.1%)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132858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60 (51.3%)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39342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240 (38.0%)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F91B6A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0.007</w:t>
            </w:r>
          </w:p>
        </w:tc>
      </w:tr>
      <w:tr w:rsidR="00365BA4" w:rsidRPr="00951538" w14:paraId="7F455194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3AC26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Invasive mechanical ventilation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FCD30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215 (29.3%)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3AFB55C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50 (43.9%)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D34E8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165 (26.6%)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197381C0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&lt;0.001</w:t>
            </w:r>
          </w:p>
        </w:tc>
      </w:tr>
      <w:tr w:rsidR="00365BA4" w:rsidRPr="00951538" w14:paraId="57B6AED2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5788C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Renal replacement therapy</w:t>
            </w:r>
          </w:p>
          <w:p w14:paraId="36266D3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37CE28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91 (12.2%)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6ECE12C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21 (17.9%)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872C9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70 (11.1%)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C5EA35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0.038</w:t>
            </w:r>
          </w:p>
        </w:tc>
      </w:tr>
      <w:tr w:rsidR="00365BA4" w:rsidRPr="00951538" w14:paraId="34095131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5D97A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Septic shock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8F30E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122 (16.3%)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3536B2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28 (23.9%)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428638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94 (14.9%)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D23DE0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0.015</w:t>
            </w:r>
          </w:p>
        </w:tc>
      </w:tr>
      <w:tr w:rsidR="00365BA4" w:rsidRPr="00951538" w14:paraId="37B543BE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7C8370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Nosocomial infection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CB5A3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130 (17.4%)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F50095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27 (23.1%)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82BB32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103 (16.3%)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6E546BB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0.078</w:t>
            </w:r>
          </w:p>
        </w:tc>
      </w:tr>
      <w:tr w:rsidR="00365BA4" w:rsidRPr="00951538" w14:paraId="01BF4EE0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F49808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Acute heart failure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7933BD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19 (2.5%)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5C2A26B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 (1.7%)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DDA4A9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17 (2.7%)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0002AD4F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0.753</w:t>
            </w:r>
          </w:p>
        </w:tc>
      </w:tr>
      <w:tr w:rsidR="00365BA4" w:rsidRPr="00951538" w14:paraId="3B5BD482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418A12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Myocarditis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5A99AD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4 (0.5%)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2C637A5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 (0.0%)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519ED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4 (0.6%)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5B4684A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&gt;0.999</w:t>
            </w:r>
          </w:p>
        </w:tc>
      </w:tr>
      <w:tr w:rsidR="00365BA4" w:rsidRPr="00951538" w14:paraId="140148D1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F450E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Bleeding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060F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32 (4.3%)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C23F223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8 (6.8%)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0D1AD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24 (3.8%)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3CB296F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0.139</w:t>
            </w:r>
          </w:p>
        </w:tc>
      </w:tr>
      <w:tr w:rsidR="00365BA4" w:rsidRPr="00951538" w14:paraId="7061B325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05323F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VTE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76A62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35 (4.7%)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BD91F86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 (0.9%)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B1D10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34 (5.4%)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0B6D04C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0.033</w:t>
            </w:r>
          </w:p>
        </w:tc>
      </w:tr>
      <w:tr w:rsidR="00365BA4" w:rsidRPr="00951538" w14:paraId="458639D5" w14:textId="77777777" w:rsidTr="004F0EF2">
        <w:trPr>
          <w:trHeight w:val="680"/>
        </w:trPr>
        <w:tc>
          <w:tcPr>
            <w:tcW w:w="269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293D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Palliative care</w:t>
            </w:r>
          </w:p>
        </w:tc>
        <w:tc>
          <w:tcPr>
            <w:tcW w:w="170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8E939F" w14:textId="77777777" w:rsidR="00365BA4" w:rsidRPr="00951538" w:rsidRDefault="00365BA4" w:rsidP="004F0EF2">
            <w:pPr>
              <w:ind w:left="21"/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70 (9.4%)</w:t>
            </w:r>
          </w:p>
        </w:tc>
        <w:tc>
          <w:tcPr>
            <w:tcW w:w="170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24C1FF9F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23 (19.7%)</w:t>
            </w:r>
          </w:p>
        </w:tc>
        <w:tc>
          <w:tcPr>
            <w:tcW w:w="1692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784DD4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47 (7.4%)</w:t>
            </w:r>
          </w:p>
        </w:tc>
        <w:tc>
          <w:tcPr>
            <w:tcW w:w="0" w:type="auto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3F4E9A67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&lt;0.001</w:t>
            </w:r>
          </w:p>
        </w:tc>
      </w:tr>
      <w:tr w:rsidR="00365BA4" w:rsidRPr="00951538" w14:paraId="44D42EC2" w14:textId="77777777" w:rsidTr="004F0EF2">
        <w:trPr>
          <w:trHeight w:val="680"/>
        </w:trPr>
        <w:tc>
          <w:tcPr>
            <w:tcW w:w="2694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65871B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In-hospital mortality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FCF1C5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197 (26.4%)</w:t>
            </w:r>
          </w:p>
        </w:tc>
        <w:tc>
          <w:tcPr>
            <w:tcW w:w="1701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40D40009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60 (51.3%)</w:t>
            </w:r>
          </w:p>
        </w:tc>
        <w:tc>
          <w:tcPr>
            <w:tcW w:w="1692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124192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137 (21.7%)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14:paraId="776A51E1" w14:textId="77777777" w:rsidR="00365BA4" w:rsidRPr="00951538" w:rsidRDefault="00365BA4" w:rsidP="004F0EF2">
            <w:pPr>
              <w:rPr>
                <w:rFonts w:ascii="Times New Roman" w:eastAsia="Times New Roman" w:hAnsi="Times New Roman" w:cs="Times New Roman"/>
                <w:kern w:val="0"/>
                <w:lang w:eastAsia="pt-BR"/>
                <w14:ligatures w14:val="none"/>
              </w:rPr>
            </w:pPr>
            <w:r w:rsidRPr="00951538">
              <w:rPr>
                <w:rFonts w:ascii="Times New Roman" w:eastAsia="Times New Roman" w:hAnsi="Times New Roman" w:cs="Times New Roman"/>
                <w:color w:val="000000"/>
                <w:kern w:val="0"/>
                <w:lang w:eastAsia="pt-BR"/>
                <w14:ligatures w14:val="none"/>
              </w:rPr>
              <w:t>&lt;0.001</w:t>
            </w:r>
          </w:p>
        </w:tc>
      </w:tr>
    </w:tbl>
    <w:p w14:paraId="1B12926F" w14:textId="77777777" w:rsidR="00365BA4" w:rsidRPr="00951538" w:rsidRDefault="00365BA4" w:rsidP="00365BA4">
      <w:pPr>
        <w:jc w:val="both"/>
        <w:rPr>
          <w:rFonts w:ascii="Times New Roman" w:eastAsia="Times New Roman" w:hAnsi="Times New Roman" w:cs="Times New Roman"/>
          <w:kern w:val="0"/>
          <w:lang w:val="en-US" w:eastAsia="pt-BR"/>
          <w14:ligatures w14:val="none"/>
        </w:rPr>
      </w:pPr>
      <w:r w:rsidRPr="00951538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 ICU: intensive care unit; VTE: venous thromboembolism.</w:t>
      </w:r>
      <w:r w:rsidRPr="00951538">
        <w:rPr>
          <w:rFonts w:ascii="Times New Roman" w:eastAsia="Times New Roman" w:hAnsi="Times New Roman" w:cs="Times New Roman"/>
          <w:b/>
          <w:bCs/>
          <w:color w:val="000000"/>
          <w:kern w:val="0"/>
          <w:lang w:val="en-US" w:eastAsia="pt-BR"/>
          <w14:ligatures w14:val="none"/>
        </w:rPr>
        <w:t xml:space="preserve"> </w:t>
      </w:r>
      <w:r w:rsidRPr="0095153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:lang w:val="en-US" w:eastAsia="pt-BR"/>
          <w14:ligatures w14:val="none"/>
        </w:rPr>
        <w:t>1</w:t>
      </w:r>
      <w:r w:rsidRPr="00951538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 xml:space="preserve">n (%); Median (IQR); </w:t>
      </w:r>
      <w:r w:rsidRPr="0095153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:lang w:val="en-US" w:eastAsia="pt-BR"/>
          <w14:ligatures w14:val="none"/>
        </w:rPr>
        <w:t>2</w:t>
      </w:r>
      <w:r w:rsidRPr="00951538">
        <w:rPr>
          <w:rFonts w:ascii="Times New Roman" w:eastAsia="Times New Roman" w:hAnsi="Times New Roman" w:cs="Times New Roman"/>
          <w:color w:val="000000"/>
          <w:kern w:val="0"/>
          <w:lang w:val="en-US" w:eastAsia="pt-BR"/>
          <w14:ligatures w14:val="none"/>
        </w:rPr>
        <w:t>Statistical tests performed: chi-square test; Wilcoxon rank-sum test; Fisher's exact test.</w:t>
      </w:r>
    </w:p>
    <w:p w14:paraId="32886A84" w14:textId="77777777" w:rsidR="00365BA4" w:rsidRPr="00951538" w:rsidRDefault="00365BA4" w:rsidP="00365BA4">
      <w:pPr>
        <w:rPr>
          <w:rFonts w:ascii="Times New Roman" w:eastAsia="Times New Roman" w:hAnsi="Times New Roman" w:cs="Times New Roman"/>
          <w:kern w:val="0"/>
          <w:lang w:val="en-US" w:eastAsia="pt-BR"/>
          <w14:ligatures w14:val="none"/>
        </w:rPr>
      </w:pPr>
    </w:p>
    <w:p w14:paraId="684C101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BA4"/>
    <w:rsid w:val="00331A6B"/>
    <w:rsid w:val="00365BA4"/>
    <w:rsid w:val="00755780"/>
    <w:rsid w:val="00857596"/>
    <w:rsid w:val="009D2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8523B"/>
  <w15:chartTrackingRefBased/>
  <w15:docId w15:val="{0E7A22B5-9BBD-4E14-B0E3-FECA57DE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A4"/>
    <w:pPr>
      <w:spacing w:after="0" w:line="240" w:lineRule="auto"/>
    </w:pPr>
    <w:rPr>
      <w:sz w:val="24"/>
      <w:szCs w:val="24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5BA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BA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BA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BA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BA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BA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BA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BA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BA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B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B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B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B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B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B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B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B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B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B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65B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BA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65B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BA4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65B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BA4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365B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B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B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B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Company>Springer Nature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2024-08-13T07:08:00Z</dcterms:created>
  <dcterms:modified xsi:type="dcterms:W3CDTF">2024-08-13T07:08:00Z</dcterms:modified>
</cp:coreProperties>
</file>