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jc w:val="center"/>
        <w:rPr>
          <w:rFonts w:ascii="Arial" w:cs="Arial" w:hAnsi="Arial" w:eastAsia="Arial"/>
        </w:rPr>
      </w:pPr>
      <w:r>
        <w:rPr>
          <w:rFonts w:ascii="Arial" w:hAnsi="Arial"/>
          <w:rtl w:val="0"/>
          <w:lang w:val="en-US"/>
        </w:rPr>
        <w:t>2013 CARE Checklist</w:t>
      </w:r>
    </w:p>
    <w:p>
      <w:pPr>
        <w:pStyle w:val="Body"/>
        <w:jc w:val="center"/>
        <w:rPr>
          <w:rFonts w:ascii="Arial" w:cs="Arial" w:hAnsi="Arial" w:eastAsia="Arial"/>
        </w:rPr>
      </w:pPr>
    </w:p>
    <w:p>
      <w:pPr>
        <w:pStyle w:val="Body"/>
        <w:numPr>
          <w:ilvl w:val="0"/>
          <w:numId w:val="2"/>
        </w:numPr>
        <w:jc w:val="left"/>
        <w:rPr>
          <w:rFonts w:ascii="Arial" w:hAnsi="Arial"/>
          <w:lang w:val="en-US"/>
        </w:rPr>
      </w:pPr>
      <w:r>
        <w:rPr>
          <w:rFonts w:ascii="Arial" w:hAnsi="Arial"/>
          <w:rtl w:val="0"/>
          <w:lang w:val="en-US"/>
        </w:rPr>
        <w:t>Title: Penetrating Atheromatous Ulcer as a Precursor of Aortic Dissection</w:t>
      </w:r>
    </w:p>
    <w:p>
      <w:pPr>
        <w:pStyle w:val="Body"/>
        <w:numPr>
          <w:ilvl w:val="0"/>
          <w:numId w:val="2"/>
        </w:numPr>
        <w:jc w:val="left"/>
        <w:rPr>
          <w:rFonts w:ascii="Arial" w:hAnsi="Arial"/>
          <w:lang w:val="en-US"/>
        </w:rPr>
      </w:pPr>
      <w:r>
        <w:rPr>
          <w:rFonts w:ascii="Arial" w:hAnsi="Arial"/>
          <w:rtl w:val="0"/>
          <w:lang w:val="en-US"/>
        </w:rPr>
        <w:t>Key Words: Case report, Atheromatous Ulcer, Aortic Dissection</w:t>
      </w:r>
    </w:p>
    <w:p>
      <w:pPr>
        <w:pStyle w:val="Body"/>
        <w:numPr>
          <w:ilvl w:val="0"/>
          <w:numId w:val="2"/>
        </w:numPr>
        <w:jc w:val="left"/>
        <w:rPr>
          <w:rFonts w:ascii="Arial" w:hAnsi="Arial"/>
          <w:lang w:val="en-US"/>
        </w:rPr>
      </w:pPr>
      <w:r>
        <w:rPr>
          <w:rFonts w:ascii="Arial" w:hAnsi="Arial"/>
          <w:rtl w:val="0"/>
          <w:lang w:val="en-US"/>
        </w:rPr>
        <w:t xml:space="preserve">Abstract: </w:t>
      </w:r>
    </w:p>
    <w:p>
      <w:pPr>
        <w:pStyle w:val="Body"/>
        <w:numPr>
          <w:ilvl w:val="2"/>
          <w:numId w:val="4"/>
        </w:numPr>
        <w:jc w:val="left"/>
        <w:rPr>
          <w:rFonts w:ascii="Arial" w:hAnsi="Arial"/>
          <w:lang w:val="en-US"/>
        </w:rPr>
      </w:pPr>
      <w:r>
        <w:rPr>
          <w:rFonts w:ascii="Arial" w:hAnsi="Arial"/>
          <w:rtl w:val="0"/>
          <w:lang w:val="en-US"/>
        </w:rPr>
        <w:t xml:space="preserve">Introduction: </w:t>
      </w:r>
      <w:r>
        <w:rPr>
          <w:rFonts w:ascii="Arial" w:hAnsi="Arial"/>
          <w:rtl w:val="0"/>
          <w:lang w:val="en-US"/>
        </w:rPr>
        <w:t>Acute aortic syndromes include a range of life-threatening conditions with the most familiar entity being aortic dissection. However, variants of aortic dissection also include intimal tear without hematoma, aortic intramural hematoma, and lastly penetrating aortic ulcer</w:t>
      </w:r>
      <w:r>
        <w:rPr>
          <w:rFonts w:ascii="Arial" w:hAnsi="Arial"/>
          <w:rtl w:val="0"/>
          <w:lang w:val="en-US"/>
        </w:rPr>
        <w:t xml:space="preserve"> (PAU),</w:t>
      </w:r>
      <w:r>
        <w:rPr>
          <w:rFonts w:ascii="Arial" w:hAnsi="Arial"/>
          <w:rtl w:val="0"/>
          <w:lang w:val="en-US"/>
        </w:rPr>
        <w:t xml:space="preserve"> which will be the focus of this case report. Most PAUs are located in the descending thoracic aorta (85-95%), but they can also occur in the ascending aorta or arch as in the current case. </w:t>
      </w:r>
    </w:p>
    <w:p>
      <w:pPr>
        <w:pStyle w:val="Body"/>
        <w:numPr>
          <w:ilvl w:val="2"/>
          <w:numId w:val="4"/>
        </w:numPr>
        <w:jc w:val="left"/>
        <w:rPr>
          <w:rFonts w:ascii="Arial" w:hAnsi="Arial"/>
          <w:lang w:val="en-US"/>
        </w:rPr>
      </w:pPr>
      <w:r>
        <w:rPr>
          <w:rFonts w:ascii="Arial" w:hAnsi="Arial"/>
          <w:rtl w:val="0"/>
          <w:lang w:val="en-US"/>
        </w:rPr>
        <w:t xml:space="preserve">Concerns and Findings: </w:t>
      </w:r>
      <w:r>
        <w:rPr>
          <w:rFonts w:ascii="Arial" w:hAnsi="Arial"/>
          <w:rtl w:val="0"/>
          <w:lang w:val="en-US"/>
        </w:rPr>
        <w:t xml:space="preserve">We report a case of a 77 year old male who presented with chief complaint of intermittent right-handed weakness associated with no numbness or mental status changes. </w:t>
      </w:r>
    </w:p>
    <w:p>
      <w:pPr>
        <w:pStyle w:val="Body"/>
        <w:numPr>
          <w:ilvl w:val="2"/>
          <w:numId w:val="4"/>
        </w:numPr>
        <w:jc w:val="left"/>
        <w:rPr>
          <w:rFonts w:ascii="Arial" w:hAnsi="Arial"/>
          <w:lang w:val="en-US"/>
        </w:rPr>
      </w:pPr>
      <w:r>
        <w:rPr>
          <w:rFonts w:ascii="Arial" w:hAnsi="Arial"/>
          <w:rtl w:val="0"/>
          <w:lang w:val="en-US"/>
        </w:rPr>
        <w:t xml:space="preserve">Diagnoses, Interventions, and Outcomes: </w:t>
      </w:r>
      <w:r>
        <w:rPr>
          <w:rFonts w:ascii="Arial" w:hAnsi="Arial"/>
          <w:rtl w:val="0"/>
          <w:lang w:val="en-US"/>
        </w:rPr>
        <w:t>Patient was admitted for stroke workup with unrevealing findings on CT for acute abnormalities or any hemodynamically significant stenosis on carotid ultrasound. CT angiogram of head/neck revealed a penetrating aortic ulcer of the lateral aspect of the mid to distal ascending aorta. Patient was then transferred for further evaluation to a center of higher level care for further management.</w:t>
      </w:r>
      <w:r>
        <w:rPr>
          <w:rFonts w:ascii="Arial" w:hAnsi="Arial"/>
          <w:rtl w:val="0"/>
          <w:lang w:val="en-US"/>
        </w:rPr>
        <w:t xml:space="preserve"> </w:t>
      </w:r>
      <w:r>
        <w:rPr>
          <w:rFonts w:ascii="Arial" w:hAnsi="Arial"/>
          <w:rtl w:val="0"/>
          <w:lang w:val="en-US"/>
        </w:rPr>
        <w:t xml:space="preserve">Patient was evaluated for surgical repair of penetrating ascending aortic ulcer. Patient underwent serial imaging throughout hospital course which showed grossly similar findings to prior examination and thus no surgical intervention was needed at that time. Patient was recommended to have follow up CT scan in one month to monitor progression of aortic ulcer, however patient lost to follow-up thereafter. </w:t>
      </w:r>
    </w:p>
    <w:p>
      <w:pPr>
        <w:pStyle w:val="Body"/>
        <w:numPr>
          <w:ilvl w:val="2"/>
          <w:numId w:val="4"/>
        </w:numPr>
        <w:jc w:val="left"/>
        <w:rPr>
          <w:rFonts w:ascii="Arial" w:hAnsi="Arial"/>
          <w:lang w:val="en-US"/>
        </w:rPr>
      </w:pPr>
      <w:r>
        <w:rPr>
          <w:rFonts w:ascii="Arial" w:hAnsi="Arial"/>
          <w:rtl w:val="0"/>
          <w:lang w:val="en-US"/>
        </w:rPr>
        <w:t xml:space="preserve">Conclusion: </w:t>
      </w:r>
      <w:r>
        <w:rPr>
          <w:rFonts w:ascii="Arial" w:hAnsi="Arial"/>
          <w:rtl w:val="0"/>
          <w:lang w:val="en-US"/>
        </w:rPr>
        <w:t xml:space="preserve">Penetrating aortic ulcers are rarely located in the ascending aorta and are considered precursors of life-threatening aortic dissections. </w:t>
      </w:r>
    </w:p>
    <w:p>
      <w:pPr>
        <w:pStyle w:val="Body"/>
        <w:numPr>
          <w:ilvl w:val="0"/>
          <w:numId w:val="2"/>
        </w:numPr>
        <w:jc w:val="left"/>
        <w:rPr>
          <w:rFonts w:ascii="Arial" w:hAnsi="Arial"/>
          <w:lang w:val="en-US"/>
        </w:rPr>
      </w:pPr>
      <w:r>
        <w:rPr>
          <w:rFonts w:ascii="Arial" w:hAnsi="Arial"/>
          <w:rtl w:val="0"/>
          <w:lang w:val="en-US"/>
        </w:rPr>
        <w:t>Introduction:</w:t>
      </w:r>
    </w:p>
    <w:p>
      <w:pPr>
        <w:pStyle w:val="Body"/>
        <w:numPr>
          <w:ilvl w:val="2"/>
          <w:numId w:val="4"/>
        </w:numPr>
        <w:jc w:val="left"/>
        <w:rPr>
          <w:rFonts w:ascii="Arial" w:hAnsi="Arial"/>
          <w:lang w:val="en-US"/>
        </w:rPr>
      </w:pPr>
      <w:r>
        <w:rPr>
          <w:rFonts w:ascii="Arial" w:hAnsi="Arial"/>
          <w:rtl w:val="0"/>
          <w:lang w:val="en-US"/>
        </w:rPr>
        <w:t xml:space="preserve">Acute aortic syndromes include a range of life-threatening conditions with the most familiar entity being aortic dissection. However, variants of aortic dissection also include intimal tear without hematoma, aortic intramural hematoma, and lastly penetrating aortic ulcer, which will be the focus of this case report. Penetrating aortic ulcers (PAU) occur when the ulceration of an aortic atherosclerotic lesion penetrates the internal elastic lamina into the media in varying amounts, over which there may or not be an overlying thrombus. PAUs may be associated with hematoma within the media and may progress to perforation or aortic dissection, and are known to be the initiating lesion in &lt;5% of all aortic dissections. Most PAUs are located in the descending thoracic aorta (85-95%), but they can also occur in the ascending aorta or arch as in the current case. </w:t>
      </w:r>
    </w:p>
    <w:p>
      <w:pPr>
        <w:pStyle w:val="Body"/>
        <w:numPr>
          <w:ilvl w:val="0"/>
          <w:numId w:val="2"/>
        </w:numPr>
        <w:jc w:val="left"/>
        <w:rPr>
          <w:rFonts w:ascii="Arial" w:hAnsi="Arial"/>
          <w:lang w:val="en-US"/>
        </w:rPr>
      </w:pPr>
      <w:r>
        <w:rPr>
          <w:rFonts w:ascii="Arial" w:hAnsi="Arial"/>
          <w:rtl w:val="0"/>
          <w:lang w:val="en-US"/>
        </w:rPr>
        <w:t>Patient Information</w:t>
      </w:r>
    </w:p>
    <w:p>
      <w:pPr>
        <w:pStyle w:val="Body"/>
        <w:numPr>
          <w:ilvl w:val="2"/>
          <w:numId w:val="4"/>
        </w:numPr>
        <w:jc w:val="left"/>
        <w:rPr>
          <w:rFonts w:ascii="Arial" w:hAnsi="Arial"/>
          <w:lang w:val="en-US"/>
        </w:rPr>
      </w:pPr>
      <w:r>
        <w:rPr>
          <w:rFonts w:ascii="Arial" w:hAnsi="Arial"/>
          <w:rtl w:val="0"/>
          <w:lang w:val="en-US"/>
        </w:rPr>
        <w:t>77 year old male with significant PMH for paroxysmal atrial fibrillation (on Xarelto and amiodarone), AAA (s/p repair in 2012), right iliac artery aneurysm (s/p repair in 2018), COPD, HLD, PVD, HTN who presented with a chief complaint of intermittent right-handed weakness</w:t>
      </w:r>
    </w:p>
    <w:p>
      <w:pPr>
        <w:pStyle w:val="Body"/>
        <w:numPr>
          <w:ilvl w:val="0"/>
          <w:numId w:val="2"/>
        </w:numPr>
        <w:jc w:val="left"/>
        <w:rPr>
          <w:rFonts w:ascii="Arial" w:hAnsi="Arial"/>
          <w:lang w:val="en-US"/>
        </w:rPr>
      </w:pPr>
      <w:r>
        <w:rPr>
          <w:rFonts w:ascii="Arial" w:hAnsi="Arial"/>
          <w:rtl w:val="0"/>
          <w:lang w:val="en-US"/>
        </w:rPr>
        <w:t>Clinical Findings</w:t>
      </w:r>
    </w:p>
    <w:p>
      <w:pPr>
        <w:pStyle w:val="Default"/>
        <w:numPr>
          <w:ilvl w:val="2"/>
          <w:numId w:val="4"/>
        </w:numPr>
        <w:bidi w:val="0"/>
        <w:ind w:right="0"/>
        <w:jc w:val="left"/>
        <w:rPr>
          <w:rFonts w:ascii="Calibri" w:cs="Calibri" w:hAnsi="Calibri" w:eastAsia="Calibri"/>
          <w:u w:color="000000"/>
          <w:rtl w:val="0"/>
          <w:lang w:val="en-US"/>
        </w:rPr>
      </w:pPr>
      <w:r>
        <w:rPr>
          <w:rFonts w:ascii="Calibri" w:cs="Calibri" w:hAnsi="Calibri" w:eastAsia="Calibri"/>
          <w:u w:color="000000"/>
          <w:rtl w:val="0"/>
          <w:lang w:val="en-US"/>
        </w:rPr>
        <w:t>Patient had unrevealing findings on CT head for acute abnormalities or any hemodynamically significant stenosis on carotid US (Figure 1). Echo revealed severe concentric LVH and EF of 55-60% with moderate diastolic dysfunction (Figures 2 and 3). CT angiogram of head/neck revealed an irregular mural hypoattentuation of the lateral aspect of the mid to distal ascending aorta and to which contrast extended (Figure 4). CT angiogram of the chest with and without contrast was then performed which demonstrated contrast extension into the anterior lateral aspect of the ascending thoracic aorta which likely represented a penetrating atheromatous ulcer measuring 0.9x0.4x1.3cm with no definite dissection flap identified (Figure 5).</w:t>
      </w:r>
    </w:p>
    <w:p>
      <w:pPr>
        <w:pStyle w:val="Default"/>
        <w:bidi w:val="0"/>
        <w:ind w:left="0" w:right="0" w:firstLine="0"/>
        <w:jc w:val="left"/>
        <w:rPr>
          <w:rFonts w:ascii="Calibri" w:cs="Calibri" w:hAnsi="Calibri" w:eastAsia="Calibri"/>
          <w:u w:color="000000"/>
          <w:rtl w:val="0"/>
          <w:lang w:val="en-US"/>
        </w:rPr>
      </w:pPr>
    </w:p>
    <w:p>
      <w:pPr>
        <w:pStyle w:val="Default"/>
        <w:bidi w:val="0"/>
        <w:ind w:left="0" w:right="0" w:firstLine="0"/>
        <w:jc w:val="left"/>
        <w:rPr>
          <w:rFonts w:ascii="Calibri" w:cs="Calibri" w:hAnsi="Calibri" w:eastAsia="Calibri"/>
          <w:u w:color="000000"/>
          <w:rtl w:val="0"/>
          <w:lang w:val="en-US"/>
        </w:rPr>
      </w:pPr>
    </w:p>
    <w:p>
      <w:pPr>
        <w:pStyle w:val="Body"/>
        <w:numPr>
          <w:ilvl w:val="0"/>
          <w:numId w:val="2"/>
        </w:numPr>
        <w:jc w:val="left"/>
        <w:rPr>
          <w:rFonts w:ascii="Arial" w:hAnsi="Arial"/>
          <w:lang w:val="en-US"/>
        </w:rPr>
      </w:pPr>
      <w:r>
        <w:rPr>
          <w:rFonts w:ascii="Arial" w:hAnsi="Arial"/>
          <w:rtl w:val="0"/>
          <w:lang w:val="en-US"/>
        </w:rPr>
        <w:t>Timeline:</w:t>
      </w:r>
      <w:r>
        <w:rPr>
          <w:rFonts w:ascii="Arial" w:cs="Arial" w:hAnsi="Arial" w:eastAsia="Arial"/>
        </w:rPr>
        <mc:AlternateContent>
          <mc:Choice Requires="wpg">
            <w:drawing>
              <wp:anchor distT="152400" distB="152400" distL="152400" distR="152400" simplePos="0" relativeHeight="251659264" behindDoc="0" locked="0" layoutInCell="1" allowOverlap="1">
                <wp:simplePos x="0" y="0"/>
                <wp:positionH relativeFrom="margin">
                  <wp:posOffset>185420</wp:posOffset>
                </wp:positionH>
                <wp:positionV relativeFrom="line">
                  <wp:posOffset>195616</wp:posOffset>
                </wp:positionV>
                <wp:extent cx="5572760" cy="2148768"/>
                <wp:effectExtent l="0" t="0" r="0" b="0"/>
                <wp:wrapTopAndBottom distT="152400" distB="152400"/>
                <wp:docPr id="1073741827" name="officeArt object"/>
                <wp:cNvGraphicFramePr/>
                <a:graphic xmlns:a="http://schemas.openxmlformats.org/drawingml/2006/main">
                  <a:graphicData uri="http://schemas.microsoft.com/office/word/2010/wordprocessingGroup">
                    <wpg:wgp>
                      <wpg:cNvGrpSpPr/>
                      <wpg:grpSpPr>
                        <a:xfrm>
                          <a:off x="0" y="0"/>
                          <a:ext cx="5572760" cy="2148768"/>
                          <a:chOff x="0" y="0"/>
                          <a:chExt cx="5572759" cy="2148767"/>
                        </a:xfrm>
                      </wpg:grpSpPr>
                      <pic:pic xmlns:pic="http://schemas.openxmlformats.org/drawingml/2006/picture">
                        <pic:nvPicPr>
                          <pic:cNvPr id="1073741825" name="Screen Shot 2020-07-26 at 3.48.17 PM.png"/>
                          <pic:cNvPicPr>
                            <a:picLocks noChangeAspect="1"/>
                          </pic:cNvPicPr>
                        </pic:nvPicPr>
                        <pic:blipFill>
                          <a:blip r:embed="rId4">
                            <a:extLst/>
                          </a:blip>
                          <a:srcRect l="0" t="2909" r="0" b="2909"/>
                          <a:stretch>
                            <a:fillRect/>
                          </a:stretch>
                        </pic:blipFill>
                        <pic:spPr>
                          <a:xfrm>
                            <a:off x="0" y="0"/>
                            <a:ext cx="5572760" cy="1771452"/>
                          </a:xfrm>
                          <a:prstGeom prst="rect">
                            <a:avLst/>
                          </a:prstGeom>
                          <a:ln w="12700" cap="flat">
                            <a:noFill/>
                            <a:miter lim="400000"/>
                          </a:ln>
                          <a:effectLst/>
                        </pic:spPr>
                      </pic:pic>
                      <wps:wsp>
                        <wps:cNvPr id="1073741826" name="Shape 1073741826"/>
                        <wps:cNvSpPr/>
                        <wps:spPr>
                          <a:xfrm>
                            <a:off x="0" y="1847651"/>
                            <a:ext cx="5572760" cy="301117"/>
                          </a:xfrm>
                          <a:prstGeom prst="rect">
                            <a:avLst/>
                          </a:prstGeom>
                          <a:noFill/>
                          <a:ln w="12700" cap="flat">
                            <a:noFill/>
                            <a:miter lim="400000"/>
                          </a:ln>
                          <a:effectLst/>
                        </wps:spPr>
                        <wps:bodyPr/>
                      </wps:wsp>
                    </wpg:wgp>
                  </a:graphicData>
                </a:graphic>
              </wp:anchor>
            </w:drawing>
          </mc:Choice>
          <mc:Fallback>
            <w:pict>
              <v:group id="_x0000_s1026" style="visibility:visible;position:absolute;margin-left:14.6pt;margin-top:15.4pt;width:438.8pt;height:169.2pt;z-index:251659264;mso-position-horizontal:absolute;mso-position-horizontal-relative:margin;mso-position-vertical:absolute;mso-position-vertical-relative:line;mso-wrap-distance-left:12.0pt;mso-wrap-distance-top:12.0pt;mso-wrap-distance-right:12.0pt;mso-wrap-distance-bottom:12.0pt;" coordorigin="0,0" coordsize="5572760,2148768">
                <w10:wrap type="topAndBottom" side="bothSides" anchorx="margin"/>
                <v:shape id="_x0000_s1027" type="#_x0000_t75" style="position:absolute;left:0;top:0;width:5572760;height:1771452;">
                  <v:imagedata r:id="rId4" o:title="Screen Shot 2020-07-26 at 3.48.17 PM.png" croptop="2.9%" cropbottom="2.9%"/>
                </v:shape>
                <v:rect id="_x0000_s1028" style="position:absolute;left:0;top:1847652;width:5572760;height:301116;">
                  <v:fill on="f"/>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w:numPr>
          <w:ilvl w:val="0"/>
          <w:numId w:val="2"/>
        </w:numPr>
        <w:jc w:val="left"/>
        <w:rPr>
          <w:rFonts w:ascii="Arial" w:hAnsi="Arial"/>
          <w:lang w:val="en-US"/>
        </w:rPr>
      </w:pPr>
      <w:r>
        <w:rPr>
          <w:rFonts w:ascii="Arial" w:hAnsi="Arial"/>
          <w:rtl w:val="0"/>
          <w:lang w:val="en-US"/>
        </w:rPr>
        <w:t>Diagnostic Assessment:</w:t>
      </w:r>
    </w:p>
    <w:p>
      <w:pPr>
        <w:pStyle w:val="Default"/>
        <w:numPr>
          <w:ilvl w:val="1"/>
          <w:numId w:val="5"/>
        </w:numPr>
        <w:bidi w:val="0"/>
        <w:ind w:right="0"/>
        <w:jc w:val="left"/>
        <w:rPr>
          <w:rFonts w:ascii="Calibri" w:cs="Calibri" w:hAnsi="Calibri" w:eastAsia="Calibri"/>
          <w:u w:color="000000"/>
          <w:rtl w:val="0"/>
          <w:lang w:val="en-US"/>
        </w:rPr>
      </w:pPr>
      <w:r>
        <w:rPr>
          <w:rFonts w:ascii="Calibri" w:cs="Calibri" w:hAnsi="Calibri" w:eastAsia="Calibri"/>
          <w:u w:color="000000"/>
          <w:rtl w:val="0"/>
          <w:lang w:val="en-US"/>
        </w:rPr>
        <w:t xml:space="preserve">Patient had unrevealing findings on CT head for acute abnormalities or any hemodynamically significant stenosis on carotid US (Figure 1). Echo revealed severe concentric </w:t>
      </w:r>
      <w:r>
        <w:rPr>
          <w:rFonts w:ascii="Calibri" w:cs="Calibri" w:hAnsi="Calibri" w:eastAsia="Calibri"/>
          <w:u w:color="000000"/>
          <w:rtl w:val="0"/>
          <w:lang w:val="en-US"/>
        </w:rPr>
        <w:t>left ventricular hypertrophy (LVH) and ejection fraction (EF)</w:t>
      </w:r>
      <w:r>
        <w:rPr>
          <w:rFonts w:ascii="Calibri" w:cs="Calibri" w:hAnsi="Calibri" w:eastAsia="Calibri"/>
          <w:u w:color="000000"/>
          <w:rtl w:val="0"/>
          <w:lang w:val="en-US"/>
        </w:rPr>
        <w:t xml:space="preserve"> of 55-60% with moderate diastolic dysfunction (Figures 2 and 3). CT angiogram of head/neck revealed an irregular mural hypoattentuation of the lateral aspect of the mid to distal ascending aorta and to which contrast extended (Figure 4). CT angiogram of the chest with and without contrast was then performed which demonstrated contrast extension into the anterior lateral aspect of the ascending thoracic aorta which likely represented a penetrating atheromatous ulcer measuring 0.9x0.4x1.3cm with no definite dissection flap identified (Figure 5). At this point, decision was made to transfer patient to a center of higher level care for further management. </w:t>
      </w:r>
    </w:p>
    <w:p>
      <w:pPr>
        <w:pStyle w:val="Default"/>
        <w:numPr>
          <w:ilvl w:val="1"/>
          <w:numId w:val="5"/>
        </w:numPr>
        <w:bidi w:val="0"/>
        <w:ind w:right="0"/>
        <w:jc w:val="left"/>
        <w:rPr>
          <w:rFonts w:ascii="Calibri" w:cs="Calibri" w:hAnsi="Calibri" w:eastAsia="Calibri"/>
          <w:u w:color="000000"/>
          <w:rtl w:val="0"/>
          <w:lang w:val="en-US"/>
        </w:rPr>
      </w:pPr>
      <w:r>
        <w:rPr>
          <w:rFonts w:ascii="Calibri" w:cs="Calibri" w:hAnsi="Calibri" w:eastAsia="Calibri"/>
          <w:u w:color="000000"/>
          <w:rtl w:val="0"/>
          <w:lang w:val="en-US"/>
        </w:rPr>
        <w:t xml:space="preserve">Upon transferring, the patient was evaluated for surgical repair of PAU. Surgery was initially planned for ascending aortic replacement via minimally invasive sternotomy, however given &gt;6% risk of </w:t>
      </w:r>
      <w:r>
        <w:rPr>
          <w:rFonts w:ascii="Calibri" w:cs="Calibri" w:hAnsi="Calibri" w:eastAsia="Calibri"/>
          <w:u w:color="000000"/>
          <w:rtl w:val="0"/>
          <w:lang w:val="en-US"/>
        </w:rPr>
        <w:t>major adverse cardiac events (MACE)</w:t>
      </w:r>
      <w:r>
        <w:rPr>
          <w:rFonts w:ascii="Calibri" w:cs="Calibri" w:hAnsi="Calibri" w:eastAsia="Calibri"/>
          <w:u w:color="000000"/>
          <w:rtl w:val="0"/>
          <w:lang w:val="en-US"/>
        </w:rPr>
        <w:t xml:space="preserve">, significant smoking history, previous AAA rupture repair, and increased risk for surgical complications, more detailed imaging was obtained via CT-TAVR with gated technique to rule out change in size of PAU necessitating surgery. This study redemonstrated a focal PAU in the anterolateral ascending thoracic aorta unchanged in size.  Left heart catheterization showed non-obstructive </w:t>
      </w:r>
      <w:r>
        <w:rPr>
          <w:rFonts w:ascii="Calibri" w:cs="Calibri" w:hAnsi="Calibri" w:eastAsia="Calibri"/>
          <w:u w:color="000000"/>
          <w:rtl w:val="0"/>
          <w:lang w:val="en-US"/>
        </w:rPr>
        <w:t xml:space="preserve">coronary artery disease (CAD) </w:t>
      </w:r>
      <w:r>
        <w:rPr>
          <w:rFonts w:ascii="Calibri" w:cs="Calibri" w:hAnsi="Calibri" w:eastAsia="Calibri"/>
          <w:u w:color="000000"/>
          <w:rtl w:val="0"/>
          <w:lang w:val="en-US"/>
        </w:rPr>
        <w:t xml:space="preserve">with aneurysmal </w:t>
      </w:r>
      <w:r>
        <w:rPr>
          <w:rFonts w:ascii="Calibri" w:cs="Calibri" w:hAnsi="Calibri" w:eastAsia="Calibri"/>
          <w:u w:color="000000"/>
          <w:rtl w:val="0"/>
          <w:lang w:val="en-US"/>
        </w:rPr>
        <w:t>right coronary artery (RCA)</w:t>
      </w:r>
      <w:r>
        <w:rPr>
          <w:rFonts w:ascii="Calibri" w:cs="Calibri" w:hAnsi="Calibri" w:eastAsia="Calibri"/>
          <w:u w:color="000000"/>
          <w:rtl w:val="0"/>
          <w:lang w:val="en-US"/>
        </w:rPr>
        <w:t>.</w:t>
      </w:r>
    </w:p>
    <w:p>
      <w:pPr>
        <w:pStyle w:val="Body"/>
        <w:numPr>
          <w:ilvl w:val="0"/>
          <w:numId w:val="2"/>
        </w:numPr>
        <w:jc w:val="left"/>
        <w:rPr>
          <w:rFonts w:ascii="Arial" w:hAnsi="Arial"/>
          <w:lang w:val="en-US"/>
        </w:rPr>
      </w:pPr>
      <w:r>
        <w:rPr>
          <w:rFonts w:ascii="Arial" w:hAnsi="Arial"/>
          <w:rtl w:val="0"/>
          <w:lang w:val="en-US"/>
        </w:rPr>
        <w:t xml:space="preserve">Therapeutic Intervention </w:t>
      </w:r>
    </w:p>
    <w:p>
      <w:pPr>
        <w:pStyle w:val="Default"/>
        <w:numPr>
          <w:ilvl w:val="1"/>
          <w:numId w:val="5"/>
        </w:numPr>
        <w:bidi w:val="0"/>
        <w:ind w:right="0"/>
        <w:jc w:val="left"/>
        <w:rPr>
          <w:rFonts w:ascii="Calibri" w:cs="Calibri" w:hAnsi="Calibri" w:eastAsia="Calibri"/>
          <w:u w:color="000000"/>
          <w:rtl w:val="0"/>
          <w:lang w:val="en-US"/>
        </w:rPr>
      </w:pPr>
      <w:r>
        <w:rPr>
          <w:rFonts w:ascii="Calibri" w:cs="Calibri" w:hAnsi="Calibri" w:eastAsia="Calibri"/>
          <w:u w:color="000000"/>
          <w:rtl w:val="0"/>
          <w:lang w:val="en-US"/>
        </w:rPr>
        <w:t>Patient was then managed medically and started on dual antiplatelet therapy and high-dose statin with optimization of blood pressure control. Patient was discharged with recommendation to obtain serial CT scans.</w:t>
      </w:r>
    </w:p>
    <w:p>
      <w:pPr>
        <w:pStyle w:val="Body"/>
        <w:numPr>
          <w:ilvl w:val="0"/>
          <w:numId w:val="2"/>
        </w:numPr>
        <w:jc w:val="left"/>
        <w:rPr>
          <w:rFonts w:ascii="Arial" w:hAnsi="Arial"/>
          <w:lang w:val="en-US"/>
        </w:rPr>
      </w:pPr>
      <w:r>
        <w:rPr>
          <w:rFonts w:ascii="Arial" w:hAnsi="Arial"/>
          <w:rtl w:val="0"/>
          <w:lang w:val="en-US"/>
        </w:rPr>
        <w:t>Follow up and Outcomes</w:t>
      </w:r>
    </w:p>
    <w:p>
      <w:pPr>
        <w:pStyle w:val="Default"/>
        <w:numPr>
          <w:ilvl w:val="1"/>
          <w:numId w:val="5"/>
        </w:numPr>
        <w:bidi w:val="0"/>
        <w:ind w:right="0"/>
        <w:jc w:val="left"/>
        <w:rPr>
          <w:rFonts w:ascii="Calibri" w:cs="Calibri" w:hAnsi="Calibri" w:eastAsia="Calibri"/>
          <w:u w:color="000000"/>
          <w:rtl w:val="0"/>
          <w:lang w:val="en-US"/>
        </w:rPr>
      </w:pPr>
      <w:r>
        <w:rPr>
          <w:rFonts w:ascii="Calibri" w:cs="Calibri" w:hAnsi="Calibri" w:eastAsia="Calibri"/>
          <w:u w:color="000000"/>
          <w:rtl w:val="0"/>
          <w:lang w:val="en-US"/>
        </w:rPr>
        <w:t xml:space="preserve">The first scan 4 weeks later and a second scan </w:t>
      </w:r>
      <w:r>
        <w:rPr>
          <w:rFonts w:ascii="Calibri" w:cs="Calibri" w:hAnsi="Calibri" w:eastAsia="Calibri"/>
          <w:u w:color="000000"/>
          <w:rtl w:val="0"/>
          <w:lang w:val="en-US"/>
        </w:rPr>
        <w:t>three</w:t>
      </w:r>
      <w:r>
        <w:rPr>
          <w:rFonts w:ascii="Calibri" w:cs="Calibri" w:hAnsi="Calibri" w:eastAsia="Calibri"/>
          <w:u w:color="000000"/>
          <w:rtl w:val="0"/>
          <w:lang w:val="en-US"/>
        </w:rPr>
        <w:t xml:space="preserve"> months later both showed unchanged focal outpouching of ascending aorta concerning for penetrating ulcer. Patient will continue to obtain serial CT scans to monitor progression of ulcer and to determine if a change in size necessitates surgery. </w:t>
      </w:r>
    </w:p>
    <w:p>
      <w:pPr>
        <w:pStyle w:val="Body"/>
        <w:numPr>
          <w:ilvl w:val="0"/>
          <w:numId w:val="2"/>
        </w:numPr>
        <w:jc w:val="left"/>
        <w:rPr>
          <w:rFonts w:ascii="Arial" w:hAnsi="Arial"/>
          <w:lang w:val="en-US"/>
        </w:rPr>
      </w:pPr>
      <w:r>
        <w:rPr>
          <w:rFonts w:ascii="Arial" w:hAnsi="Arial"/>
          <w:rtl w:val="0"/>
          <w:lang w:val="en-US"/>
        </w:rPr>
        <w:t xml:space="preserve">Discussion </w:t>
      </w:r>
    </w:p>
    <w:p>
      <w:pPr>
        <w:pStyle w:val="Default"/>
        <w:numPr>
          <w:ilvl w:val="1"/>
          <w:numId w:val="6"/>
        </w:numPr>
        <w:bidi w:val="0"/>
        <w:ind w:right="0"/>
        <w:jc w:val="left"/>
        <w:rPr>
          <w:rFonts w:ascii="Calibri" w:cs="Calibri" w:hAnsi="Calibri" w:eastAsia="Calibri"/>
          <w:sz w:val="20"/>
          <w:szCs w:val="20"/>
          <w:u w:color="000000"/>
          <w:rtl w:val="0"/>
          <w:lang w:val="en-US"/>
        </w:rPr>
      </w:pPr>
      <w:r>
        <w:rPr>
          <w:rFonts w:ascii="Calibri" w:cs="Calibri" w:hAnsi="Calibri" w:eastAsia="Calibri"/>
          <w:sz w:val="20"/>
          <w:szCs w:val="20"/>
          <w:u w:color="000000"/>
          <w:rtl w:val="0"/>
          <w:lang w:val="en-US"/>
        </w:rPr>
        <w:t>Penetrating aortic ulcers account for 2-7% of acute aortic syndromes, and thus it is crucial to recognize the predisposition of an aortic dissection upon a patient</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s presentation. Atheromatous ulcers develop in patients with advanced atherosclerosis. Initially, the lesions are confined to the intimal layer however they can penetrate through elastic intima and into the media. Once a penetrating atheromatous ulcer (PAU) is formed, the ulcer may remain quiescent or progress to acute processes like dissection or aneurysm formation. PAU</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s also tend to have a scarcity of symptoms which is in contrast to the classic symptoms associated with dissections including severe back or chest pain or aortic regurgitation</w:t>
      </w:r>
      <w:r>
        <w:rPr>
          <w:rFonts w:ascii="Calibri" w:cs="Calibri" w:hAnsi="Calibri" w:eastAsia="Calibri"/>
          <w:sz w:val="20"/>
          <w:szCs w:val="20"/>
          <w:u w:color="000000"/>
          <w:vertAlign w:val="superscript"/>
          <w:rtl w:val="0"/>
          <w:lang w:val="en-US"/>
        </w:rPr>
        <w:t>5</w:t>
      </w:r>
      <w:r>
        <w:rPr>
          <w:rFonts w:ascii="Calibri" w:cs="Calibri" w:hAnsi="Calibri" w:eastAsia="Calibri"/>
          <w:sz w:val="20"/>
          <w:szCs w:val="20"/>
          <w:u w:color="000000"/>
          <w:rtl w:val="0"/>
          <w:lang w:val="en-US"/>
        </w:rPr>
        <w:t>. Given this patient</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 xml:space="preserve">s risk factors and history of abdominal aortic aneurysm, right iliac artery aneurysm, hypertension, and hyperlipidemia, the threshold for further workup became even lower for this patient. The risk of aortic rupture is significantly higher in patients with PAU, and medical management often is ineffective in ascending aortic pathology and surgery is often indicated. Thus, PAUs are considered precursors of life-threatening aortic dissections, and are rarely located in the ascending aorta. </w:t>
      </w:r>
    </w:p>
    <w:p>
      <w:pPr>
        <w:pStyle w:val="Default"/>
        <w:numPr>
          <w:ilvl w:val="1"/>
          <w:numId w:val="6"/>
        </w:numPr>
        <w:bidi w:val="0"/>
        <w:ind w:right="0"/>
        <w:jc w:val="left"/>
        <w:rPr>
          <w:rFonts w:ascii="Calibri" w:cs="Calibri" w:hAnsi="Calibri" w:eastAsia="Calibri"/>
          <w:sz w:val="20"/>
          <w:szCs w:val="20"/>
          <w:u w:color="000000"/>
          <w:rtl w:val="0"/>
          <w:lang w:val="en-US"/>
        </w:rPr>
      </w:pPr>
      <w:r>
        <w:rPr>
          <w:rFonts w:ascii="Calibri" w:cs="Calibri" w:hAnsi="Calibri" w:eastAsia="Calibri"/>
          <w:sz w:val="20"/>
          <w:szCs w:val="20"/>
          <w:u w:color="000000"/>
          <w:rtl w:val="0"/>
          <w:lang w:val="en-US"/>
        </w:rPr>
        <w:t>Life expectancy of patients affected by PAU has not been noted to exceed ten years after diagnosis, which reinstates the severity of disease in these patients</w:t>
      </w:r>
      <w:r>
        <w:rPr>
          <w:rFonts w:ascii="Calibri" w:cs="Calibri" w:hAnsi="Calibri" w:eastAsia="Calibri"/>
          <w:sz w:val="20"/>
          <w:szCs w:val="20"/>
          <w:u w:color="000000"/>
          <w:vertAlign w:val="superscript"/>
          <w:rtl w:val="0"/>
          <w:lang w:val="en-US"/>
        </w:rPr>
        <w:t>6, 7</w:t>
      </w:r>
      <w:r>
        <w:rPr>
          <w:rFonts w:ascii="Calibri" w:cs="Calibri" w:hAnsi="Calibri" w:eastAsia="Calibri"/>
          <w:sz w:val="20"/>
          <w:szCs w:val="20"/>
          <w:u w:color="000000"/>
          <w:rtl w:val="0"/>
          <w:lang w:val="en-US"/>
        </w:rPr>
        <w:t>. Patients have also been noted to have a concurrent abdominal aortic aneurysm in up to 60% of patients with abdominal PAU</w:t>
      </w:r>
      <w:r>
        <w:rPr>
          <w:rFonts w:ascii="Calibri" w:cs="Calibri" w:hAnsi="Calibri" w:eastAsia="Calibri"/>
          <w:sz w:val="20"/>
          <w:szCs w:val="20"/>
          <w:u w:color="000000"/>
          <w:vertAlign w:val="superscript"/>
          <w:rtl w:val="0"/>
          <w:lang w:val="en-US"/>
        </w:rPr>
        <w:t>8, 9</w:t>
      </w:r>
      <w:r>
        <w:rPr>
          <w:rFonts w:ascii="Calibri" w:cs="Calibri" w:hAnsi="Calibri" w:eastAsia="Calibri"/>
          <w:sz w:val="20"/>
          <w:szCs w:val="20"/>
          <w:u w:color="000000"/>
          <w:rtl w:val="0"/>
          <w:lang w:val="en-US"/>
        </w:rPr>
        <w:t>. Stanson et. al and Cooke et al. have both illustrated that PAU requires aggressive surgical treatment of symptomatic patients since conservative medical therapy had often times led to recurrence or worsening of symptoms and propensity to rupture</w:t>
      </w:r>
      <w:r>
        <w:rPr>
          <w:rFonts w:ascii="Calibri" w:cs="Calibri" w:hAnsi="Calibri" w:eastAsia="Calibri"/>
          <w:sz w:val="20"/>
          <w:szCs w:val="20"/>
          <w:u w:color="000000"/>
          <w:vertAlign w:val="superscript"/>
          <w:rtl w:val="0"/>
          <w:lang w:val="en-US"/>
        </w:rPr>
        <w:t>10,11</w:t>
      </w:r>
      <w:r>
        <w:rPr>
          <w:rFonts w:ascii="Calibri" w:cs="Calibri" w:hAnsi="Calibri" w:eastAsia="Calibri"/>
          <w:sz w:val="20"/>
          <w:szCs w:val="20"/>
          <w:u w:color="000000"/>
          <w:rtl w:val="0"/>
          <w:lang w:val="en-US"/>
        </w:rPr>
        <w:t>. An early study by the Yale group found that 40% of patients who were primarily treated conservatively needed emergency interventions for rupture</w:t>
      </w:r>
      <w:r>
        <w:rPr>
          <w:rFonts w:ascii="Calibri" w:cs="Calibri" w:hAnsi="Calibri" w:eastAsia="Calibri"/>
          <w:sz w:val="20"/>
          <w:szCs w:val="20"/>
          <w:u w:color="000000"/>
          <w:vertAlign w:val="superscript"/>
          <w:rtl w:val="0"/>
          <w:lang w:val="en-US"/>
        </w:rPr>
        <w:t>12</w:t>
      </w:r>
      <w:r>
        <w:rPr>
          <w:rFonts w:ascii="Calibri" w:cs="Calibri" w:hAnsi="Calibri" w:eastAsia="Calibri"/>
          <w:sz w:val="20"/>
          <w:szCs w:val="20"/>
          <w:u w:color="000000"/>
          <w:rtl w:val="0"/>
          <w:lang w:val="en-US"/>
        </w:rPr>
        <w:t>. The Stanford group again demonstrated that progression with PAU occurred in 48% of cases, and a strictly conservative regimen led to 10% mortality within a mean of 9.3 days</w:t>
      </w:r>
      <w:r>
        <w:rPr>
          <w:rFonts w:ascii="Calibri" w:cs="Calibri" w:hAnsi="Calibri" w:eastAsia="Calibri"/>
          <w:sz w:val="20"/>
          <w:szCs w:val="20"/>
          <w:u w:color="000000"/>
          <w:vertAlign w:val="superscript"/>
          <w:rtl w:val="0"/>
          <w:lang w:val="en-US"/>
        </w:rPr>
        <w:t>3</w:t>
      </w:r>
      <w:r>
        <w:rPr>
          <w:rFonts w:ascii="Calibri" w:cs="Calibri" w:hAnsi="Calibri" w:eastAsia="Calibri"/>
          <w:sz w:val="20"/>
          <w:szCs w:val="20"/>
          <w:u w:color="000000"/>
          <w:rtl w:val="0"/>
          <w:lang w:val="en-US"/>
        </w:rPr>
        <w:t>. These findings were accepted as the mainstay of treatment unless the risk associated with a patient</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s comorbidities outweighed the benefit of surgical intervention. These conclusions support the recommendation for surgery. However, in some cases, studies have also shown that many PAU have been managed non-operatively. Hussain et. al argues that a confined intramural hematoma is not exposed to the turbulent aortic flow that one might find in a double lumen and thus potentially more likely to remain stable</w:t>
      </w:r>
      <w:r>
        <w:rPr>
          <w:rFonts w:ascii="Calibri" w:cs="Calibri" w:hAnsi="Calibri" w:eastAsia="Calibri"/>
          <w:sz w:val="20"/>
          <w:szCs w:val="20"/>
          <w:u w:color="000000"/>
          <w:vertAlign w:val="superscript"/>
          <w:rtl w:val="0"/>
          <w:lang w:val="en-US"/>
        </w:rPr>
        <w:t>13</w:t>
      </w:r>
      <w:r>
        <w:rPr>
          <w:rFonts w:ascii="Calibri" w:cs="Calibri" w:hAnsi="Calibri" w:eastAsia="Calibri"/>
          <w:sz w:val="20"/>
          <w:szCs w:val="20"/>
          <w:u w:color="000000"/>
          <w:rtl w:val="0"/>
          <w:lang w:val="en-US"/>
        </w:rPr>
        <w:t>. Kazerooni et. al describes patients with typical symptoms that had abnormal imaging including chest radiograph showing an enlarged thoracic aorta, and CT scans showing intramural hematoma (n = 16), focal ulcer (n = 15), displaced intimal calcification (n = 13), pleural and/or extrapleural fluid (n = 7), mediastinal fluid (n = 4), and a thick or enhancing aortic wall (n = 6). The study demonstrated that by comparing films and treating patients surgically (n=7) and conservatively (n=9), eight of the nine patients treated conservatively were asymptomatic after appropriate control of blood pressure</w:t>
      </w:r>
      <w:r>
        <w:rPr>
          <w:rFonts w:ascii="Calibri" w:cs="Calibri" w:hAnsi="Calibri" w:eastAsia="Calibri"/>
          <w:sz w:val="20"/>
          <w:szCs w:val="20"/>
          <w:u w:color="000000"/>
          <w:vertAlign w:val="superscript"/>
          <w:rtl w:val="0"/>
          <w:lang w:val="en-US"/>
        </w:rPr>
        <w:t>14</w:t>
      </w:r>
      <w:r>
        <w:rPr>
          <w:rFonts w:ascii="Calibri" w:cs="Calibri" w:hAnsi="Calibri" w:eastAsia="Calibri"/>
          <w:sz w:val="20"/>
          <w:szCs w:val="20"/>
          <w:u w:color="000000"/>
          <w:rtl w:val="0"/>
          <w:lang w:val="en-US"/>
        </w:rPr>
        <w:t xml:space="preserve">. However, it is still important to determine the threshold of an aortic ulcer being present and the verge of it dissecting, which becomes solely surgical when a patient is hemodynamically unstable. </w:t>
      </w:r>
    </w:p>
    <w:p>
      <w:pPr>
        <w:pStyle w:val="Default"/>
        <w:numPr>
          <w:ilvl w:val="1"/>
          <w:numId w:val="6"/>
        </w:numPr>
        <w:bidi w:val="0"/>
        <w:ind w:right="0"/>
        <w:jc w:val="left"/>
        <w:rPr>
          <w:rFonts w:ascii="Calibri" w:cs="Calibri" w:hAnsi="Calibri" w:eastAsia="Calibri"/>
          <w:sz w:val="20"/>
          <w:szCs w:val="20"/>
          <w:u w:color="000000"/>
          <w:rtl w:val="0"/>
          <w:lang w:val="en-US"/>
        </w:rPr>
      </w:pPr>
      <w:r>
        <w:rPr>
          <w:rFonts w:ascii="Calibri" w:cs="Calibri" w:hAnsi="Calibri" w:eastAsia="Calibri"/>
          <w:sz w:val="20"/>
          <w:szCs w:val="20"/>
          <w:u w:color="000000"/>
          <w:rtl w:val="0"/>
          <w:lang w:val="en-US"/>
        </w:rPr>
        <w:t>The risk stratification of the presented patient required serial imaging to quantify the rate of progression, if any, as well as determining the etiology and method of resolution of the patient</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s right hand weakness. Risk factors for progression are thought to be of various groupings, including simply symptom onset, as well as depth and diameter of PAU. Ganaha et al. identified both the maximum PAU diameter and maximum PAU depth (21.1</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8.0mm and 13.7</w:t>
      </w:r>
      <w:r>
        <w:rPr>
          <w:rFonts w:ascii="Calibri" w:cs="Calibri" w:hAnsi="Calibri" w:eastAsia="Calibri" w:hint="default"/>
          <w:sz w:val="20"/>
          <w:szCs w:val="20"/>
          <w:u w:color="000000"/>
          <w:rtl w:val="0"/>
          <w:lang w:val="en-US"/>
        </w:rPr>
        <w:t xml:space="preserve">± </w:t>
      </w:r>
      <w:r>
        <w:rPr>
          <w:rFonts w:ascii="Calibri" w:cs="Calibri" w:hAnsi="Calibri" w:eastAsia="Calibri"/>
          <w:sz w:val="20"/>
          <w:szCs w:val="20"/>
          <w:u w:color="000000"/>
          <w:rtl w:val="0"/>
          <w:lang w:val="en-US"/>
        </w:rPr>
        <w:t>4.2mm), as well as rapid increase of aortic diameter and hemodynamic instability as indications for immediate surgery</w:t>
      </w:r>
      <w:r>
        <w:rPr>
          <w:rFonts w:ascii="Calibri" w:cs="Calibri" w:hAnsi="Calibri" w:eastAsia="Calibri"/>
          <w:sz w:val="20"/>
          <w:szCs w:val="20"/>
          <w:u w:color="000000"/>
          <w:vertAlign w:val="superscript"/>
          <w:rtl w:val="0"/>
          <w:lang w:val="en-US"/>
        </w:rPr>
        <w:t>3</w:t>
      </w:r>
      <w:r>
        <w:rPr>
          <w:rFonts w:ascii="Calibri" w:cs="Calibri" w:hAnsi="Calibri" w:eastAsia="Calibri"/>
          <w:sz w:val="20"/>
          <w:szCs w:val="20"/>
          <w:u w:color="000000"/>
          <w:rtl w:val="0"/>
          <w:lang w:val="en-US"/>
        </w:rPr>
        <w:t>. Given our patient</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s risk of MACE and comorbidities, it was extremely integral to weigh out advantages and disadvantages. Patient</w:t>
      </w:r>
      <w:r>
        <w:rPr>
          <w:rFonts w:ascii="Calibri" w:cs="Calibri" w:hAnsi="Calibri" w:eastAsia="Calibri" w:hint="default"/>
          <w:sz w:val="20"/>
          <w:szCs w:val="20"/>
          <w:u w:color="000000"/>
          <w:rtl w:val="0"/>
          <w:lang w:val="en-US"/>
        </w:rPr>
        <w:t>’</w:t>
      </w:r>
      <w:r>
        <w:rPr>
          <w:rFonts w:ascii="Calibri" w:cs="Calibri" w:hAnsi="Calibri" w:eastAsia="Calibri"/>
          <w:sz w:val="20"/>
          <w:szCs w:val="20"/>
          <w:u w:color="000000"/>
          <w:rtl w:val="0"/>
          <w:lang w:val="en-US"/>
        </w:rPr>
        <w:t xml:space="preserve">s resolution of symptoms did not necessarily imply lesion stability, and thus it was integral for the patient to have follow up imaging to assess for worsening disease as described above. While the patient was admitted in the </w:t>
      </w:r>
      <w:r>
        <w:rPr>
          <w:rFonts w:ascii="Calibri" w:cs="Calibri" w:hAnsi="Calibri" w:eastAsia="Calibri"/>
          <w:sz w:val="20"/>
          <w:szCs w:val="20"/>
          <w:u w:color="000000"/>
          <w:rtl w:val="0"/>
          <w:lang w:val="en-US"/>
        </w:rPr>
        <w:t>intensive care unit (ICU)</w:t>
      </w:r>
      <w:r>
        <w:rPr>
          <w:rFonts w:ascii="Calibri" w:cs="Calibri" w:hAnsi="Calibri" w:eastAsia="Calibri"/>
          <w:sz w:val="20"/>
          <w:szCs w:val="20"/>
          <w:u w:color="000000"/>
          <w:rtl w:val="0"/>
          <w:lang w:val="en-US"/>
        </w:rPr>
        <w:t xml:space="preserve">, serial imaging did not show progression of PAU and thus the recommended interval of follow up imaging was prolonged upon discharge from the hospital. The most recent interval for imaging has been prolonged to one year, with most recent CT angiogram of the chest in March 2020 again showing a focal outpouching in ascending thoracic aorta. Patient will return for follow up imaging in March 2021. </w:t>
      </w:r>
    </w:p>
    <w:p>
      <w:pPr>
        <w:pStyle w:val="Default"/>
        <w:numPr>
          <w:ilvl w:val="1"/>
          <w:numId w:val="6"/>
        </w:numPr>
        <w:bidi w:val="0"/>
        <w:ind w:right="0"/>
        <w:jc w:val="left"/>
        <w:rPr>
          <w:rFonts w:ascii="Calibri" w:cs="Calibri" w:hAnsi="Calibri" w:eastAsia="Calibri"/>
          <w:sz w:val="20"/>
          <w:szCs w:val="20"/>
          <w:u w:color="000000"/>
          <w:rtl w:val="0"/>
          <w:lang w:val="en-US"/>
        </w:rPr>
      </w:pPr>
      <w:r>
        <w:rPr>
          <w:rFonts w:ascii="Calibri" w:cs="Calibri" w:hAnsi="Calibri" w:eastAsia="Calibri"/>
          <w:sz w:val="20"/>
          <w:szCs w:val="20"/>
          <w:u w:color="000000"/>
          <w:rtl w:val="0"/>
          <w:lang w:val="en-US"/>
        </w:rPr>
        <w:t>If this patient did not have the comorbidities they did, surgical intervention would have prevailed as the primary treatment of choice. Thoracic endovascular aortic repair (TEVAR) is especially effective as an intervention modality. This procedure usually involves a stent delivered through a sheath introduced into the common femoral artery or common iliac artery into the abdominal aorta and further into the level of the thoracic aorta. Brinster et al. showed that this approach in 21 patients all presenting with uncontrolled pain associated with PAU or radiologic evidence of impending rupture, or both. Sixteen of these patients had an acute presentation with symptoms being present for less than fourteen days</w:t>
      </w:r>
      <w:r>
        <w:rPr>
          <w:rFonts w:ascii="Calibri" w:cs="Calibri" w:hAnsi="Calibri" w:eastAsia="Calibri"/>
          <w:sz w:val="20"/>
          <w:szCs w:val="20"/>
          <w:u w:color="000000"/>
          <w:vertAlign w:val="superscript"/>
          <w:rtl w:val="0"/>
          <w:lang w:val="en-US"/>
        </w:rPr>
        <w:t>15</w:t>
      </w:r>
      <w:r>
        <w:rPr>
          <w:rFonts w:ascii="Calibri" w:cs="Calibri" w:hAnsi="Calibri" w:eastAsia="Calibri"/>
          <w:sz w:val="20"/>
          <w:szCs w:val="20"/>
          <w:u w:color="000000"/>
          <w:rtl w:val="0"/>
          <w:lang w:val="en-US"/>
        </w:rPr>
        <w:t xml:space="preserve">. All patients treated with endoluminal graft placement had 100% relief of their symptoms with no operative mortalities. This is especially notable since many patients who have previously been managed conservatively often can have disease progression. Conservative management involves adequate blood pressure control with normalization and </w:t>
      </w:r>
      <w:r>
        <w:rPr>
          <w:rFonts w:ascii="Calibri" w:cs="Calibri" w:hAnsi="Calibri" w:eastAsia="Calibri"/>
          <w:sz w:val="20"/>
          <w:szCs w:val="20"/>
          <w:u w:color="000000"/>
          <w:rtl w:val="0"/>
          <w:lang w:val="en-US"/>
        </w:rPr>
        <w:t>left ventricular ejection fraction (</w:t>
      </w:r>
      <w:r>
        <w:rPr>
          <w:rFonts w:ascii="Calibri" w:cs="Calibri" w:hAnsi="Calibri" w:eastAsia="Calibri"/>
          <w:sz w:val="20"/>
          <w:szCs w:val="20"/>
          <w:u w:color="000000"/>
          <w:rtl w:val="0"/>
          <w:lang w:val="en-US"/>
        </w:rPr>
        <w:t>LVEF</w:t>
      </w:r>
      <w:r>
        <w:rPr>
          <w:rFonts w:ascii="Calibri" w:cs="Calibri" w:hAnsi="Calibri" w:eastAsia="Calibri"/>
          <w:sz w:val="20"/>
          <w:szCs w:val="20"/>
          <w:u w:color="000000"/>
          <w:rtl w:val="0"/>
          <w:lang w:val="en-US"/>
        </w:rPr>
        <w:t>)</w:t>
      </w:r>
      <w:r>
        <w:rPr>
          <w:rFonts w:ascii="Calibri" w:cs="Calibri" w:hAnsi="Calibri" w:eastAsia="Calibri"/>
          <w:sz w:val="20"/>
          <w:szCs w:val="20"/>
          <w:u w:color="000000"/>
          <w:rtl w:val="0"/>
          <w:lang w:val="en-US"/>
        </w:rPr>
        <w:t xml:space="preserve"> reduction as they are the main determinants of dissection extension and rupture. Beta blockers have been shown to decrease mortality from 67% to 95%</w:t>
      </w:r>
      <w:r>
        <w:rPr>
          <w:rFonts w:ascii="Calibri" w:cs="Calibri" w:hAnsi="Calibri" w:eastAsia="Calibri"/>
          <w:sz w:val="20"/>
          <w:szCs w:val="20"/>
          <w:u w:color="000000"/>
          <w:vertAlign w:val="superscript"/>
          <w:rtl w:val="0"/>
          <w:lang w:val="en-US"/>
        </w:rPr>
        <w:t>16</w:t>
      </w:r>
      <w:r>
        <w:rPr>
          <w:rFonts w:ascii="Calibri" w:cs="Calibri" w:hAnsi="Calibri" w:eastAsia="Calibri"/>
          <w:sz w:val="20"/>
          <w:szCs w:val="20"/>
          <w:u w:color="000000"/>
          <w:rtl w:val="0"/>
          <w:lang w:val="en-US"/>
        </w:rPr>
        <w:t>, and for this reason are usually the agents of choice when initiating blood pressure management or titrating medications.</w:t>
      </w:r>
    </w:p>
    <w:p>
      <w:pPr>
        <w:pStyle w:val="Default"/>
        <w:numPr>
          <w:ilvl w:val="1"/>
          <w:numId w:val="6"/>
        </w:numPr>
        <w:bidi w:val="0"/>
        <w:ind w:right="0"/>
        <w:jc w:val="left"/>
        <w:rPr>
          <w:rFonts w:ascii="Calibri" w:cs="Calibri" w:hAnsi="Calibri" w:eastAsia="Calibri"/>
          <w:sz w:val="20"/>
          <w:szCs w:val="20"/>
          <w:u w:color="000000"/>
          <w:rtl w:val="0"/>
          <w:lang w:val="en-US"/>
        </w:rPr>
      </w:pPr>
      <w:r>
        <w:rPr>
          <w:rFonts w:ascii="Calibri" w:cs="Calibri" w:hAnsi="Calibri" w:eastAsia="Calibri"/>
          <w:sz w:val="20"/>
          <w:szCs w:val="20"/>
          <w:u w:color="000000"/>
          <w:rtl w:val="0"/>
          <w:lang w:val="en-US"/>
        </w:rPr>
        <w:t>The patient presented in this case report was one of the 5-15% of penetrating aortic ulcers located in the ascending aorta. This is a rare finding, and management remained non-conservative after close following.</w:t>
      </w:r>
    </w:p>
    <w:p>
      <w:pPr>
        <w:pStyle w:val="Body"/>
        <w:numPr>
          <w:ilvl w:val="0"/>
          <w:numId w:val="2"/>
        </w:numPr>
        <w:jc w:val="left"/>
        <w:rPr>
          <w:rFonts w:ascii="Arial" w:hAnsi="Arial"/>
          <w:lang w:val="en-US"/>
        </w:rPr>
      </w:pPr>
      <w:r>
        <w:rPr>
          <w:rFonts w:ascii="Arial" w:hAnsi="Arial"/>
          <w:rtl w:val="0"/>
          <w:lang w:val="en-US"/>
        </w:rPr>
        <w:t>Patient Perspective</w:t>
      </w:r>
    </w:p>
    <w:p>
      <w:pPr>
        <w:pStyle w:val="Body"/>
        <w:numPr>
          <w:ilvl w:val="1"/>
          <w:numId w:val="5"/>
        </w:numPr>
        <w:jc w:val="left"/>
        <w:rPr>
          <w:rFonts w:ascii="Arial" w:hAnsi="Arial"/>
          <w:lang w:val="en-US"/>
        </w:rPr>
      </w:pPr>
      <w:r>
        <w:rPr>
          <w:rFonts w:ascii="Arial" w:hAnsi="Arial"/>
          <w:rtl w:val="0"/>
          <w:lang w:val="en-US"/>
        </w:rPr>
        <w:t xml:space="preserve">The patient was resistant to being transferred at first, but after speaking to his daughter personally he stated he understood the necessity. He stated </w:t>
      </w:r>
      <w:r>
        <w:rPr>
          <w:rFonts w:ascii="Arial" w:hAnsi="Arial" w:hint="default"/>
          <w:rtl w:val="0"/>
          <w:lang w:val="en-US"/>
        </w:rPr>
        <w:t>“</w:t>
      </w:r>
      <w:r>
        <w:rPr>
          <w:rFonts w:ascii="Arial" w:hAnsi="Arial"/>
          <w:rtl w:val="0"/>
          <w:lang w:val="en-US"/>
        </w:rPr>
        <w:t>I have been through a lot and want to make sure I am okay</w:t>
      </w:r>
      <w:r>
        <w:rPr>
          <w:rFonts w:ascii="Arial" w:hAnsi="Arial" w:hint="default"/>
          <w:rtl w:val="0"/>
          <w:lang w:val="en-US"/>
        </w:rPr>
        <w:t>”</w:t>
      </w:r>
      <w:r>
        <w:rPr>
          <w:rFonts w:ascii="Arial" w:hAnsi="Arial"/>
          <w:rtl w:val="0"/>
          <w:lang w:val="en-US"/>
        </w:rPr>
        <w:t>.</w:t>
      </w:r>
    </w:p>
    <w:p>
      <w:pPr>
        <w:pStyle w:val="Body"/>
        <w:jc w:val="left"/>
      </w:pPr>
      <w:r>
        <w:rPr>
          <w:rFonts w:ascii="Arial" w:hAnsi="Arial"/>
          <w:rtl w:val="0"/>
          <w:lang w:val="en-US"/>
        </w:rPr>
        <w:t>13. Informed Consent obtained.</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 Big"/>
  </w:abstractNum>
  <w:abstractNum w:abstractNumId="3">
    <w:multiLevelType w:val="hybridMultilevel"/>
    <w:styleLink w:val="Bullet Big"/>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num w:numId="1">
    <w:abstractNumId w:val="1"/>
  </w:num>
  <w:num w:numId="2">
    <w:abstractNumId w:val="0"/>
  </w:num>
  <w:num w:numId="3">
    <w:abstractNumId w:val="3"/>
  </w:num>
  <w:num w:numId="4">
    <w:abstractNumId w:val="2"/>
  </w:num>
  <w:num w:numId="5">
    <w:abstractNumId w:val="2"/>
    <w:lvlOverride w:ilvl="0">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num>
  <w:num w:numId="6">
    <w:abstractNumId w:val="2"/>
    <w:lvlOverride w:ilvl="0">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Numbered">
    <w:name w:val="Numbered"/>
    <w:pPr>
      <w:numPr>
        <w:numId w:val="1"/>
      </w:numPr>
    </w:pPr>
  </w:style>
  <w:style w:type="numbering" w:styleId="Bullet Big">
    <w:name w:val="Bullet Big"/>
    <w:pPr>
      <w:numPr>
        <w:numId w:val="3"/>
      </w:numPr>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