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7D4EF" w14:textId="77777777" w:rsidR="008940C0" w:rsidRPr="008940C0" w:rsidRDefault="008940C0" w:rsidP="008940C0">
      <w:pPr>
        <w:rPr>
          <w:b/>
          <w:bCs/>
        </w:rPr>
      </w:pPr>
      <w:r w:rsidRPr="008940C0">
        <w:rPr>
          <w:b/>
          <w:bCs/>
        </w:rPr>
        <w:t>Extended Data Table S1 | The average transport in the main straits of the ITF and the one standard deviation range during the mooring observation periods (1996.11-1998.07 for Arlindo, 2004.01-2011.08 and 2013.08-2017.08 for INSTANT and MITF programs).</w:t>
      </w:r>
    </w:p>
    <w:tbl>
      <w:tblPr>
        <w:tblW w:w="475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21"/>
        <w:gridCol w:w="1657"/>
        <w:gridCol w:w="1544"/>
        <w:gridCol w:w="1770"/>
      </w:tblGrid>
      <w:tr w:rsidR="008940C0" w:rsidRPr="008940C0" w14:paraId="311F3D0A" w14:textId="77777777" w:rsidTr="008940C0">
        <w:trPr>
          <w:trHeight w:val="225"/>
          <w:jc w:val="center"/>
        </w:trPr>
        <w:tc>
          <w:tcPr>
            <w:tcW w:w="220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20AAEB" w14:textId="77777777" w:rsidR="008940C0" w:rsidRPr="008940C0" w:rsidRDefault="008940C0" w:rsidP="008940C0">
            <w:pPr>
              <w:rPr>
                <w:b/>
                <w:bCs/>
              </w:rPr>
            </w:pPr>
            <w:bookmarkStart w:id="0" w:name="OLE_LINK6"/>
            <w:r w:rsidRPr="008940C0">
              <w:rPr>
                <w:b/>
                <w:bCs/>
              </w:rPr>
              <w:t>Straits</w:t>
            </w:r>
          </w:p>
        </w:tc>
        <w:tc>
          <w:tcPr>
            <w:tcW w:w="93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49C7E5" w14:textId="77777777" w:rsidR="008940C0" w:rsidRPr="008940C0" w:rsidRDefault="008940C0" w:rsidP="008940C0">
            <w:pPr>
              <w:rPr>
                <w:b/>
                <w:bCs/>
              </w:rPr>
            </w:pPr>
            <w:r w:rsidRPr="008940C0">
              <w:rPr>
                <w:b/>
                <w:bCs/>
              </w:rPr>
              <w:t xml:space="preserve">HYCOM </w:t>
            </w:r>
          </w:p>
        </w:tc>
        <w:tc>
          <w:tcPr>
            <w:tcW w:w="86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8683D2" w14:textId="77777777" w:rsidR="008940C0" w:rsidRPr="008940C0" w:rsidRDefault="008940C0" w:rsidP="008940C0">
            <w:pPr>
              <w:rPr>
                <w:b/>
                <w:bCs/>
              </w:rPr>
            </w:pPr>
            <w:r w:rsidRPr="008940C0">
              <w:rPr>
                <w:b/>
                <w:bCs/>
              </w:rPr>
              <w:t>Mooring</w:t>
            </w:r>
          </w:p>
        </w:tc>
        <w:tc>
          <w:tcPr>
            <w:tcW w:w="99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7BCAC9" w14:textId="77777777" w:rsidR="008940C0" w:rsidRPr="008940C0" w:rsidRDefault="008940C0" w:rsidP="008940C0">
            <w:pPr>
              <w:rPr>
                <w:b/>
                <w:bCs/>
              </w:rPr>
            </w:pPr>
            <w:r w:rsidRPr="008940C0">
              <w:rPr>
                <w:b/>
                <w:bCs/>
              </w:rPr>
              <w:t>GLORYS12V1</w:t>
            </w:r>
          </w:p>
        </w:tc>
      </w:tr>
      <w:tr w:rsidR="008940C0" w:rsidRPr="008940C0" w14:paraId="1BBEEA42" w14:textId="77777777" w:rsidTr="008940C0">
        <w:trPr>
          <w:trHeight w:val="1173"/>
          <w:jc w:val="center"/>
        </w:trPr>
        <w:tc>
          <w:tcPr>
            <w:tcW w:w="220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756F11" w14:textId="77777777" w:rsidR="008940C0" w:rsidRPr="008940C0" w:rsidRDefault="008940C0" w:rsidP="008940C0">
            <w:bookmarkStart w:id="1" w:name="_Hlk144717645"/>
            <w:r w:rsidRPr="008940C0">
              <w:t>Makassar</w:t>
            </w:r>
          </w:p>
          <w:p w14:paraId="3232AF20" w14:textId="77777777" w:rsidR="008940C0" w:rsidRPr="008940C0" w:rsidRDefault="008940C0" w:rsidP="008940C0">
            <w:r w:rsidRPr="008940C0">
              <w:t>(0-700 m; 116.5-118.8°E, 3°S)</w:t>
            </w:r>
          </w:p>
        </w:tc>
        <w:tc>
          <w:tcPr>
            <w:tcW w:w="93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753132" w14:textId="77777777" w:rsidR="008940C0" w:rsidRPr="008940C0" w:rsidRDefault="008940C0" w:rsidP="008940C0">
            <w:r w:rsidRPr="008940C0">
              <w:t>11.3±3.71</w:t>
            </w:r>
          </w:p>
        </w:tc>
        <w:tc>
          <w:tcPr>
            <w:tcW w:w="86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ED2B72" w14:textId="77777777" w:rsidR="008940C0" w:rsidRPr="008940C0" w:rsidRDefault="008940C0" w:rsidP="008940C0">
            <w:bookmarkStart w:id="2" w:name="OLE_LINK3"/>
            <w:r w:rsidRPr="008940C0">
              <w:t>11.1±3.29</w:t>
            </w:r>
            <w:bookmarkEnd w:id="2"/>
          </w:p>
        </w:tc>
        <w:tc>
          <w:tcPr>
            <w:tcW w:w="99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A89DE9" w14:textId="77777777" w:rsidR="008940C0" w:rsidRPr="008940C0" w:rsidRDefault="008940C0" w:rsidP="008940C0">
            <w:r w:rsidRPr="008940C0">
              <w:t>11.6±2.52</w:t>
            </w:r>
          </w:p>
        </w:tc>
        <w:bookmarkEnd w:id="1"/>
      </w:tr>
      <w:tr w:rsidR="008940C0" w:rsidRPr="008940C0" w14:paraId="615C5792" w14:textId="77777777" w:rsidTr="008940C0">
        <w:trPr>
          <w:trHeight w:val="1173"/>
          <w:jc w:val="center"/>
        </w:trPr>
        <w:tc>
          <w:tcPr>
            <w:tcW w:w="2205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2DAE23" w14:textId="77777777" w:rsidR="008940C0" w:rsidRPr="008940C0" w:rsidRDefault="008940C0" w:rsidP="008940C0">
            <w:r w:rsidRPr="008940C0">
              <w:t>Timor</w:t>
            </w:r>
          </w:p>
          <w:p w14:paraId="217E251F" w14:textId="77777777" w:rsidR="008940C0" w:rsidRPr="008940C0" w:rsidRDefault="008940C0" w:rsidP="008940C0">
            <w:r w:rsidRPr="008940C0">
              <w:t>(0-1890 m; 122.6°E, 11.2°S-11.7°S)</w:t>
            </w:r>
          </w:p>
        </w:tc>
        <w:tc>
          <w:tcPr>
            <w:tcW w:w="932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62D6C5" w14:textId="77777777" w:rsidR="008940C0" w:rsidRPr="008940C0" w:rsidRDefault="008940C0" w:rsidP="008940C0">
            <w:r w:rsidRPr="008940C0">
              <w:t>8.69</w:t>
            </w:r>
            <w:bookmarkStart w:id="3" w:name="OLE_LINK4"/>
            <w:r w:rsidRPr="008940C0">
              <w:t>±</w:t>
            </w:r>
            <w:bookmarkEnd w:id="3"/>
            <w:r w:rsidRPr="008940C0">
              <w:t>1.35</w:t>
            </w:r>
          </w:p>
        </w:tc>
        <w:tc>
          <w:tcPr>
            <w:tcW w:w="868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D652D5" w14:textId="77777777" w:rsidR="008940C0" w:rsidRPr="008940C0" w:rsidRDefault="008940C0" w:rsidP="008940C0">
            <w:r w:rsidRPr="008940C0">
              <w:t>7.36±2.19</w:t>
            </w:r>
          </w:p>
        </w:tc>
        <w:tc>
          <w:tcPr>
            <w:tcW w:w="99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34743E" w14:textId="77777777" w:rsidR="008940C0" w:rsidRPr="008940C0" w:rsidRDefault="008940C0" w:rsidP="008940C0">
            <w:r w:rsidRPr="008940C0">
              <w:t>8.01±1.67</w:t>
            </w:r>
          </w:p>
        </w:tc>
      </w:tr>
      <w:tr w:rsidR="008940C0" w:rsidRPr="008940C0" w14:paraId="07338E93" w14:textId="77777777" w:rsidTr="008940C0">
        <w:trPr>
          <w:trHeight w:val="1173"/>
          <w:jc w:val="center"/>
        </w:trPr>
        <w:tc>
          <w:tcPr>
            <w:tcW w:w="220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986F5B" w14:textId="77777777" w:rsidR="008940C0" w:rsidRPr="008940C0" w:rsidRDefault="008940C0" w:rsidP="008940C0">
            <w:proofErr w:type="spellStart"/>
            <w:r w:rsidRPr="008940C0">
              <w:t>Ombai</w:t>
            </w:r>
            <w:proofErr w:type="spellEnd"/>
          </w:p>
          <w:p w14:paraId="28F4BE71" w14:textId="77777777" w:rsidR="008940C0" w:rsidRPr="008940C0" w:rsidRDefault="008940C0" w:rsidP="008940C0">
            <w:r w:rsidRPr="008940C0">
              <w:t>(0-1100 m; 125°E, 8.4°S-8.7°S)</w:t>
            </w:r>
          </w:p>
        </w:tc>
        <w:tc>
          <w:tcPr>
            <w:tcW w:w="93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3ABA5C" w14:textId="77777777" w:rsidR="008940C0" w:rsidRPr="008940C0" w:rsidRDefault="008940C0" w:rsidP="008940C0">
            <w:r w:rsidRPr="008940C0">
              <w:t>4.63±0.78</w:t>
            </w:r>
          </w:p>
        </w:tc>
        <w:tc>
          <w:tcPr>
            <w:tcW w:w="868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0C35EF" w14:textId="77777777" w:rsidR="008940C0" w:rsidRPr="008940C0" w:rsidRDefault="008940C0" w:rsidP="008940C0">
            <w:r w:rsidRPr="008940C0">
              <w:t>4.97±2.47</w:t>
            </w:r>
          </w:p>
        </w:tc>
        <w:tc>
          <w:tcPr>
            <w:tcW w:w="99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7DFBDA" w14:textId="77777777" w:rsidR="008940C0" w:rsidRPr="008940C0" w:rsidRDefault="008940C0" w:rsidP="008940C0">
            <w:r w:rsidRPr="008940C0">
              <w:t>5.81±2.28</w:t>
            </w:r>
          </w:p>
        </w:tc>
      </w:tr>
      <w:tr w:rsidR="008940C0" w:rsidRPr="008940C0" w14:paraId="324C9FE6" w14:textId="77777777" w:rsidTr="008940C0">
        <w:trPr>
          <w:trHeight w:val="21"/>
          <w:jc w:val="center"/>
        </w:trPr>
        <w:tc>
          <w:tcPr>
            <w:tcW w:w="2205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F14F9A" w14:textId="77777777" w:rsidR="008940C0" w:rsidRPr="008940C0" w:rsidRDefault="008940C0" w:rsidP="008940C0">
            <w:r w:rsidRPr="008940C0">
              <w:t>Lombok</w:t>
            </w:r>
          </w:p>
          <w:p w14:paraId="4787BB9C" w14:textId="77777777" w:rsidR="008940C0" w:rsidRPr="008940C0" w:rsidRDefault="008940C0" w:rsidP="008940C0">
            <w:r w:rsidRPr="008940C0">
              <w:t>(0-300 m; 115.5°E-116.3°E, 8.3</w:t>
            </w:r>
            <w:r w:rsidRPr="008940C0">
              <w:rPr>
                <w:rFonts w:hint="eastAsia"/>
              </w:rPr>
              <w:t>°</w:t>
            </w:r>
            <w:r w:rsidRPr="008940C0">
              <w:t>S)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352265" w14:textId="77777777" w:rsidR="008940C0" w:rsidRPr="008940C0" w:rsidRDefault="008940C0" w:rsidP="008940C0">
            <w:r w:rsidRPr="008940C0">
              <w:t>2.28±1.53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75448C" w14:textId="77777777" w:rsidR="008940C0" w:rsidRPr="008940C0" w:rsidRDefault="008940C0" w:rsidP="008940C0">
            <w:r w:rsidRPr="008940C0">
              <w:t>2.6±1.44</w:t>
            </w:r>
          </w:p>
        </w:tc>
        <w:tc>
          <w:tcPr>
            <w:tcW w:w="996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D3901E" w14:textId="77777777" w:rsidR="008940C0" w:rsidRPr="008940C0" w:rsidRDefault="008940C0" w:rsidP="008940C0">
            <w:r w:rsidRPr="008940C0">
              <w:t>2.17±1.82</w:t>
            </w:r>
          </w:p>
        </w:tc>
      </w:tr>
      <w:bookmarkEnd w:id="0"/>
    </w:tbl>
    <w:p w14:paraId="409EFB98" w14:textId="77777777" w:rsidR="008940C0" w:rsidRPr="008940C0" w:rsidRDefault="008940C0" w:rsidP="008940C0">
      <w:pPr>
        <w:rPr>
          <w:b/>
        </w:rPr>
      </w:pPr>
    </w:p>
    <w:p w14:paraId="2E26C32C" w14:textId="5FFD362C" w:rsidR="008940C0" w:rsidRPr="008940C0" w:rsidRDefault="008940C0" w:rsidP="008940C0">
      <w:r w:rsidRPr="008940C0">
        <w:drawing>
          <wp:inline distT="0" distB="0" distL="0" distR="0" wp14:anchorId="6F8376B6" wp14:editId="726D23A4">
            <wp:extent cx="5848350" cy="3162300"/>
            <wp:effectExtent l="0" t="0" r="0" b="0"/>
            <wp:docPr id="1899577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0C0">
        <w:rPr>
          <w:b/>
          <w:bCs/>
        </w:rPr>
        <w:t xml:space="preserve">Extended Data Fig. S1 | Experimental regions for PWND and IWND. </w:t>
      </w:r>
      <w:r w:rsidRPr="008940C0">
        <w:t xml:space="preserve">Color shading denotes the topography (m) from ETOPO1. Black rectangles mark the areas retaining wind stress variability in </w:t>
      </w:r>
      <w:r w:rsidRPr="008940C0">
        <w:lastRenderedPageBreak/>
        <w:t xml:space="preserve">the PWND and IWND, respectively. Wind stress inside the thick black boxes uses </w:t>
      </w:r>
      <w:r w:rsidRPr="008940C0">
        <w:rPr>
          <w:bCs/>
        </w:rPr>
        <w:t>the hourly wind stress from January 2014 through September 2022</w:t>
      </w:r>
      <w:r w:rsidRPr="008940C0">
        <w:t xml:space="preserve">, and those outside of the thin lines are retained as </w:t>
      </w:r>
      <w:r w:rsidRPr="008940C0">
        <w:rPr>
          <w:bCs/>
        </w:rPr>
        <w:t>repeated 2013 hourly wind stress</w:t>
      </w:r>
      <w:r w:rsidRPr="008940C0">
        <w:t>. The areas between the thick and thin lines denote the transition zone where realistic wind stress is gradually altered to 2013 wind stress, with a 5° width in IWND and 5° zonal and 10° meridional widths in PWND.</w:t>
      </w:r>
    </w:p>
    <w:p w14:paraId="201A375E" w14:textId="01333B54" w:rsidR="008940C0" w:rsidRPr="008940C0" w:rsidRDefault="008940C0" w:rsidP="008940C0">
      <w:r w:rsidRPr="008940C0">
        <w:drawing>
          <wp:inline distT="0" distB="0" distL="0" distR="0" wp14:anchorId="216E0D65" wp14:editId="20A1FB52">
            <wp:extent cx="5514975" cy="4105275"/>
            <wp:effectExtent l="0" t="0" r="9525" b="9525"/>
            <wp:docPr id="4503448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AD675" w14:textId="77777777" w:rsidR="008940C0" w:rsidRPr="008940C0" w:rsidRDefault="008940C0" w:rsidP="008940C0">
      <w:r w:rsidRPr="008940C0">
        <w:rPr>
          <w:b/>
          <w:bCs/>
        </w:rPr>
        <w:t xml:space="preserve">Extended Data Fig. S2 | Along strait velocity of Makassar strait in HYCOM experiments. </w:t>
      </w:r>
      <w:r w:rsidRPr="008940C0">
        <w:t xml:space="preserve">Along strait velocity (m/s) over the upper 800 m in the Makassar Strait from January 2014 to September 2022 for </w:t>
      </w:r>
      <w:proofErr w:type="gramStart"/>
      <w:r w:rsidRPr="008940C0">
        <w:rPr>
          <w:b/>
          <w:bCs/>
        </w:rPr>
        <w:t>a,</w:t>
      </w:r>
      <w:proofErr w:type="gramEnd"/>
      <w:r w:rsidRPr="008940C0">
        <w:t xml:space="preserve"> CTRL, </w:t>
      </w:r>
      <w:r w:rsidRPr="008940C0">
        <w:rPr>
          <w:b/>
          <w:bCs/>
        </w:rPr>
        <w:t>b,</w:t>
      </w:r>
      <w:r w:rsidRPr="008940C0">
        <w:t xml:space="preserve"> PWND and </w:t>
      </w:r>
      <w:r w:rsidRPr="008940C0">
        <w:rPr>
          <w:b/>
          <w:bCs/>
        </w:rPr>
        <w:t>c,</w:t>
      </w:r>
      <w:r w:rsidRPr="008940C0">
        <w:t xml:space="preserve"> IWND. The currents are averaged in a box of 2.5°S - 3.5°S, 116°E - 119.2°E, near the mooring location of INSTANT observation at 2°51.9′ S, 118°27.3′. </w:t>
      </w:r>
    </w:p>
    <w:p w14:paraId="08922105" w14:textId="60198873" w:rsidR="008940C0" w:rsidRPr="008940C0" w:rsidRDefault="008940C0" w:rsidP="008940C0">
      <w:pPr>
        <w:rPr>
          <w:b/>
          <w:bCs/>
        </w:rPr>
      </w:pPr>
      <w:r w:rsidRPr="008940C0">
        <w:lastRenderedPageBreak/>
        <w:drawing>
          <wp:inline distT="0" distB="0" distL="0" distR="0" wp14:anchorId="1604971D" wp14:editId="47F36940">
            <wp:extent cx="5172075" cy="3695700"/>
            <wp:effectExtent l="0" t="0" r="9525" b="0"/>
            <wp:docPr id="27997878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98079" w14:textId="77777777" w:rsidR="008940C0" w:rsidRPr="008940C0" w:rsidRDefault="008940C0" w:rsidP="008940C0">
      <w:r w:rsidRPr="008940C0">
        <w:rPr>
          <w:b/>
          <w:bCs/>
        </w:rPr>
        <w:t xml:space="preserve">Extended Data Fig. S3 | </w:t>
      </w:r>
      <w:bookmarkStart w:id="4" w:name="OLE_LINK9"/>
      <w:r w:rsidRPr="008940C0">
        <w:rPr>
          <w:b/>
          <w:bCs/>
        </w:rPr>
        <w:t>Lead–lag correlations</w:t>
      </w:r>
      <w:bookmarkEnd w:id="4"/>
      <w:r w:rsidRPr="008940C0">
        <w:rPr>
          <w:b/>
          <w:bCs/>
        </w:rPr>
        <w:t xml:space="preserve"> of the ITF anomaly with SLA. </w:t>
      </w:r>
      <w:r w:rsidRPr="008940C0">
        <w:t xml:space="preserve">Correlations between ITF anomaly and SLA averaged in sensitivity regions from HYCOM experiments. </w:t>
      </w:r>
      <w:bookmarkStart w:id="5" w:name="OLE_LINK12"/>
      <w:bookmarkStart w:id="6" w:name="OLE_LINK29"/>
      <w:r w:rsidRPr="008940C0">
        <w:t xml:space="preserve">Correlations between SLAs averaged in Northwestern Pacific box (PO box) and ITFA from </w:t>
      </w:r>
      <w:bookmarkEnd w:id="5"/>
      <w:r w:rsidRPr="008940C0">
        <w:t>PWND (red) and CTRL</w:t>
      </w:r>
      <w:bookmarkEnd w:id="6"/>
      <w:r w:rsidRPr="008940C0">
        <w:t xml:space="preserve"> (black); compared with correlations between SLAs averaged in IO box and ITFA from IWND (blue) and CTRL (grey). Correlation values exceeding 95% significance test are plotted as solid dots.</w:t>
      </w:r>
    </w:p>
    <w:p w14:paraId="2C92A2FC" w14:textId="0F0336F7" w:rsidR="008940C0" w:rsidRPr="008940C0" w:rsidRDefault="008940C0" w:rsidP="008940C0">
      <w:r w:rsidRPr="008940C0">
        <w:drawing>
          <wp:inline distT="0" distB="0" distL="0" distR="0" wp14:anchorId="4925E896" wp14:editId="4CD33730">
            <wp:extent cx="5591175" cy="2876550"/>
            <wp:effectExtent l="0" t="0" r="9525" b="0"/>
            <wp:docPr id="54983226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1" t="2988" r="8698" b="6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0C0">
        <w:rPr>
          <w:b/>
          <w:bCs/>
        </w:rPr>
        <w:t>Extended Data Fig. S4 | SLA-based proxies for the ITF.</w:t>
      </w:r>
      <w:r w:rsidRPr="008940C0">
        <w:t xml:space="preserve"> </w:t>
      </w:r>
      <w:r w:rsidRPr="008940C0">
        <w:rPr>
          <w:b/>
          <w:bCs/>
        </w:rPr>
        <w:t>a</w:t>
      </w:r>
      <w:r w:rsidRPr="008940C0">
        <w:t xml:space="preserve">, Monthly </w:t>
      </w:r>
      <w:r w:rsidRPr="008940C0">
        <w:rPr>
          <w:i/>
          <w:iCs/>
        </w:rPr>
        <w:t>ITF</w:t>
      </w:r>
      <w:r w:rsidRPr="008940C0">
        <w:rPr>
          <w:vertAlign w:val="subscript"/>
        </w:rPr>
        <w:t>P</w:t>
      </w:r>
      <w:r w:rsidRPr="008940C0">
        <w:t xml:space="preserve"> + </w:t>
      </w:r>
      <w:r w:rsidRPr="008940C0">
        <w:rPr>
          <w:i/>
          <w:iCs/>
        </w:rPr>
        <w:t>ITF</w:t>
      </w:r>
      <w:r w:rsidRPr="008940C0">
        <w:rPr>
          <w:vertAlign w:val="subscript"/>
        </w:rPr>
        <w:t>I</w:t>
      </w:r>
      <w:r w:rsidRPr="008940C0">
        <w:t xml:space="preserve"> proxy based on SLA </w:t>
      </w:r>
      <w:r w:rsidRPr="008940C0">
        <w:lastRenderedPageBreak/>
        <w:t xml:space="preserve">using the formula developed in this research, solid and dashed lines refer to results based on CTRL and CMEMS, respectively. </w:t>
      </w:r>
      <w:r w:rsidRPr="008940C0">
        <w:rPr>
          <w:b/>
          <w:bCs/>
        </w:rPr>
        <w:t>b,</w:t>
      </w:r>
      <w:r w:rsidRPr="008940C0">
        <w:t xml:space="preserve"> as in </w:t>
      </w:r>
      <w:r w:rsidRPr="008940C0">
        <w:rPr>
          <w:b/>
          <w:bCs/>
        </w:rPr>
        <w:t>a,</w:t>
      </w:r>
      <w:r w:rsidRPr="008940C0">
        <w:t xml:space="preserve"> but for monthly </w:t>
      </w:r>
      <w:r w:rsidRPr="008940C0">
        <w:rPr>
          <w:i/>
          <w:iCs/>
        </w:rPr>
        <w:t>ITF</w:t>
      </w:r>
      <w:r w:rsidRPr="008940C0">
        <w:rPr>
          <w:vertAlign w:val="subscript"/>
        </w:rPr>
        <w:t>P</w:t>
      </w:r>
      <w:r w:rsidRPr="008940C0">
        <w:t>.</w:t>
      </w:r>
      <w:r w:rsidRPr="008940C0">
        <w:rPr>
          <w:b/>
          <w:bCs/>
        </w:rPr>
        <w:t xml:space="preserve"> c,</w:t>
      </w:r>
      <w:r w:rsidRPr="008940C0">
        <w:t xml:space="preserve"> as in </w:t>
      </w:r>
      <w:r w:rsidRPr="008940C0">
        <w:rPr>
          <w:b/>
          <w:bCs/>
        </w:rPr>
        <w:t>a,</w:t>
      </w:r>
      <w:r w:rsidRPr="008940C0">
        <w:t xml:space="preserve"> but for monthly </w:t>
      </w:r>
      <w:r w:rsidRPr="008940C0">
        <w:rPr>
          <w:i/>
          <w:iCs/>
        </w:rPr>
        <w:t>ITF</w:t>
      </w:r>
      <w:r w:rsidRPr="008940C0">
        <w:rPr>
          <w:vertAlign w:val="subscript"/>
        </w:rPr>
        <w:t>I</w:t>
      </w:r>
      <w:r w:rsidRPr="008940C0">
        <w:t>.</w:t>
      </w:r>
    </w:p>
    <w:p w14:paraId="10836F26" w14:textId="7DBE4392" w:rsidR="008940C0" w:rsidRPr="008940C0" w:rsidRDefault="008940C0" w:rsidP="008940C0">
      <w:pPr>
        <w:rPr>
          <w:b/>
          <w:bCs/>
        </w:rPr>
      </w:pPr>
      <w:r w:rsidRPr="008940C0">
        <w:drawing>
          <wp:inline distT="0" distB="0" distL="0" distR="0" wp14:anchorId="4E588D0C" wp14:editId="27499483">
            <wp:extent cx="5591175" cy="3257550"/>
            <wp:effectExtent l="0" t="0" r="9525" b="0"/>
            <wp:docPr id="15505715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D1F09" w14:textId="1D4BB0DD" w:rsidR="00AD1398" w:rsidRDefault="008940C0" w:rsidP="008940C0">
      <w:r w:rsidRPr="008940C0">
        <w:rPr>
          <w:b/>
          <w:bCs/>
        </w:rPr>
        <w:t xml:space="preserve">Extended Data Fig. S5 | ENSO and IOD events since 1979. </w:t>
      </w:r>
      <w:r w:rsidRPr="008940C0">
        <w:t xml:space="preserve">Time series of </w:t>
      </w:r>
      <w:r w:rsidRPr="008940C0">
        <w:rPr>
          <w:b/>
          <w:bCs/>
        </w:rPr>
        <w:t>a,</w:t>
      </w:r>
      <w:r w:rsidRPr="008940C0">
        <w:t xml:space="preserve"> Niño3.4 SST anomaly and </w:t>
      </w:r>
      <w:r w:rsidRPr="008940C0">
        <w:rPr>
          <w:b/>
          <w:bCs/>
        </w:rPr>
        <w:t>b,</w:t>
      </w:r>
      <w:r w:rsidRPr="008940C0">
        <w:t xml:space="preserve"> DMI indexes in 1979–2022 based on </w:t>
      </w:r>
      <w:proofErr w:type="spellStart"/>
      <w:r w:rsidRPr="008940C0">
        <w:t>HadISST</w:t>
      </w:r>
      <w:proofErr w:type="spellEnd"/>
      <w:r w:rsidRPr="008940C0">
        <w:t xml:space="preserve"> dataset, downloaded from NOAA Climate Prediction Center. The red and blue shadings mark the months of El Nino (</w:t>
      </w:r>
      <w:proofErr w:type="spellStart"/>
      <w:r w:rsidRPr="008940C0">
        <w:t>pIOD</w:t>
      </w:r>
      <w:proofErr w:type="spellEnd"/>
      <w:r w:rsidRPr="008940C0">
        <w:t>) and La Nina (</w:t>
      </w:r>
      <w:proofErr w:type="spellStart"/>
      <w:r w:rsidRPr="008940C0">
        <w:t>nIOD</w:t>
      </w:r>
      <w:proofErr w:type="spellEnd"/>
      <w:r w:rsidRPr="008940C0">
        <w:t>) events. The 0.5 °C and 0.5 standard deviation (0.16°C) thresholds for consecutive 3 months are adopted for identifying ENSO and IOD events, respectively. Grey shadings denote the 2013 period, which presents a neutral state of both events</w:t>
      </w:r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C0"/>
    <w:rsid w:val="00191276"/>
    <w:rsid w:val="005374DE"/>
    <w:rsid w:val="00871FE1"/>
    <w:rsid w:val="008940C0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0A5BD"/>
  <w15:chartTrackingRefBased/>
  <w15:docId w15:val="{93E44972-2C16-4D72-B0AE-547B7E6C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4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0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0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0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0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0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0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9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425</Words>
  <Characters>2429</Characters>
  <Application>Microsoft Office Word</Application>
  <DocSecurity>0</DocSecurity>
  <Lines>20</Lines>
  <Paragraphs>5</Paragraphs>
  <ScaleCrop>false</ScaleCrop>
  <Company>Springer Nature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2024-08-16T07:56:00Z</dcterms:created>
  <dcterms:modified xsi:type="dcterms:W3CDTF">2024-08-16T07:56:00Z</dcterms:modified>
</cp:coreProperties>
</file>