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E4BE1" w14:textId="0C42DDC1" w:rsidR="00485896" w:rsidRDefault="005009A7">
      <w:pPr>
        <w:rPr>
          <w:noProof/>
        </w:rPr>
      </w:pPr>
      <w:r>
        <w:rPr>
          <w:noProof/>
        </w:rPr>
        <w:drawing>
          <wp:inline distT="0" distB="0" distL="0" distR="0" wp14:anchorId="7C41DB66" wp14:editId="7DF81FFB">
            <wp:extent cx="3817620" cy="4357353"/>
            <wp:effectExtent l="0" t="0" r="0" b="5715"/>
            <wp:docPr id="137909621" name="Picture 1" descr="A collage of graphs showing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09621" name="Picture 1" descr="A collage of graphs showing different colored lines&#10;&#10;Description automatically generated"/>
                    <pic:cNvPicPr/>
                  </pic:nvPicPr>
                  <pic:blipFill>
                    <a:blip r:embed="rId4"/>
                    <a:stretch>
                      <a:fillRect/>
                    </a:stretch>
                  </pic:blipFill>
                  <pic:spPr>
                    <a:xfrm>
                      <a:off x="0" y="0"/>
                      <a:ext cx="3830865" cy="4372470"/>
                    </a:xfrm>
                    <a:prstGeom prst="rect">
                      <a:avLst/>
                    </a:prstGeom>
                  </pic:spPr>
                </pic:pic>
              </a:graphicData>
            </a:graphic>
          </wp:inline>
        </w:drawing>
      </w:r>
    </w:p>
    <w:p w14:paraId="3598AC79" w14:textId="77777777" w:rsidR="005009A7" w:rsidRDefault="005009A7" w:rsidP="005009A7">
      <w:pPr>
        <w:rPr>
          <w:noProof/>
        </w:rPr>
      </w:pPr>
    </w:p>
    <w:p w14:paraId="2A482FCC" w14:textId="56BEDA72" w:rsidR="005009A7" w:rsidRDefault="005009A7" w:rsidP="005009A7">
      <w:r w:rsidRPr="005009A7">
        <w:rPr>
          <w:b/>
          <w:bCs/>
        </w:rPr>
        <w:t xml:space="preserve">Supplemental Figure 1. </w:t>
      </w:r>
      <w:r>
        <w:t xml:space="preserve">Flow cytometry data demonstrating KLRG1 and CD57 expression of T cells based on sorted populations. A) Unstained control of negative sorted </w:t>
      </w:r>
      <w:r w:rsidR="001D6584">
        <w:t>CD8</w:t>
      </w:r>
      <w:r w:rsidR="001D6584" w:rsidRPr="00320B5B">
        <w:rPr>
          <w:vertAlign w:val="superscript"/>
        </w:rPr>
        <w:t>+</w:t>
      </w:r>
      <w:r w:rsidR="00997C56">
        <w:t xml:space="preserve"> </w:t>
      </w:r>
      <w:r>
        <w:t xml:space="preserve">T cells based on CD57 expression. B) Stained sample of </w:t>
      </w:r>
      <w:proofErr w:type="gramStart"/>
      <w:r>
        <w:t>negative</w:t>
      </w:r>
      <w:proofErr w:type="gramEnd"/>
      <w:r>
        <w:t xml:space="preserve"> sorted </w:t>
      </w:r>
      <w:r w:rsidR="00951D49">
        <w:t>CD8</w:t>
      </w:r>
      <w:r w:rsidR="00951D49" w:rsidRPr="00F43B52">
        <w:rPr>
          <w:vertAlign w:val="superscript"/>
        </w:rPr>
        <w:t>+</w:t>
      </w:r>
      <w:r w:rsidR="00951D49">
        <w:rPr>
          <w:vertAlign w:val="superscript"/>
        </w:rPr>
        <w:t xml:space="preserve"> </w:t>
      </w:r>
      <w:r>
        <w:t xml:space="preserve">T cells. </w:t>
      </w:r>
      <w:r w:rsidR="00C121E4">
        <w:t xml:space="preserve">T cells are 26.76% positive for KLRG1 and 0.71% positive for CD57. </w:t>
      </w:r>
      <w:r>
        <w:t xml:space="preserve">C) Unstained control of positive </w:t>
      </w:r>
      <w:r w:rsidR="00E65687">
        <w:t>CD8</w:t>
      </w:r>
      <w:r w:rsidR="00E65687" w:rsidRPr="00F43B52">
        <w:rPr>
          <w:vertAlign w:val="superscript"/>
        </w:rPr>
        <w:t>+</w:t>
      </w:r>
      <w:r w:rsidR="00E65687">
        <w:rPr>
          <w:vertAlign w:val="superscript"/>
        </w:rPr>
        <w:t xml:space="preserve"> </w:t>
      </w:r>
      <w:r>
        <w:t>T cells sorted based on CD57 expression. D) Stained sample of s</w:t>
      </w:r>
      <w:r w:rsidR="005B5C5B" w:rsidRPr="005B5C5B">
        <w:t xml:space="preserve"> </w:t>
      </w:r>
      <w:r w:rsidR="005B5C5B">
        <w:t>CD57+ s</w:t>
      </w:r>
      <w:r>
        <w:t>o</w:t>
      </w:r>
      <w:r w:rsidR="00C121E4">
        <w:t>r</w:t>
      </w:r>
      <w:r>
        <w:t xml:space="preserve">ted </w:t>
      </w:r>
      <w:r w:rsidR="005B5C5B">
        <w:t>CD8</w:t>
      </w:r>
      <w:r w:rsidR="005B5C5B" w:rsidRPr="00F43B52">
        <w:rPr>
          <w:vertAlign w:val="superscript"/>
        </w:rPr>
        <w:t>+</w:t>
      </w:r>
      <w:r w:rsidR="005B5C5B">
        <w:rPr>
          <w:vertAlign w:val="superscript"/>
        </w:rPr>
        <w:t xml:space="preserve"> </w:t>
      </w:r>
      <w:r>
        <w:t xml:space="preserve">T cells. </w:t>
      </w:r>
      <w:r w:rsidR="00C121E4">
        <w:t>T cells are 73.5% for KLRG1 and 65.21% positive for CD57.</w:t>
      </w:r>
    </w:p>
    <w:p w14:paraId="09022642" w14:textId="77777777" w:rsidR="00C121E4" w:rsidRDefault="00C121E4" w:rsidP="005009A7"/>
    <w:p w14:paraId="1C0A6077" w14:textId="77777777" w:rsidR="00C121E4" w:rsidRDefault="00C121E4" w:rsidP="00C121E4"/>
    <w:p w14:paraId="47240AF2" w14:textId="35201AB9" w:rsidR="00622BAB" w:rsidRDefault="00622BAB" w:rsidP="00C121E4"/>
    <w:p w14:paraId="5D5208FD" w14:textId="77777777" w:rsidR="00C82057" w:rsidRDefault="00C82057" w:rsidP="00C121E4"/>
    <w:p w14:paraId="54CB2BA4" w14:textId="77777777" w:rsidR="00C82057" w:rsidRDefault="00C82057" w:rsidP="00C121E4"/>
    <w:p w14:paraId="2EE4C280" w14:textId="77777777" w:rsidR="00C82057" w:rsidRDefault="00C82057" w:rsidP="00C121E4"/>
    <w:p w14:paraId="25F4A11F" w14:textId="77777777" w:rsidR="00C82057" w:rsidRDefault="00C82057" w:rsidP="00C121E4"/>
    <w:p w14:paraId="0CC88A91" w14:textId="77777777" w:rsidR="00C82057" w:rsidRDefault="00C82057" w:rsidP="00C121E4"/>
    <w:p w14:paraId="752A3A60" w14:textId="0BE40F1A" w:rsidR="009B5556" w:rsidRDefault="009B5556" w:rsidP="00C121E4">
      <w:r>
        <w:lastRenderedPageBreak/>
        <w:t xml:space="preserve">A                                                                                                          </w:t>
      </w:r>
      <w:r w:rsidR="006A1943">
        <w:t>B</w:t>
      </w:r>
    </w:p>
    <w:p w14:paraId="26F2D15B" w14:textId="79B0DA98" w:rsidR="009351C8" w:rsidRDefault="009B5556" w:rsidP="00C121E4">
      <w:r>
        <w:object w:dxaOrig="10495" w:dyaOrig="6291" w14:anchorId="2BBE3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0.6pt;height:144.6pt" o:ole="">
            <v:imagedata r:id="rId5" o:title=""/>
          </v:shape>
          <o:OLEObject Type="Embed" ProgID="Prism10.Document" ShapeID="_x0000_i1025" DrawAspect="Content" ObjectID="_1773129052" r:id="rId6"/>
        </w:object>
      </w:r>
      <w:r>
        <w:object w:dxaOrig="9621" w:dyaOrig="6235" w14:anchorId="0F2AD818">
          <v:shape id="_x0000_i1026" type="#_x0000_t75" style="width:223.2pt;height:144.6pt" o:ole="">
            <v:imagedata r:id="rId7" o:title=""/>
          </v:shape>
          <o:OLEObject Type="Embed" ProgID="Prism10.Document" ShapeID="_x0000_i1026" DrawAspect="Content" ObjectID="_1773129053" r:id="rId8"/>
        </w:object>
      </w:r>
    </w:p>
    <w:p w14:paraId="2152F1DF" w14:textId="77777777" w:rsidR="009B5556" w:rsidRDefault="009B5556" w:rsidP="00C121E4"/>
    <w:p w14:paraId="243492F0" w14:textId="1ED1EA44" w:rsidR="000B224F" w:rsidRDefault="000B224F" w:rsidP="000B224F">
      <w:r>
        <w:rPr>
          <w:b/>
          <w:bCs/>
        </w:rPr>
        <w:t xml:space="preserve">Supplemental Figure </w:t>
      </w:r>
      <w:r w:rsidR="00C82057">
        <w:rPr>
          <w:b/>
          <w:bCs/>
        </w:rPr>
        <w:t>2</w:t>
      </w:r>
      <w:r>
        <w:rPr>
          <w:b/>
          <w:bCs/>
        </w:rPr>
        <w:t xml:space="preserve">. </w:t>
      </w:r>
      <w:r w:rsidR="0034198C" w:rsidRPr="00DA3D00">
        <w:rPr>
          <w:b/>
          <w:bCs/>
        </w:rPr>
        <w:t xml:space="preserve">Anti-KLRG1 Antibody-dependent Cellular Cytotoxicity of Human </w:t>
      </w:r>
      <w:r w:rsidR="00F31FB0" w:rsidRPr="00DA3D00">
        <w:rPr>
          <w:b/>
          <w:bCs/>
        </w:rPr>
        <w:t>CD57+CD8+ T Cells and CHO-K1 expressing KLRG1</w:t>
      </w:r>
      <w:r w:rsidR="00F31FB0" w:rsidRPr="00320B5B">
        <w:t xml:space="preserve">.  </w:t>
      </w:r>
      <w:r w:rsidR="00925137" w:rsidRPr="00320B5B">
        <w:t xml:space="preserve">The ability of the anti-KLRG1 Ab to </w:t>
      </w:r>
      <w:r w:rsidR="00031F3C" w:rsidRPr="00320B5B">
        <w:t>induce</w:t>
      </w:r>
      <w:r w:rsidR="00925137" w:rsidRPr="00320B5B">
        <w:t xml:space="preserve"> ADCC of </w:t>
      </w:r>
      <w:r w:rsidR="005640FC" w:rsidRPr="00320B5B">
        <w:t xml:space="preserve">target cells </w:t>
      </w:r>
      <w:r w:rsidR="00925137" w:rsidRPr="00320B5B">
        <w:t>CHO-K1 expressing KLRG1</w:t>
      </w:r>
      <w:r w:rsidR="00575D94" w:rsidRPr="00320B5B">
        <w:t xml:space="preserve"> (3A) </w:t>
      </w:r>
      <w:r w:rsidR="005640FC" w:rsidRPr="00320B5B">
        <w:t xml:space="preserve">or </w:t>
      </w:r>
      <w:r w:rsidR="00575D94" w:rsidRPr="00320B5B">
        <w:t>CD57</w:t>
      </w:r>
      <w:r w:rsidR="00575D94" w:rsidRPr="00320B5B">
        <w:rPr>
          <w:vertAlign w:val="superscript"/>
        </w:rPr>
        <w:t>+</w:t>
      </w:r>
      <w:r w:rsidR="00575D94" w:rsidRPr="00320B5B">
        <w:t>CD8</w:t>
      </w:r>
      <w:r w:rsidR="00575D94" w:rsidRPr="00320B5B">
        <w:rPr>
          <w:vertAlign w:val="superscript"/>
        </w:rPr>
        <w:t>+</w:t>
      </w:r>
      <w:r w:rsidR="00575D94" w:rsidRPr="00320B5B">
        <w:t xml:space="preserve"> T Cells (3B) </w:t>
      </w:r>
      <w:r w:rsidR="001D5C89" w:rsidRPr="00320B5B">
        <w:t>was evaluated in ADCC assays with human NK cells as effector cells</w:t>
      </w:r>
      <w:r w:rsidR="0011057C" w:rsidRPr="00320B5B">
        <w:t xml:space="preserve">. </w:t>
      </w:r>
      <w:r w:rsidR="005640FC" w:rsidRPr="00320B5B">
        <w:t xml:space="preserve"> Target cells were labelled with a fluorescent tracker </w:t>
      </w:r>
      <w:r w:rsidR="0032267F" w:rsidRPr="00320B5B">
        <w:t>and incubated for 4 hours</w:t>
      </w:r>
      <w:r w:rsidR="00C1691E" w:rsidRPr="00320B5B">
        <w:t xml:space="preserve"> at </w:t>
      </w:r>
      <w:r w:rsidR="00C1691E" w:rsidRPr="00DA3D00">
        <w:t>37°C</w:t>
      </w:r>
      <w:r w:rsidR="0032267F" w:rsidRPr="00320B5B">
        <w:t xml:space="preserve"> with NK cells</w:t>
      </w:r>
      <w:r w:rsidR="0032267F">
        <w:rPr>
          <w:b/>
          <w:bCs/>
        </w:rPr>
        <w:t xml:space="preserve"> </w:t>
      </w:r>
      <w:r w:rsidR="003B7CAB">
        <w:t>(1:5 CHO:</w:t>
      </w:r>
      <w:r w:rsidR="00491683">
        <w:t xml:space="preserve">NK cell ratio and 1:10 </w:t>
      </w:r>
      <w:r w:rsidR="00491683" w:rsidRPr="00F43B52">
        <w:t>CD57</w:t>
      </w:r>
      <w:r w:rsidR="00491683" w:rsidRPr="00320B5B">
        <w:rPr>
          <w:vertAlign w:val="superscript"/>
        </w:rPr>
        <w:t>+</w:t>
      </w:r>
      <w:r w:rsidR="00491683" w:rsidRPr="00F43B52">
        <w:t>CD8</w:t>
      </w:r>
      <w:r w:rsidR="00491683" w:rsidRPr="00320B5B">
        <w:rPr>
          <w:vertAlign w:val="superscript"/>
        </w:rPr>
        <w:t>+</w:t>
      </w:r>
      <w:r w:rsidR="00491683" w:rsidRPr="00F43B52">
        <w:t xml:space="preserve"> T </w:t>
      </w:r>
      <w:r w:rsidR="00491683">
        <w:t>: NK cell ratio</w:t>
      </w:r>
      <w:r w:rsidR="0080526D">
        <w:t xml:space="preserve"> from the same donor</w:t>
      </w:r>
      <w:r w:rsidR="00491683">
        <w:t>)</w:t>
      </w:r>
      <w:r w:rsidR="00E40025">
        <w:t xml:space="preserve"> with </w:t>
      </w:r>
      <w:r w:rsidR="004D0082">
        <w:t xml:space="preserve">a-KLRG1 or control </w:t>
      </w:r>
      <w:r w:rsidR="00E40025">
        <w:t>antibod</w:t>
      </w:r>
      <w:r w:rsidR="004D0082">
        <w:t xml:space="preserve">y. </w:t>
      </w:r>
      <w:r w:rsidR="00491683">
        <w:t xml:space="preserve"> </w:t>
      </w:r>
      <w:r w:rsidR="007F26AC">
        <w:t>Cytotoxicity was measured by flow cytometry in the gated target cell population by the update of SYTOX</w:t>
      </w:r>
      <w:r w:rsidR="007F26AC" w:rsidRPr="00320B5B">
        <w:rPr>
          <w:vertAlign w:val="superscript"/>
        </w:rPr>
        <w:t>TM</w:t>
      </w:r>
      <w:r w:rsidR="007F26AC">
        <w:t xml:space="preserve"> Dead Cell Stain</w:t>
      </w:r>
      <w:r w:rsidR="00C35348">
        <w:t xml:space="preserve">. Anti-KLRG1 </w:t>
      </w:r>
      <w:r w:rsidR="006F4639">
        <w:t>induced killing of CD8</w:t>
      </w:r>
      <w:r w:rsidR="006F4639" w:rsidRPr="00320B5B">
        <w:rPr>
          <w:vertAlign w:val="superscript"/>
        </w:rPr>
        <w:t>+</w:t>
      </w:r>
      <w:r w:rsidR="006F4639">
        <w:t>CD57</w:t>
      </w:r>
      <w:r w:rsidR="006F4639" w:rsidRPr="00320B5B">
        <w:rPr>
          <w:vertAlign w:val="superscript"/>
        </w:rPr>
        <w:t>+</w:t>
      </w:r>
      <w:r w:rsidR="006F4639">
        <w:t xml:space="preserve"> T cells with EC</w:t>
      </w:r>
      <w:r w:rsidR="006F4639" w:rsidRPr="00320B5B">
        <w:rPr>
          <w:vertAlign w:val="subscript"/>
        </w:rPr>
        <w:t xml:space="preserve">50 </w:t>
      </w:r>
      <w:r w:rsidR="006F4639">
        <w:t xml:space="preserve">values of </w:t>
      </w:r>
      <w:r w:rsidR="00037A1C">
        <w:t xml:space="preserve">1.5 </w:t>
      </w:r>
      <w:bookmarkStart w:id="0" w:name="_Hlk161934970"/>
      <w:r w:rsidR="00E62469">
        <w:t>±</w:t>
      </w:r>
      <w:bookmarkEnd w:id="0"/>
      <w:r w:rsidR="00E62469">
        <w:t xml:space="preserve"> 0.5 nM</w:t>
      </w:r>
      <w:r w:rsidR="006F4639">
        <w:t xml:space="preserve"> </w:t>
      </w:r>
      <w:r w:rsidR="007F26AC">
        <w:t xml:space="preserve"> </w:t>
      </w:r>
      <w:r w:rsidR="00E62469">
        <w:t xml:space="preserve"> n=3 donors</w:t>
      </w:r>
      <w:r w:rsidR="009A7BE1">
        <w:t>. Anti KLRG1 induced killing of CHO-K1-KLRG1 cells with EC</w:t>
      </w:r>
      <w:r w:rsidR="009A7BE1" w:rsidRPr="00320B5B">
        <w:rPr>
          <w:vertAlign w:val="subscript"/>
        </w:rPr>
        <w:t>50</w:t>
      </w:r>
      <w:r w:rsidR="009A7BE1">
        <w:t xml:space="preserve"> values of 0.025 ± 0.016 nM </w:t>
      </w:r>
      <w:r w:rsidR="003B27F0">
        <w:t xml:space="preserve">n=3.  There was no killing by the isotype control antibody or </w:t>
      </w:r>
      <w:r w:rsidR="003B4D69">
        <w:t xml:space="preserve">of CHO parental cells by a-KLRG1 Ab. </w:t>
      </w:r>
    </w:p>
    <w:p w14:paraId="19899E87" w14:textId="77777777" w:rsidR="00320B5B" w:rsidRDefault="00320B5B" w:rsidP="00320B5B">
      <w:pPr>
        <w:rPr>
          <w:noProof/>
        </w:rPr>
      </w:pPr>
      <w:r>
        <w:rPr>
          <w:noProof/>
        </w:rPr>
        <w:drawing>
          <wp:inline distT="0" distB="0" distL="0" distR="0" wp14:anchorId="658DDC6A" wp14:editId="0E4DACD9">
            <wp:extent cx="5943600" cy="2349500"/>
            <wp:effectExtent l="0" t="0" r="0" b="0"/>
            <wp:docPr id="1468835932"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35932" name="Picture 1" descr="A diagram of a graph&#10;&#10;Description automatically generated with medium confidence"/>
                    <pic:cNvPicPr/>
                  </pic:nvPicPr>
                  <pic:blipFill>
                    <a:blip r:embed="rId9"/>
                    <a:stretch>
                      <a:fillRect/>
                    </a:stretch>
                  </pic:blipFill>
                  <pic:spPr>
                    <a:xfrm>
                      <a:off x="0" y="0"/>
                      <a:ext cx="5943600" cy="2349500"/>
                    </a:xfrm>
                    <a:prstGeom prst="rect">
                      <a:avLst/>
                    </a:prstGeom>
                  </pic:spPr>
                </pic:pic>
              </a:graphicData>
            </a:graphic>
          </wp:inline>
        </w:drawing>
      </w:r>
    </w:p>
    <w:p w14:paraId="4F936B72" w14:textId="77777777" w:rsidR="00320B5B" w:rsidRDefault="00320B5B" w:rsidP="00320B5B">
      <w:r w:rsidRPr="00C121E4">
        <w:rPr>
          <w:b/>
          <w:bCs/>
        </w:rPr>
        <w:t xml:space="preserve">Supplemental Figure </w:t>
      </w:r>
      <w:r>
        <w:rPr>
          <w:b/>
          <w:bCs/>
        </w:rPr>
        <w:t>3</w:t>
      </w:r>
      <w:r w:rsidRPr="00C121E4">
        <w:rPr>
          <w:b/>
          <w:bCs/>
        </w:rPr>
        <w:t>.</w:t>
      </w:r>
      <w:r>
        <w:rPr>
          <w:b/>
          <w:bCs/>
        </w:rPr>
        <w:t xml:space="preserve"> </w:t>
      </w:r>
      <w:r>
        <w:t xml:space="preserve">Single cell droplet data of CHO cells combined with NK and either control or anti-KLRG1 antibody observed over 8 hours. A) Cytotoxicity data displaying CHO cell killing over time.  B) Proportion of CHO cell lifespan in droplets in contact with NK cell(s). </w:t>
      </w:r>
      <w:r w:rsidRPr="001D0C71">
        <w:t>N: Parental = 317</w:t>
      </w:r>
      <w:r>
        <w:t xml:space="preserve"> cells</w:t>
      </w:r>
      <w:r w:rsidRPr="001D0C71">
        <w:t>, KLRG1</w:t>
      </w:r>
      <w:r>
        <w:rPr>
          <w:vertAlign w:val="superscript"/>
        </w:rPr>
        <w:t>+</w:t>
      </w:r>
      <w:r w:rsidRPr="001D0C71">
        <w:t xml:space="preserve"> = 235 cells</w:t>
      </w:r>
      <w:r>
        <w:t>.</w:t>
      </w:r>
    </w:p>
    <w:p w14:paraId="1960A901" w14:textId="4649901F" w:rsidR="009B5556" w:rsidRPr="00C121E4" w:rsidRDefault="009B5556" w:rsidP="00C121E4"/>
    <w:p w14:paraId="2E7EDC6C" w14:textId="566CB5FC" w:rsidR="00C121E4" w:rsidRDefault="00C121E4" w:rsidP="00C121E4">
      <w:r w:rsidRPr="00C121E4">
        <w:rPr>
          <w:noProof/>
        </w:rPr>
        <w:lastRenderedPageBreak/>
        <w:drawing>
          <wp:inline distT="0" distB="0" distL="0" distR="0" wp14:anchorId="238E576B" wp14:editId="26BC79AA">
            <wp:extent cx="5831840" cy="8229600"/>
            <wp:effectExtent l="0" t="0" r="0" b="0"/>
            <wp:docPr id="5" name="Picture 4">
              <a:extLst xmlns:a="http://schemas.openxmlformats.org/drawingml/2006/main">
                <a:ext uri="{FF2B5EF4-FFF2-40B4-BE49-F238E27FC236}">
                  <a16:creationId xmlns:a16="http://schemas.microsoft.com/office/drawing/2014/main" id="{9C0ED083-D201-B0BA-7234-180ADEC133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C0ED083-D201-B0BA-7234-180ADEC13370}"/>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31840" cy="8229600"/>
                    </a:xfrm>
                    <a:prstGeom prst="rect">
                      <a:avLst/>
                    </a:prstGeom>
                  </pic:spPr>
                </pic:pic>
              </a:graphicData>
            </a:graphic>
          </wp:inline>
        </w:drawing>
      </w:r>
    </w:p>
    <w:p w14:paraId="7C969989" w14:textId="1B4003C4" w:rsidR="00C121E4" w:rsidRDefault="00C121E4" w:rsidP="004210DC">
      <w:pPr>
        <w:spacing w:line="240" w:lineRule="auto"/>
        <w:rPr>
          <w:rFonts w:ascii="Arial" w:hAnsi="Arial" w:cs="Arial"/>
        </w:rPr>
      </w:pPr>
      <w:r>
        <w:rPr>
          <w:b/>
          <w:bCs/>
        </w:rPr>
        <w:lastRenderedPageBreak/>
        <w:t xml:space="preserve">Supplemental Figure 4. </w:t>
      </w:r>
      <w:r w:rsidR="001D0C71" w:rsidRPr="001D0C71">
        <w:t xml:space="preserve">Influence of </w:t>
      </w:r>
      <w:r w:rsidR="000B224F">
        <w:t>anti-KLRG1 A</w:t>
      </w:r>
      <w:r w:rsidR="00E1462C">
        <w:t>b</w:t>
      </w:r>
      <w:r w:rsidR="000B224F" w:rsidRPr="001D0C71">
        <w:t xml:space="preserve"> </w:t>
      </w:r>
      <w:r w:rsidR="001D0C71" w:rsidRPr="001D0C71">
        <w:t>on</w:t>
      </w:r>
      <w:r w:rsidR="001D0C71">
        <w:t xml:space="preserve"> NK cell</w:t>
      </w:r>
      <w:r w:rsidR="001D0C71" w:rsidRPr="001D0C71">
        <w:t xml:space="preserve"> cytotoxicity towards T cells and NK cell viability and activity.</w:t>
      </w:r>
      <w:r w:rsidR="001D0C71">
        <w:t xml:space="preserve"> A) </w:t>
      </w:r>
      <w:r w:rsidR="001D0C71" w:rsidRPr="00007B31">
        <w:rPr>
          <w:rFonts w:ascii="Arial" w:hAnsi="Arial" w:cs="Arial"/>
        </w:rPr>
        <w:t xml:space="preserve">T cell </w:t>
      </w:r>
      <w:r w:rsidR="001D0C71">
        <w:rPr>
          <w:rFonts w:ascii="Arial" w:hAnsi="Arial" w:cs="Arial"/>
        </w:rPr>
        <w:t>killing</w:t>
      </w:r>
      <w:r w:rsidR="001D0C71" w:rsidRPr="00007B31">
        <w:rPr>
          <w:rFonts w:ascii="Arial" w:hAnsi="Arial" w:cs="Arial"/>
        </w:rPr>
        <w:t xml:space="preserve"> in droplets with only 1:1 E:T ratios observed. N: CD57</w:t>
      </w:r>
      <w:r w:rsidR="001D0C71" w:rsidRPr="00007B31">
        <w:rPr>
          <w:rFonts w:ascii="Arial" w:hAnsi="Arial" w:cs="Arial"/>
          <w:vertAlign w:val="superscript"/>
        </w:rPr>
        <w:t xml:space="preserve">+ </w:t>
      </w:r>
      <w:r w:rsidR="001D0C71" w:rsidRPr="00007B31">
        <w:rPr>
          <w:rFonts w:ascii="Arial" w:hAnsi="Arial" w:cs="Arial"/>
        </w:rPr>
        <w:t xml:space="preserve">T + </w:t>
      </w:r>
      <w:r w:rsidR="001D0C71">
        <w:rPr>
          <w:rFonts w:ascii="Arial" w:hAnsi="Arial" w:cs="Arial"/>
        </w:rPr>
        <w:t>a-KLRG1 Ab</w:t>
      </w:r>
      <w:r w:rsidR="001D0C71" w:rsidRPr="00007B31">
        <w:rPr>
          <w:rFonts w:ascii="Arial" w:hAnsi="Arial" w:cs="Arial"/>
        </w:rPr>
        <w:t xml:space="preserve"> = 190, CD57</w:t>
      </w:r>
      <w:r w:rsidR="001D0C71" w:rsidRPr="00007B31">
        <w:rPr>
          <w:rFonts w:ascii="Arial" w:hAnsi="Arial" w:cs="Arial"/>
          <w:vertAlign w:val="superscript"/>
        </w:rPr>
        <w:t xml:space="preserve">+ </w:t>
      </w:r>
      <w:r w:rsidR="001D0C71" w:rsidRPr="00007B31">
        <w:rPr>
          <w:rFonts w:ascii="Arial" w:hAnsi="Arial" w:cs="Arial"/>
        </w:rPr>
        <w:t>T + Isotype Control = 153, KRLG1</w:t>
      </w:r>
      <w:r w:rsidR="001D0C71" w:rsidRPr="00007B31">
        <w:rPr>
          <w:rFonts w:ascii="Arial" w:hAnsi="Arial" w:cs="Arial"/>
          <w:vertAlign w:val="superscript"/>
        </w:rPr>
        <w:t xml:space="preserve">- </w:t>
      </w:r>
      <w:r w:rsidR="001D0C71" w:rsidRPr="00007B31">
        <w:rPr>
          <w:rFonts w:ascii="Arial" w:hAnsi="Arial" w:cs="Arial"/>
        </w:rPr>
        <w:t xml:space="preserve">T + </w:t>
      </w:r>
      <w:r w:rsidR="001D0C71">
        <w:rPr>
          <w:rFonts w:ascii="Arial" w:hAnsi="Arial" w:cs="Arial"/>
        </w:rPr>
        <w:t>a-KLRG1 Ab</w:t>
      </w:r>
      <w:r w:rsidR="001D0C71" w:rsidRPr="00007B31">
        <w:rPr>
          <w:rFonts w:ascii="Arial" w:hAnsi="Arial" w:cs="Arial"/>
        </w:rPr>
        <w:t xml:space="preserve"> = 107, KRLG1</w:t>
      </w:r>
      <w:r w:rsidR="001D0C71" w:rsidRPr="00007B31">
        <w:rPr>
          <w:rFonts w:ascii="Arial" w:hAnsi="Arial" w:cs="Arial"/>
          <w:vertAlign w:val="superscript"/>
        </w:rPr>
        <w:t xml:space="preserve">- </w:t>
      </w:r>
      <w:r w:rsidR="001D0C71" w:rsidRPr="00007B31">
        <w:rPr>
          <w:rFonts w:ascii="Arial" w:hAnsi="Arial" w:cs="Arial"/>
        </w:rPr>
        <w:t xml:space="preserve">T + Isotype Control = 122 cells. </w:t>
      </w:r>
      <w:r w:rsidR="001D0C71">
        <w:rPr>
          <w:rFonts w:ascii="Arial" w:hAnsi="Arial" w:cs="Arial"/>
        </w:rPr>
        <w:t>B</w:t>
      </w:r>
      <w:r w:rsidR="001D0C71" w:rsidRPr="00007B31">
        <w:rPr>
          <w:rFonts w:ascii="Arial" w:hAnsi="Arial" w:cs="Arial"/>
        </w:rPr>
        <w:t xml:space="preserve">) Bar graph representation of 1:1 droplet T cell viability at 2-hour endpoint. </w:t>
      </w:r>
      <w:r w:rsidR="001D0C71">
        <w:rPr>
          <w:rFonts w:ascii="Arial" w:hAnsi="Arial" w:cs="Arial"/>
        </w:rPr>
        <w:t>C</w:t>
      </w:r>
      <w:r w:rsidR="001D0C71" w:rsidRPr="00007B31">
        <w:rPr>
          <w:rFonts w:ascii="Arial" w:hAnsi="Arial" w:cs="Arial"/>
        </w:rPr>
        <w:t xml:space="preserve">) T cell </w:t>
      </w:r>
      <w:r w:rsidR="001D0C71">
        <w:rPr>
          <w:rFonts w:ascii="Arial" w:hAnsi="Arial" w:cs="Arial"/>
        </w:rPr>
        <w:t>killing</w:t>
      </w:r>
      <w:r w:rsidR="001D0C71" w:rsidRPr="00007B31">
        <w:rPr>
          <w:rFonts w:ascii="Arial" w:hAnsi="Arial" w:cs="Arial"/>
        </w:rPr>
        <w:t xml:space="preserve"> in droplets with only 2:1 E:T ratios observed. N: CD57</w:t>
      </w:r>
      <w:r w:rsidR="001D0C71" w:rsidRPr="00007B31">
        <w:rPr>
          <w:rFonts w:ascii="Arial" w:hAnsi="Arial" w:cs="Arial"/>
          <w:vertAlign w:val="superscript"/>
        </w:rPr>
        <w:t xml:space="preserve">+ </w:t>
      </w:r>
      <w:r w:rsidR="001D0C71" w:rsidRPr="00007B31">
        <w:rPr>
          <w:rFonts w:ascii="Arial" w:hAnsi="Arial" w:cs="Arial"/>
        </w:rPr>
        <w:t xml:space="preserve">T + </w:t>
      </w:r>
      <w:r w:rsidR="001D0C71">
        <w:rPr>
          <w:rFonts w:ascii="Arial" w:hAnsi="Arial" w:cs="Arial"/>
        </w:rPr>
        <w:t>a-KLRG1 Ab</w:t>
      </w:r>
      <w:r w:rsidR="001D0C71" w:rsidRPr="00007B31">
        <w:rPr>
          <w:rFonts w:ascii="Arial" w:hAnsi="Arial" w:cs="Arial"/>
        </w:rPr>
        <w:t xml:space="preserve"> = 71, CD57</w:t>
      </w:r>
      <w:r w:rsidR="001D0C71" w:rsidRPr="00007B31">
        <w:rPr>
          <w:rFonts w:ascii="Arial" w:hAnsi="Arial" w:cs="Arial"/>
          <w:vertAlign w:val="superscript"/>
        </w:rPr>
        <w:t xml:space="preserve">+ </w:t>
      </w:r>
      <w:r w:rsidR="001D0C71" w:rsidRPr="00007B31">
        <w:rPr>
          <w:rFonts w:ascii="Arial" w:hAnsi="Arial" w:cs="Arial"/>
        </w:rPr>
        <w:t>T + Isotype Control = 49, KRLG1</w:t>
      </w:r>
      <w:r w:rsidR="001D0C71" w:rsidRPr="00007B31">
        <w:rPr>
          <w:rFonts w:ascii="Arial" w:hAnsi="Arial" w:cs="Arial"/>
          <w:vertAlign w:val="superscript"/>
        </w:rPr>
        <w:t xml:space="preserve">- </w:t>
      </w:r>
      <w:r w:rsidR="001D0C71" w:rsidRPr="00007B31">
        <w:rPr>
          <w:rFonts w:ascii="Arial" w:hAnsi="Arial" w:cs="Arial"/>
        </w:rPr>
        <w:t xml:space="preserve">T + </w:t>
      </w:r>
      <w:r w:rsidR="001D0C71">
        <w:rPr>
          <w:rFonts w:ascii="Arial" w:hAnsi="Arial" w:cs="Arial"/>
        </w:rPr>
        <w:t>a-KLRG1 Ab</w:t>
      </w:r>
      <w:r w:rsidR="001D0C71" w:rsidRPr="00007B31">
        <w:rPr>
          <w:rFonts w:ascii="Arial" w:hAnsi="Arial" w:cs="Arial"/>
        </w:rPr>
        <w:t xml:space="preserve"> = 39, KRLG1</w:t>
      </w:r>
      <w:r w:rsidR="001D0C71" w:rsidRPr="00007B31">
        <w:rPr>
          <w:rFonts w:ascii="Arial" w:hAnsi="Arial" w:cs="Arial"/>
          <w:vertAlign w:val="superscript"/>
        </w:rPr>
        <w:t xml:space="preserve">- </w:t>
      </w:r>
      <w:r w:rsidR="001D0C71" w:rsidRPr="00007B31">
        <w:rPr>
          <w:rFonts w:ascii="Arial" w:hAnsi="Arial" w:cs="Arial"/>
        </w:rPr>
        <w:t xml:space="preserve">T + Isotype Control = 59 cells. </w:t>
      </w:r>
      <w:r w:rsidR="001D0C71">
        <w:rPr>
          <w:rFonts w:ascii="Arial" w:hAnsi="Arial" w:cs="Arial"/>
        </w:rPr>
        <w:t>D</w:t>
      </w:r>
      <w:r w:rsidR="001D0C71" w:rsidRPr="00007B31">
        <w:rPr>
          <w:rFonts w:ascii="Arial" w:hAnsi="Arial" w:cs="Arial"/>
        </w:rPr>
        <w:t xml:space="preserve">) Bar graph representation of 2:1 droplet T cell viability at 2-hour endpoint. </w:t>
      </w:r>
      <w:r w:rsidR="001D0C71">
        <w:rPr>
          <w:rFonts w:ascii="Arial" w:hAnsi="Arial" w:cs="Arial"/>
        </w:rPr>
        <w:t>E)</w:t>
      </w:r>
      <w:r w:rsidR="001D0C71" w:rsidRPr="00007B31">
        <w:rPr>
          <w:rFonts w:ascii="Arial" w:hAnsi="Arial" w:cs="Arial"/>
        </w:rPr>
        <w:t xml:space="preserve"> </w:t>
      </w:r>
      <w:r w:rsidR="001D0C71">
        <w:rPr>
          <w:rFonts w:ascii="Arial" w:hAnsi="Arial" w:cs="Arial"/>
        </w:rPr>
        <w:t>Viability of NK cells co-encapsulated in droplets in each treatment condition</w:t>
      </w:r>
      <w:r w:rsidR="001D0C71" w:rsidRPr="00007B31">
        <w:rPr>
          <w:rFonts w:ascii="Arial" w:hAnsi="Arial" w:cs="Arial"/>
        </w:rPr>
        <w:t>. N: CD57</w:t>
      </w:r>
      <w:r w:rsidR="001D0C71" w:rsidRPr="00007B31">
        <w:rPr>
          <w:rFonts w:ascii="Arial" w:hAnsi="Arial" w:cs="Arial"/>
          <w:vertAlign w:val="superscript"/>
        </w:rPr>
        <w:t xml:space="preserve">+ </w:t>
      </w:r>
      <w:r w:rsidR="001D0C71" w:rsidRPr="00007B31">
        <w:rPr>
          <w:rFonts w:ascii="Arial" w:hAnsi="Arial" w:cs="Arial"/>
        </w:rPr>
        <w:t xml:space="preserve">T + </w:t>
      </w:r>
      <w:r w:rsidR="004210DC">
        <w:rPr>
          <w:rFonts w:ascii="Arial" w:hAnsi="Arial" w:cs="Arial"/>
        </w:rPr>
        <w:t>a-KLRG1 Ab</w:t>
      </w:r>
      <w:r w:rsidR="001D0C71" w:rsidRPr="00007B31">
        <w:rPr>
          <w:rFonts w:ascii="Arial" w:hAnsi="Arial" w:cs="Arial"/>
        </w:rPr>
        <w:t xml:space="preserve"> = , CD57</w:t>
      </w:r>
      <w:r w:rsidR="001D0C71" w:rsidRPr="00007B31">
        <w:rPr>
          <w:rFonts w:ascii="Arial" w:hAnsi="Arial" w:cs="Arial"/>
          <w:vertAlign w:val="superscript"/>
        </w:rPr>
        <w:t xml:space="preserve">+ </w:t>
      </w:r>
      <w:r w:rsidR="001D0C71" w:rsidRPr="00007B31">
        <w:rPr>
          <w:rFonts w:ascii="Arial" w:hAnsi="Arial" w:cs="Arial"/>
        </w:rPr>
        <w:t>T + Isotype Control = , KRLG1</w:t>
      </w:r>
      <w:r w:rsidR="001D0C71" w:rsidRPr="00007B31">
        <w:rPr>
          <w:rFonts w:ascii="Arial" w:hAnsi="Arial" w:cs="Arial"/>
          <w:vertAlign w:val="superscript"/>
        </w:rPr>
        <w:t xml:space="preserve">- </w:t>
      </w:r>
      <w:r w:rsidR="001D0C71" w:rsidRPr="00007B31">
        <w:rPr>
          <w:rFonts w:ascii="Arial" w:hAnsi="Arial" w:cs="Arial"/>
        </w:rPr>
        <w:t xml:space="preserve">T + </w:t>
      </w:r>
      <w:r w:rsidR="004210DC">
        <w:rPr>
          <w:rFonts w:ascii="Arial" w:hAnsi="Arial" w:cs="Arial"/>
        </w:rPr>
        <w:t>a-KLRG1 Ab</w:t>
      </w:r>
      <w:r w:rsidR="001D0C71" w:rsidRPr="00007B31">
        <w:rPr>
          <w:rFonts w:ascii="Arial" w:hAnsi="Arial" w:cs="Arial"/>
        </w:rPr>
        <w:t xml:space="preserve"> = , KRLG1</w:t>
      </w:r>
      <w:r w:rsidR="001D0C71" w:rsidRPr="00007B31">
        <w:rPr>
          <w:rFonts w:ascii="Arial" w:hAnsi="Arial" w:cs="Arial"/>
          <w:vertAlign w:val="superscript"/>
        </w:rPr>
        <w:t xml:space="preserve">- </w:t>
      </w:r>
      <w:r w:rsidR="001D0C71" w:rsidRPr="00007B31">
        <w:rPr>
          <w:rFonts w:ascii="Arial" w:hAnsi="Arial" w:cs="Arial"/>
        </w:rPr>
        <w:t>T + Isotype Control =  cells. G) Scatter plot of proportion of T cell lifespan in contact with NK cells. * = p &lt; 0.05.</w:t>
      </w:r>
      <w:r w:rsidR="004210DC">
        <w:rPr>
          <w:rFonts w:ascii="Arial" w:hAnsi="Arial" w:cs="Arial"/>
        </w:rPr>
        <w:t xml:space="preserve"> Error bars based on st</w:t>
      </w:r>
      <w:r w:rsidR="008B52D0">
        <w:rPr>
          <w:rFonts w:ascii="Arial" w:hAnsi="Arial" w:cs="Arial"/>
        </w:rPr>
        <w:t>andard deviation.</w:t>
      </w:r>
    </w:p>
    <w:tbl>
      <w:tblPr>
        <w:tblW w:w="8172" w:type="dxa"/>
        <w:tblCellMar>
          <w:left w:w="0" w:type="dxa"/>
          <w:right w:w="0" w:type="dxa"/>
        </w:tblCellMar>
        <w:tblLook w:val="0600" w:firstRow="0" w:lastRow="0" w:firstColumn="0" w:lastColumn="0" w:noHBand="1" w:noVBand="1"/>
      </w:tblPr>
      <w:tblGrid>
        <w:gridCol w:w="1095"/>
        <w:gridCol w:w="1011"/>
        <w:gridCol w:w="1011"/>
        <w:gridCol w:w="1011"/>
        <w:gridCol w:w="1011"/>
        <w:gridCol w:w="1011"/>
        <w:gridCol w:w="1011"/>
        <w:gridCol w:w="1011"/>
      </w:tblGrid>
      <w:tr w:rsidR="007E70F3" w:rsidRPr="007E70F3" w14:paraId="1D26FA7E" w14:textId="77777777" w:rsidTr="007E70F3">
        <w:trPr>
          <w:trHeight w:val="567"/>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36DD557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Name</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6425573A"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Count</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7903C7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Name</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36C6664"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Count</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30A0D6E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Name</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5614E3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Count</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1013AF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Name</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740D48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b/>
                <w:bCs/>
                <w:color w:val="000000"/>
                <w:kern w:val="24"/>
                <w:sz w:val="14"/>
                <w:szCs w:val="14"/>
                <w14:ligatures w14:val="none"/>
              </w:rPr>
              <w:t>Gene Count</w:t>
            </w:r>
          </w:p>
        </w:tc>
      </w:tr>
      <w:tr w:rsidR="007E70F3" w:rsidRPr="007E70F3" w14:paraId="5B36F6C4"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B64825F"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EIF4G2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59EA651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6566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0359A8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HNRNPD</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376A94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881</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A47E58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TUBA1A</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33D277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558</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C1FB54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SP3</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677A55B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427</w:t>
            </w:r>
          </w:p>
        </w:tc>
      </w:tr>
      <w:tr w:rsidR="007E70F3" w:rsidRPr="007E70F3" w14:paraId="230DA3A7"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66A59A43"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EIF5A</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A1BED1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2872</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C640CD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SERF2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54C3F89"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815</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92E388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EIF5</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D3C1B2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525</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5EAFEF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PUM1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344020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407</w:t>
            </w:r>
          </w:p>
        </w:tc>
      </w:tr>
      <w:tr w:rsidR="007E70F3" w:rsidRPr="007E70F3" w14:paraId="042DB4F9"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5D4BF57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DDX3X</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615A29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2709</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70C319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SET</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9D7051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780</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8EADC4F"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THRA</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51288D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524</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3182DD2"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DHX15</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1A28DFA"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387</w:t>
            </w:r>
          </w:p>
        </w:tc>
      </w:tr>
      <w:tr w:rsidR="007E70F3" w:rsidRPr="007E70F3" w14:paraId="1ABD54A7"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68845F64"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YBX1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94C5C3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2583</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17B72F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UBAP2L</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7F7442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749</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3FE69C1"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PPP3CB</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22BE5E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479</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920CCF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HNRNPM</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A6473D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380</w:t>
            </w:r>
          </w:p>
        </w:tc>
      </w:tr>
      <w:tr w:rsidR="007E70F3" w:rsidRPr="007E70F3" w14:paraId="0CDDF7F3"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6C655811"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HNRNPA3</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6F0765F"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2159</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51F9C71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HNRNPU</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657C07A"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713</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F800394"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ETF1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D1616F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460</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37BBF2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PTP4A2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5D61D2B9"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370</w:t>
            </w:r>
          </w:p>
        </w:tc>
      </w:tr>
      <w:tr w:rsidR="007E70F3" w:rsidRPr="007E70F3" w14:paraId="72BE7268"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3A7DD89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TMSB4X</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8EB760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1937</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C1C65A1"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8739EF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701</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6A63C8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HNRNPR</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26CD5F2"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455</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45862A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MSL1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DCD9449"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365</w:t>
            </w:r>
          </w:p>
        </w:tc>
      </w:tr>
      <w:tr w:rsidR="007E70F3" w:rsidRPr="007E70F3" w14:paraId="44733731" w14:textId="77777777" w:rsidTr="007E70F3">
        <w:trPr>
          <w:trHeight w:val="349"/>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F38015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HNRNPA2B1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297F5F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1906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AC3E7A3"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HMGB1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589A291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650</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D26244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SETD5</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B4A8CF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447</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660F8D8A"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HUWE1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DB5D9D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348</w:t>
            </w:r>
          </w:p>
        </w:tc>
      </w:tr>
      <w:tr w:rsidR="007E70F3" w:rsidRPr="007E70F3" w14:paraId="6911D961"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319393B"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UBE2D3</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9B54B8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1733</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B1F2B4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ARF6</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5CBDCDF"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595</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8E51294"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EIF4A2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706A11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447</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45FBE5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PFN2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816ADAF"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334</w:t>
            </w:r>
          </w:p>
        </w:tc>
      </w:tr>
      <w:tr w:rsidR="007E70F3" w:rsidRPr="007E70F3" w14:paraId="031A165B"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6CCD510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HNRNPK</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BAA5DE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1286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1E0163D"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RAB1A</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CC22762"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594</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F6DB2F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SF1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E76A75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446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8FD60F0"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EIF5AL1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B7C857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334</w:t>
            </w:r>
          </w:p>
        </w:tc>
      </w:tr>
      <w:tr w:rsidR="007E70F3" w:rsidRPr="007E70F3" w14:paraId="36B93D77"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AD863E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MBNL1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A7D22E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1206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DB1F40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H2AFZ</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EEB9C38"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582</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4FD4C47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CRK</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082FFC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444</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C9C0FC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USP34</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7A15F08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333</w:t>
            </w:r>
          </w:p>
        </w:tc>
      </w:tr>
      <w:tr w:rsidR="007E70F3" w:rsidRPr="007E70F3" w14:paraId="70DA9445"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B77D093"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PRRC2A</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E89892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1135</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3D5F201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HNRNPH1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055EEF6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580</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613A647"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CAPRIN1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5ADEB36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437</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C96614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CNOT1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01F6E63"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330</w:t>
            </w:r>
          </w:p>
        </w:tc>
      </w:tr>
      <w:tr w:rsidR="007E70F3" w:rsidRPr="007E70F3" w14:paraId="2CC4B304"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C76FFC6"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DDX5</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4C3F0733"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1016</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2904192E"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SYNCRIP</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D46B189"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579</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3C15949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FXR1</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2F2F539"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434</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5DB6494C"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OAZ2</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3526CE4A"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319</w:t>
            </w:r>
          </w:p>
        </w:tc>
      </w:tr>
      <w:tr w:rsidR="007E70F3" w:rsidRPr="007E70F3" w14:paraId="2BA1F7C2" w14:textId="77777777" w:rsidTr="007E70F3">
        <w:trPr>
          <w:trHeight w:val="302"/>
        </w:trPr>
        <w:tc>
          <w:tcPr>
            <w:tcW w:w="1095"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1147AE5"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QKI</w:t>
            </w: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59BB5FE2" w14:textId="77777777" w:rsidR="007E70F3" w:rsidRPr="007E70F3" w:rsidRDefault="007E70F3" w:rsidP="007E70F3">
            <w:pPr>
              <w:spacing w:after="0" w:line="240" w:lineRule="auto"/>
              <w:jc w:val="center"/>
              <w:textAlignment w:val="bottom"/>
              <w:rPr>
                <w:rFonts w:ascii="Arial" w:eastAsia="Times New Roman" w:hAnsi="Arial" w:cs="Arial"/>
                <w:kern w:val="0"/>
                <w:sz w:val="36"/>
                <w:szCs w:val="36"/>
                <w14:ligatures w14:val="none"/>
              </w:rPr>
            </w:pPr>
            <w:r w:rsidRPr="007E70F3">
              <w:rPr>
                <w:rFonts w:ascii="Calibri" w:eastAsia="Times New Roman" w:hAnsi="Calibri" w:cs="Calibri"/>
                <w:color w:val="000000"/>
                <w:kern w:val="24"/>
                <w:sz w:val="14"/>
                <w:szCs w:val="14"/>
                <w14:ligatures w14:val="none"/>
              </w:rPr>
              <w:t>958</w:t>
            </w: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045A3FE4" w14:textId="77777777" w:rsidR="007E70F3" w:rsidRPr="007E70F3" w:rsidRDefault="007E70F3" w:rsidP="007E70F3">
            <w:pPr>
              <w:spacing w:after="0" w:line="240" w:lineRule="auto"/>
              <w:rPr>
                <w:rFonts w:ascii="Arial" w:eastAsia="Times New Roman" w:hAnsi="Arial" w:cs="Arial"/>
                <w:kern w:val="0"/>
                <w:sz w:val="36"/>
                <w:szCs w:val="36"/>
                <w14:ligatures w14:val="none"/>
              </w:rPr>
            </w:pP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551B8B1" w14:textId="77777777" w:rsidR="007E70F3" w:rsidRPr="007E70F3" w:rsidRDefault="007E70F3" w:rsidP="007E70F3">
            <w:pPr>
              <w:spacing w:after="0" w:line="240" w:lineRule="auto"/>
              <w:rPr>
                <w:rFonts w:ascii="Times New Roman" w:eastAsia="Times New Roman" w:hAnsi="Times New Roman" w:cs="Times New Roman"/>
                <w:kern w:val="0"/>
                <w:sz w:val="20"/>
                <w:szCs w:val="20"/>
                <w14:ligatures w14:val="none"/>
              </w:rPr>
            </w:pP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7B270DE1" w14:textId="77777777" w:rsidR="007E70F3" w:rsidRPr="007E70F3" w:rsidRDefault="007E70F3" w:rsidP="007E70F3">
            <w:pPr>
              <w:spacing w:after="0" w:line="240" w:lineRule="auto"/>
              <w:rPr>
                <w:rFonts w:ascii="Times New Roman" w:eastAsia="Times New Roman" w:hAnsi="Times New Roman" w:cs="Times New Roman"/>
                <w:kern w:val="0"/>
                <w:sz w:val="20"/>
                <w:szCs w:val="20"/>
                <w14:ligatures w14:val="none"/>
              </w:rPr>
            </w:pP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244C57B1" w14:textId="77777777" w:rsidR="007E70F3" w:rsidRPr="007E70F3" w:rsidRDefault="007E70F3" w:rsidP="007E70F3">
            <w:pPr>
              <w:spacing w:after="0" w:line="240" w:lineRule="auto"/>
              <w:rPr>
                <w:rFonts w:ascii="Times New Roman" w:eastAsia="Times New Roman" w:hAnsi="Times New Roman" w:cs="Times New Roman"/>
                <w:kern w:val="0"/>
                <w:sz w:val="20"/>
                <w:szCs w:val="20"/>
                <w14:ligatures w14:val="none"/>
              </w:rPr>
            </w:pPr>
          </w:p>
        </w:tc>
        <w:tc>
          <w:tcPr>
            <w:tcW w:w="1011" w:type="dxa"/>
            <w:tcBorders>
              <w:top w:val="single" w:sz="8" w:space="0" w:color="A5A5A5"/>
              <w:left w:val="single" w:sz="8" w:space="0" w:color="A5A5A5"/>
              <w:bottom w:val="single" w:sz="8" w:space="0" w:color="A5A5A5"/>
              <w:right w:val="single" w:sz="8" w:space="0" w:color="A5A5A5"/>
            </w:tcBorders>
            <w:shd w:val="clear" w:color="auto" w:fill="F0F0F0"/>
            <w:tcMar>
              <w:top w:w="6" w:type="dxa"/>
              <w:left w:w="6" w:type="dxa"/>
              <w:bottom w:w="0" w:type="dxa"/>
              <w:right w:w="6" w:type="dxa"/>
            </w:tcMar>
            <w:vAlign w:val="bottom"/>
            <w:hideMark/>
          </w:tcPr>
          <w:p w14:paraId="1FCCEAF5" w14:textId="77777777" w:rsidR="007E70F3" w:rsidRPr="007E70F3" w:rsidRDefault="007E70F3" w:rsidP="007E70F3">
            <w:pPr>
              <w:spacing w:after="0" w:line="240" w:lineRule="auto"/>
              <w:rPr>
                <w:rFonts w:ascii="Times New Roman" w:eastAsia="Times New Roman" w:hAnsi="Times New Roman" w:cs="Times New Roman"/>
                <w:kern w:val="0"/>
                <w:sz w:val="20"/>
                <w:szCs w:val="20"/>
                <w14:ligatures w14:val="none"/>
              </w:rPr>
            </w:pPr>
          </w:p>
        </w:tc>
        <w:tc>
          <w:tcPr>
            <w:tcW w:w="1011" w:type="dxa"/>
            <w:tcBorders>
              <w:top w:val="single" w:sz="8" w:space="0" w:color="A5A5A5"/>
              <w:left w:val="single" w:sz="8" w:space="0" w:color="A5A5A5"/>
              <w:bottom w:val="single" w:sz="8" w:space="0" w:color="A5A5A5"/>
              <w:right w:val="single" w:sz="8" w:space="0" w:color="A5A5A5"/>
            </w:tcBorders>
            <w:shd w:val="clear" w:color="auto" w:fill="FFFFFF"/>
            <w:tcMar>
              <w:top w:w="6" w:type="dxa"/>
              <w:left w:w="6" w:type="dxa"/>
              <w:bottom w:w="0" w:type="dxa"/>
              <w:right w:w="6" w:type="dxa"/>
            </w:tcMar>
            <w:vAlign w:val="bottom"/>
            <w:hideMark/>
          </w:tcPr>
          <w:p w14:paraId="135E81B0" w14:textId="77777777" w:rsidR="007E70F3" w:rsidRPr="007E70F3" w:rsidRDefault="007E70F3" w:rsidP="007E70F3">
            <w:pPr>
              <w:spacing w:after="0" w:line="240" w:lineRule="auto"/>
              <w:rPr>
                <w:rFonts w:ascii="Times New Roman" w:eastAsia="Times New Roman" w:hAnsi="Times New Roman" w:cs="Times New Roman"/>
                <w:kern w:val="0"/>
                <w:sz w:val="20"/>
                <w:szCs w:val="20"/>
                <w14:ligatures w14:val="none"/>
              </w:rPr>
            </w:pPr>
          </w:p>
        </w:tc>
      </w:tr>
    </w:tbl>
    <w:p w14:paraId="4CE45005" w14:textId="4E0AE14D" w:rsidR="007E70F3" w:rsidRDefault="007E70F3" w:rsidP="004210DC">
      <w:pPr>
        <w:spacing w:line="240" w:lineRule="auto"/>
        <w:rPr>
          <w:rFonts w:ascii="Arial" w:hAnsi="Arial" w:cs="Arial"/>
        </w:rPr>
      </w:pPr>
    </w:p>
    <w:p w14:paraId="23198D45" w14:textId="56B465FF" w:rsidR="007E70F3" w:rsidRDefault="007E70F3" w:rsidP="004210DC">
      <w:pPr>
        <w:spacing w:line="240" w:lineRule="auto"/>
        <w:rPr>
          <w:rFonts w:ascii="Arial" w:hAnsi="Arial" w:cs="Arial"/>
        </w:rPr>
      </w:pPr>
      <w:r>
        <w:rPr>
          <w:rFonts w:ascii="Arial" w:hAnsi="Arial" w:cs="Arial"/>
          <w:b/>
          <w:bCs/>
        </w:rPr>
        <w:t xml:space="preserve">Supplemental Table 1. </w:t>
      </w:r>
      <w:r>
        <w:rPr>
          <w:rFonts w:ascii="Arial" w:hAnsi="Arial" w:cs="Arial"/>
        </w:rPr>
        <w:t>Gene counts of the top 50 highest expressed genes observed in the calcium-postive sorted NK cell population</w:t>
      </w:r>
      <w:r w:rsidR="00537719">
        <w:rPr>
          <w:rFonts w:ascii="Arial" w:hAnsi="Arial" w:cs="Arial"/>
        </w:rPr>
        <w:t>.</w:t>
      </w:r>
    </w:p>
    <w:p w14:paraId="531FF8F1" w14:textId="77777777" w:rsidR="007E70F3" w:rsidRDefault="007E70F3" w:rsidP="004210DC">
      <w:pPr>
        <w:spacing w:line="240" w:lineRule="auto"/>
        <w:rPr>
          <w:rFonts w:ascii="Arial" w:hAnsi="Arial" w:cs="Arial"/>
        </w:rPr>
      </w:pPr>
    </w:p>
    <w:p w14:paraId="59326AF2" w14:textId="4D850B26" w:rsidR="007E70F3" w:rsidRDefault="007E70F3" w:rsidP="004210DC">
      <w:pPr>
        <w:spacing w:line="240" w:lineRule="auto"/>
        <w:rPr>
          <w:rFonts w:ascii="Arial" w:hAnsi="Arial" w:cs="Arial"/>
        </w:rPr>
      </w:pPr>
      <w:r>
        <w:rPr>
          <w:rFonts w:ascii="Arial" w:hAnsi="Arial" w:cs="Arial"/>
          <w:b/>
          <w:bCs/>
        </w:rPr>
        <w:t xml:space="preserve">Supplemental Movie 1. </w:t>
      </w:r>
      <w:r>
        <w:rPr>
          <w:rFonts w:ascii="Arial" w:hAnsi="Arial" w:cs="Arial"/>
        </w:rPr>
        <w:t>Example of single-cell droplet data, demonstrating an NK cell killing a KLRG1</w:t>
      </w:r>
      <w:r>
        <w:rPr>
          <w:rFonts w:ascii="Arial" w:hAnsi="Arial" w:cs="Arial"/>
          <w:vertAlign w:val="superscript"/>
        </w:rPr>
        <w:t xml:space="preserve">+ </w:t>
      </w:r>
      <w:r>
        <w:rPr>
          <w:rFonts w:ascii="Arial" w:hAnsi="Arial" w:cs="Arial"/>
        </w:rPr>
        <w:t>CHO-K1 cell. The CHO cell turns red from the binding of ethidium homodimer to intracellular DNA upon killing of the cell. Video is taken at 20X magnification.</w:t>
      </w:r>
    </w:p>
    <w:p w14:paraId="1A6CDE9A" w14:textId="77777777" w:rsidR="007E70F3" w:rsidRDefault="007E70F3" w:rsidP="004210DC">
      <w:pPr>
        <w:spacing w:line="240" w:lineRule="auto"/>
        <w:rPr>
          <w:rFonts w:ascii="Arial" w:hAnsi="Arial" w:cs="Arial"/>
        </w:rPr>
      </w:pPr>
    </w:p>
    <w:p w14:paraId="071AE484" w14:textId="5ADB94A2" w:rsidR="007E70F3" w:rsidRPr="007E70F3" w:rsidRDefault="007E70F3" w:rsidP="004210DC">
      <w:pPr>
        <w:spacing w:line="240" w:lineRule="auto"/>
        <w:rPr>
          <w:rFonts w:ascii="Arial" w:hAnsi="Arial" w:cs="Arial"/>
        </w:rPr>
      </w:pPr>
      <w:r>
        <w:rPr>
          <w:rFonts w:ascii="Arial" w:hAnsi="Arial" w:cs="Arial"/>
          <w:b/>
          <w:bCs/>
        </w:rPr>
        <w:t xml:space="preserve">Supplemental Movie 2. </w:t>
      </w:r>
      <w:r>
        <w:rPr>
          <w:rFonts w:ascii="Arial" w:hAnsi="Arial" w:cs="Arial"/>
        </w:rPr>
        <w:t>Visual demonstration of the Fluorescence Assisted Droplet Sorting (FADS) process. As droplets containing cells with an intracellular calcium increase pass by the laser of the sorting array (left), a fluorescent signal is measured in the software (right). This signal automatically sends an electric impulse back to the sorter, resulting in the active isolation of the corresponding droplet. This can be seen when droplets are pulled to the upper channel, occurring simultaneously to fluorescent signal increases observed in the software.</w:t>
      </w:r>
    </w:p>
    <w:sectPr w:rsidR="007E70F3" w:rsidRPr="007E70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9A7"/>
    <w:rsid w:val="00031F3C"/>
    <w:rsid w:val="00037A1C"/>
    <w:rsid w:val="000B224F"/>
    <w:rsid w:val="0011057C"/>
    <w:rsid w:val="001D0C71"/>
    <w:rsid w:val="001D5C89"/>
    <w:rsid w:val="001D6584"/>
    <w:rsid w:val="00320B5B"/>
    <w:rsid w:val="0032267F"/>
    <w:rsid w:val="0034198C"/>
    <w:rsid w:val="0036689C"/>
    <w:rsid w:val="003B27F0"/>
    <w:rsid w:val="003B4D69"/>
    <w:rsid w:val="003B7CAB"/>
    <w:rsid w:val="004210DC"/>
    <w:rsid w:val="00485896"/>
    <w:rsid w:val="00491683"/>
    <w:rsid w:val="004D0082"/>
    <w:rsid w:val="005009A7"/>
    <w:rsid w:val="00537719"/>
    <w:rsid w:val="005640FC"/>
    <w:rsid w:val="00575D94"/>
    <w:rsid w:val="005B5C5B"/>
    <w:rsid w:val="00622BAB"/>
    <w:rsid w:val="00650937"/>
    <w:rsid w:val="006526E5"/>
    <w:rsid w:val="006A1943"/>
    <w:rsid w:val="006C5712"/>
    <w:rsid w:val="006F4639"/>
    <w:rsid w:val="007829D8"/>
    <w:rsid w:val="007E70F3"/>
    <w:rsid w:val="007F26AC"/>
    <w:rsid w:val="0080526D"/>
    <w:rsid w:val="008B52D0"/>
    <w:rsid w:val="008E66BA"/>
    <w:rsid w:val="00925137"/>
    <w:rsid w:val="009351C8"/>
    <w:rsid w:val="009422CB"/>
    <w:rsid w:val="00951D49"/>
    <w:rsid w:val="00997C56"/>
    <w:rsid w:val="009A7BE1"/>
    <w:rsid w:val="009B5556"/>
    <w:rsid w:val="009E02C2"/>
    <w:rsid w:val="009E380B"/>
    <w:rsid w:val="00A9033D"/>
    <w:rsid w:val="00AE0046"/>
    <w:rsid w:val="00C121E4"/>
    <w:rsid w:val="00C1691E"/>
    <w:rsid w:val="00C35348"/>
    <w:rsid w:val="00C82057"/>
    <w:rsid w:val="00DA3D00"/>
    <w:rsid w:val="00E1462C"/>
    <w:rsid w:val="00E40025"/>
    <w:rsid w:val="00E62469"/>
    <w:rsid w:val="00E65687"/>
    <w:rsid w:val="00F31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EF35D"/>
  <w15:chartTrackingRefBased/>
  <w15:docId w15:val="{030D82A1-3933-47A9-B6AE-3BDC1A8F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9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09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09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09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09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09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9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9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9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9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09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09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09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09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09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9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9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9A7"/>
    <w:rPr>
      <w:rFonts w:eastAsiaTheme="majorEastAsia" w:cstheme="majorBidi"/>
      <w:color w:val="272727" w:themeColor="text1" w:themeTint="D8"/>
    </w:rPr>
  </w:style>
  <w:style w:type="paragraph" w:styleId="Title">
    <w:name w:val="Title"/>
    <w:basedOn w:val="Normal"/>
    <w:next w:val="Normal"/>
    <w:link w:val="TitleChar"/>
    <w:uiPriority w:val="10"/>
    <w:qFormat/>
    <w:rsid w:val="005009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9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9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9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9A7"/>
    <w:pPr>
      <w:spacing w:before="160"/>
      <w:jc w:val="center"/>
    </w:pPr>
    <w:rPr>
      <w:i/>
      <w:iCs/>
      <w:color w:val="404040" w:themeColor="text1" w:themeTint="BF"/>
    </w:rPr>
  </w:style>
  <w:style w:type="character" w:customStyle="1" w:styleId="QuoteChar">
    <w:name w:val="Quote Char"/>
    <w:basedOn w:val="DefaultParagraphFont"/>
    <w:link w:val="Quote"/>
    <w:uiPriority w:val="29"/>
    <w:rsid w:val="005009A7"/>
    <w:rPr>
      <w:i/>
      <w:iCs/>
      <w:color w:val="404040" w:themeColor="text1" w:themeTint="BF"/>
    </w:rPr>
  </w:style>
  <w:style w:type="paragraph" w:styleId="ListParagraph">
    <w:name w:val="List Paragraph"/>
    <w:basedOn w:val="Normal"/>
    <w:uiPriority w:val="34"/>
    <w:qFormat/>
    <w:rsid w:val="005009A7"/>
    <w:pPr>
      <w:ind w:left="720"/>
      <w:contextualSpacing/>
    </w:pPr>
  </w:style>
  <w:style w:type="character" w:styleId="IntenseEmphasis">
    <w:name w:val="Intense Emphasis"/>
    <w:basedOn w:val="DefaultParagraphFont"/>
    <w:uiPriority w:val="21"/>
    <w:qFormat/>
    <w:rsid w:val="005009A7"/>
    <w:rPr>
      <w:i/>
      <w:iCs/>
      <w:color w:val="0F4761" w:themeColor="accent1" w:themeShade="BF"/>
    </w:rPr>
  </w:style>
  <w:style w:type="paragraph" w:styleId="IntenseQuote">
    <w:name w:val="Intense Quote"/>
    <w:basedOn w:val="Normal"/>
    <w:next w:val="Normal"/>
    <w:link w:val="IntenseQuoteChar"/>
    <w:uiPriority w:val="30"/>
    <w:qFormat/>
    <w:rsid w:val="005009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09A7"/>
    <w:rPr>
      <w:i/>
      <w:iCs/>
      <w:color w:val="0F4761" w:themeColor="accent1" w:themeShade="BF"/>
    </w:rPr>
  </w:style>
  <w:style w:type="character" w:styleId="IntenseReference">
    <w:name w:val="Intense Reference"/>
    <w:basedOn w:val="DefaultParagraphFont"/>
    <w:uiPriority w:val="32"/>
    <w:qFormat/>
    <w:rsid w:val="005009A7"/>
    <w:rPr>
      <w:b/>
      <w:bCs/>
      <w:smallCaps/>
      <w:color w:val="0F4761" w:themeColor="accent1" w:themeShade="BF"/>
      <w:spacing w:val="5"/>
    </w:rPr>
  </w:style>
  <w:style w:type="paragraph" w:styleId="Revision">
    <w:name w:val="Revision"/>
    <w:hidden/>
    <w:uiPriority w:val="99"/>
    <w:semiHidden/>
    <w:rsid w:val="006C57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24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5.emf"/><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676</Words>
  <Characters>3855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Sullivan</dc:creator>
  <cp:keywords/>
  <dc:description/>
  <cp:lastModifiedBy>Matthew Sullivan</cp:lastModifiedBy>
  <cp:revision>5</cp:revision>
  <dcterms:created xsi:type="dcterms:W3CDTF">2024-03-21T21:40:00Z</dcterms:created>
  <dcterms:modified xsi:type="dcterms:W3CDTF">2024-03-28T15:04:00Z</dcterms:modified>
</cp:coreProperties>
</file>