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14FDC9" w14:textId="5E17F979" w:rsidR="004862F6" w:rsidRDefault="004862F6" w:rsidP="004862F6">
      <w:pPr>
        <w:pStyle w:val="NormalWeb"/>
        <w:spacing w:after="0"/>
        <w:jc w:val="center"/>
        <w:rPr>
          <w:rStyle w:val="Forte"/>
          <w:rFonts w:eastAsiaTheme="majorEastAsia"/>
          <w:color w:val="1C1D1E"/>
          <w:sz w:val="32"/>
          <w:szCs w:val="32"/>
          <w:shd w:val="clear" w:color="auto" w:fill="FFFFFF"/>
        </w:rPr>
      </w:pPr>
      <w:r w:rsidRPr="004862F6">
        <w:rPr>
          <w:rStyle w:val="Forte"/>
          <w:rFonts w:eastAsiaTheme="majorEastAsia"/>
          <w:color w:val="1C1D1E"/>
          <w:sz w:val="32"/>
          <w:szCs w:val="32"/>
          <w:shd w:val="clear" w:color="auto" w:fill="FFFFFF"/>
        </w:rPr>
        <w:t>Supp</w:t>
      </w:r>
      <w:r w:rsidR="00F826F2">
        <w:rPr>
          <w:rStyle w:val="Forte"/>
          <w:rFonts w:eastAsiaTheme="majorEastAsia"/>
          <w:color w:val="1C1D1E"/>
          <w:sz w:val="32"/>
          <w:szCs w:val="32"/>
          <w:shd w:val="clear" w:color="auto" w:fill="FFFFFF"/>
        </w:rPr>
        <w:t>lementary</w:t>
      </w:r>
      <w:r w:rsidRPr="004862F6">
        <w:rPr>
          <w:rStyle w:val="Forte"/>
          <w:rFonts w:eastAsiaTheme="majorEastAsia"/>
          <w:color w:val="1C1D1E"/>
          <w:sz w:val="32"/>
          <w:szCs w:val="32"/>
          <w:shd w:val="clear" w:color="auto" w:fill="FFFFFF"/>
        </w:rPr>
        <w:t xml:space="preserve"> Information</w:t>
      </w:r>
    </w:p>
    <w:p w14:paraId="47E86CEA" w14:textId="77777777" w:rsidR="004862F6" w:rsidRPr="004862F6" w:rsidRDefault="004862F6" w:rsidP="004862F6">
      <w:pPr>
        <w:pStyle w:val="NormalWeb"/>
        <w:spacing w:after="0"/>
        <w:jc w:val="center"/>
        <w:rPr>
          <w:rStyle w:val="Forte"/>
          <w:rFonts w:eastAsiaTheme="majorEastAsia"/>
          <w:color w:val="1C1D1E"/>
          <w:sz w:val="32"/>
          <w:szCs w:val="32"/>
          <w:shd w:val="clear" w:color="auto" w:fill="FFFFFF"/>
        </w:rPr>
      </w:pPr>
    </w:p>
    <w:p w14:paraId="1A60F432" w14:textId="77777777" w:rsidR="004862F6" w:rsidRPr="004862F6" w:rsidRDefault="004862F6" w:rsidP="00B15A9E">
      <w:pPr>
        <w:spacing w:after="0" w:line="360" w:lineRule="auto"/>
        <w:rPr>
          <w:rFonts w:ascii="Times New Roman" w:eastAsia="Arial" w:hAnsi="Times New Roman" w:cs="Times New Roman"/>
          <w:b/>
          <w:color w:val="000000"/>
          <w:sz w:val="32"/>
          <w:szCs w:val="32"/>
          <w:lang w:val="en-US"/>
        </w:rPr>
      </w:pPr>
      <w:r w:rsidRPr="004862F6">
        <w:rPr>
          <w:rFonts w:ascii="Times New Roman" w:eastAsia="Arial" w:hAnsi="Times New Roman" w:cs="Times New Roman"/>
          <w:b/>
          <w:sz w:val="32"/>
          <w:szCs w:val="32"/>
          <w:lang w:val="en-US"/>
        </w:rPr>
        <w:t xml:space="preserve">miRNA-microbiome interplay is related to </w:t>
      </w:r>
      <w:r w:rsidRPr="004862F6">
        <w:rPr>
          <w:rFonts w:ascii="Times New Roman" w:eastAsia="Arial" w:hAnsi="Times New Roman" w:cs="Times New Roman"/>
          <w:b/>
          <w:i/>
          <w:sz w:val="32"/>
          <w:szCs w:val="32"/>
          <w:lang w:val="en-US"/>
        </w:rPr>
        <w:t>Bos indicus</w:t>
      </w:r>
      <w:r w:rsidRPr="004862F6">
        <w:rPr>
          <w:rFonts w:ascii="Times New Roman" w:eastAsia="Arial" w:hAnsi="Times New Roman" w:cs="Times New Roman"/>
          <w:b/>
          <w:sz w:val="32"/>
          <w:szCs w:val="32"/>
          <w:lang w:val="en-US"/>
        </w:rPr>
        <w:t xml:space="preserve"> feed efficiency</w:t>
      </w:r>
    </w:p>
    <w:p w14:paraId="483298AC" w14:textId="77777777" w:rsidR="004862F6" w:rsidRPr="004862F6" w:rsidRDefault="004862F6" w:rsidP="00B15A9E">
      <w:pPr>
        <w:spacing w:after="0"/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</w:pP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Priscila S. N. de Oliveira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1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Bruno G. N. Andrade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2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Tainã F. Cardoso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Liliane C. Conteville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3,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 xml:space="preserve"> Gabriel A. C. Pena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Wilson Malago-Jr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 xml:space="preserve">  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Jennifer J. Bruscadin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 Juliana J. Pascoal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4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 xml:space="preserve">, </w:t>
      </w:r>
      <w:r w:rsidRPr="004862F6">
        <w:rPr>
          <w:rFonts w:ascii="Times New Roman" w:hAnsi="Times New Roman" w:cs="Times New Roman"/>
          <w:color w:val="222222"/>
          <w:sz w:val="24"/>
          <w:szCs w:val="24"/>
        </w:rPr>
        <w:t>Lauro F. Almeida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5</w:t>
      </w:r>
      <w:r w:rsidRPr="004862F6">
        <w:rPr>
          <w:rFonts w:ascii="Times New Roman" w:hAnsi="Times New Roman" w:cs="Times New Roman"/>
          <w:color w:val="222222"/>
          <w:sz w:val="24"/>
          <w:szCs w:val="24"/>
        </w:rPr>
        <w:t xml:space="preserve">, 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Luiz A. Josahkian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5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Henrique T. Ventura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5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Giovana A. Maciel</w:t>
      </w:r>
      <w:r w:rsidRPr="004862F6">
        <w:rPr>
          <w:rFonts w:ascii="Times New Roman" w:hAnsi="Times New Roman" w:cs="Times New Roman"/>
          <w:color w:val="222222"/>
          <w:sz w:val="24"/>
          <w:szCs w:val="24"/>
          <w:vertAlign w:val="superscript"/>
        </w:rPr>
        <w:t>6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Gerson B. Mourão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7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Luiz L. Coutinho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7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>, James Reecy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8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</w:rPr>
        <w:t xml:space="preserve"> and Luciana C. A. Regitano</w:t>
      </w:r>
      <w:r w:rsidRPr="004862F6">
        <w:rPr>
          <w:rFonts w:ascii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3*</w:t>
      </w:r>
    </w:p>
    <w:p w14:paraId="326651E8" w14:textId="77777777" w:rsidR="004862F6" w:rsidRDefault="004862F6" w:rsidP="004862F6">
      <w:pPr>
        <w:pStyle w:val="NormalWeb"/>
        <w:spacing w:after="0"/>
        <w:rPr>
          <w:b/>
          <w:bCs/>
          <w:color w:val="000000"/>
          <w:shd w:val="clear" w:color="auto" w:fill="FFFFFF"/>
          <w:lang w:val="pt-BR"/>
        </w:rPr>
      </w:pPr>
    </w:p>
    <w:p w14:paraId="084C96A5" w14:textId="6CA46501" w:rsidR="0051406A" w:rsidRPr="004862F6" w:rsidRDefault="0051406A" w:rsidP="004862F6">
      <w:pPr>
        <w:pStyle w:val="NormalWeb"/>
        <w:spacing w:after="0"/>
        <w:rPr>
          <w:b/>
          <w:bCs/>
          <w:color w:val="000000"/>
          <w:shd w:val="clear" w:color="auto" w:fill="FFFFFF"/>
          <w:lang w:val="pt-BR"/>
        </w:rPr>
      </w:pPr>
      <w:r>
        <w:rPr>
          <w:b/>
          <w:bCs/>
          <w:color w:val="000000"/>
          <w:shd w:val="clear" w:color="auto" w:fill="FFFFFF"/>
          <w:lang w:val="pt-BR"/>
        </w:rPr>
        <w:t>Supplementary Figures:</w:t>
      </w:r>
    </w:p>
    <w:p w14:paraId="568EB86A" w14:textId="3AA7395B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  <w:r w:rsidRPr="00B15C38">
        <w:rPr>
          <w:b/>
          <w:bCs/>
          <w:color w:val="000000"/>
          <w:shd w:val="clear" w:color="auto" w:fill="FFFFFF"/>
        </w:rPr>
        <w:t>Figure S1.</w:t>
      </w:r>
      <w:r w:rsidRPr="00B15C38">
        <w:rPr>
          <w:color w:val="000000"/>
          <w:shd w:val="clear" w:color="auto" w:fill="FFFFFF"/>
        </w:rPr>
        <w:t xml:space="preserve"> Rarefaction curves of Bacterial 16S samples using the Shannon-Wiener index.</w:t>
      </w:r>
    </w:p>
    <w:p w14:paraId="63448EB9" w14:textId="7ED00CEC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  <w:r>
        <w:rPr>
          <w:noProof/>
          <w:color w:val="000000"/>
          <w:shd w:val="clear" w:color="auto" w:fill="FFFFFF"/>
        </w:rPr>
        <w:drawing>
          <wp:inline distT="0" distB="0" distL="0" distR="0" wp14:anchorId="0E8CB90A" wp14:editId="229AEEF5">
            <wp:extent cx="4810125" cy="2981325"/>
            <wp:effectExtent l="0" t="0" r="9525" b="9525"/>
            <wp:docPr id="742945737" name="Imagem 1" descr="Gráfico, Gráfico de linh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945737" name="Imagem 1" descr="Gráfico, Gráfico de linhas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5DF9D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27859D99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15DF37C3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372412F7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3AC75EF3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42ADAD36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3442346B" w14:textId="77777777" w:rsidR="004862F6" w:rsidRDefault="004862F6" w:rsidP="004862F6">
      <w:pPr>
        <w:pStyle w:val="NormalWeb"/>
        <w:spacing w:after="0"/>
        <w:jc w:val="both"/>
        <w:rPr>
          <w:color w:val="000000"/>
          <w:shd w:val="clear" w:color="auto" w:fill="FFFFFF"/>
        </w:rPr>
      </w:pPr>
    </w:p>
    <w:p w14:paraId="3C459F23" w14:textId="530A1F0D" w:rsidR="004862F6" w:rsidRDefault="004862F6" w:rsidP="004862F6">
      <w:pPr>
        <w:pStyle w:val="NormalWeb"/>
        <w:spacing w:after="0"/>
        <w:jc w:val="both"/>
      </w:pPr>
      <w:r w:rsidRPr="00B15C38">
        <w:rPr>
          <w:b/>
          <w:bCs/>
          <w:color w:val="000000"/>
          <w:shd w:val="clear" w:color="auto" w:fill="FFFFFF"/>
        </w:rPr>
        <w:t xml:space="preserve">Figure S2. </w:t>
      </w:r>
      <w:r w:rsidRPr="00B15C38">
        <w:rPr>
          <w:color w:val="000000"/>
          <w:shd w:val="clear" w:color="auto" w:fill="FFFFFF"/>
        </w:rPr>
        <w:t>Taxa dendogram and module colors of</w:t>
      </w:r>
      <w:r w:rsidRPr="00B15C38">
        <w:rPr>
          <w:b/>
          <w:bCs/>
          <w:color w:val="000000"/>
          <w:shd w:val="clear" w:color="auto" w:fill="FFFFFF"/>
        </w:rPr>
        <w:t xml:space="preserve"> </w:t>
      </w:r>
      <w:r w:rsidRPr="00B15C38">
        <w:t>coexpression network analysis (WGCNA) revealed eight miRNA module eigengenes (ME) in the efficient group.</w:t>
      </w:r>
    </w:p>
    <w:p w14:paraId="51DA4CCF" w14:textId="1E04B28B" w:rsidR="004862F6" w:rsidRDefault="004862F6" w:rsidP="004862F6">
      <w:pPr>
        <w:pStyle w:val="NormalWeb"/>
        <w:spacing w:after="0"/>
        <w:jc w:val="both"/>
      </w:pPr>
      <w:r>
        <w:rPr>
          <w:noProof/>
        </w:rPr>
        <w:drawing>
          <wp:inline distT="0" distB="0" distL="0" distR="0" wp14:anchorId="35423725" wp14:editId="483C2100">
            <wp:extent cx="5731510" cy="3514090"/>
            <wp:effectExtent l="0" t="0" r="2540" b="0"/>
            <wp:docPr id="1471713900" name="Imagem 2" descr="Gráfico, Gráfico de caixa estrei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713900" name="Imagem 2" descr="Gráfico, Gráfico de caixa estreita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82C23" w14:textId="77777777" w:rsidR="004862F6" w:rsidRDefault="004862F6" w:rsidP="004862F6">
      <w:pPr>
        <w:pStyle w:val="NormalWeb"/>
        <w:spacing w:after="0"/>
        <w:jc w:val="both"/>
      </w:pPr>
    </w:p>
    <w:p w14:paraId="2B5935D5" w14:textId="77777777" w:rsidR="004862F6" w:rsidRDefault="004862F6" w:rsidP="004862F6">
      <w:pPr>
        <w:pStyle w:val="NormalWeb"/>
        <w:spacing w:after="0"/>
        <w:jc w:val="both"/>
      </w:pPr>
    </w:p>
    <w:p w14:paraId="0C4D0BDA" w14:textId="77777777" w:rsidR="004862F6" w:rsidRDefault="004862F6" w:rsidP="004862F6">
      <w:pPr>
        <w:pStyle w:val="NormalWeb"/>
        <w:spacing w:after="0"/>
        <w:jc w:val="both"/>
      </w:pPr>
    </w:p>
    <w:p w14:paraId="759F9C3D" w14:textId="77777777" w:rsidR="004862F6" w:rsidRDefault="004862F6" w:rsidP="004862F6">
      <w:pPr>
        <w:pStyle w:val="NormalWeb"/>
        <w:spacing w:after="0"/>
        <w:jc w:val="both"/>
      </w:pPr>
    </w:p>
    <w:p w14:paraId="4F716EAB" w14:textId="77777777" w:rsidR="004862F6" w:rsidRDefault="004862F6" w:rsidP="004862F6">
      <w:pPr>
        <w:pStyle w:val="NormalWeb"/>
        <w:spacing w:after="0"/>
        <w:jc w:val="both"/>
      </w:pPr>
    </w:p>
    <w:p w14:paraId="5DDFE81E" w14:textId="77777777" w:rsidR="004862F6" w:rsidRDefault="004862F6" w:rsidP="004862F6">
      <w:pPr>
        <w:pStyle w:val="NormalWeb"/>
        <w:spacing w:after="0"/>
        <w:jc w:val="both"/>
      </w:pPr>
    </w:p>
    <w:p w14:paraId="1ED1E1E1" w14:textId="77777777" w:rsidR="004862F6" w:rsidRDefault="004862F6" w:rsidP="004862F6">
      <w:pPr>
        <w:pStyle w:val="NormalWeb"/>
        <w:spacing w:after="0"/>
        <w:jc w:val="both"/>
      </w:pPr>
    </w:p>
    <w:p w14:paraId="636FDB03" w14:textId="77777777" w:rsidR="004862F6" w:rsidRDefault="004862F6" w:rsidP="004862F6">
      <w:pPr>
        <w:pStyle w:val="NormalWeb"/>
        <w:spacing w:after="0"/>
        <w:jc w:val="both"/>
      </w:pPr>
    </w:p>
    <w:p w14:paraId="794CD766" w14:textId="77777777" w:rsidR="004862F6" w:rsidRDefault="004862F6" w:rsidP="004862F6">
      <w:pPr>
        <w:pStyle w:val="NormalWeb"/>
        <w:spacing w:after="0"/>
        <w:jc w:val="both"/>
      </w:pPr>
    </w:p>
    <w:p w14:paraId="085FC86F" w14:textId="77777777" w:rsidR="004862F6" w:rsidRPr="00B15C38" w:rsidRDefault="004862F6" w:rsidP="004862F6">
      <w:pPr>
        <w:pStyle w:val="NormalWeb"/>
        <w:spacing w:after="0"/>
        <w:jc w:val="both"/>
      </w:pPr>
    </w:p>
    <w:p w14:paraId="155A83D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02BDD0F9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61FBAE4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55F6D961" w14:textId="28CAAA4A" w:rsidR="004862F6" w:rsidRDefault="004862F6" w:rsidP="004862F6">
      <w:pPr>
        <w:pStyle w:val="NormalWeb"/>
        <w:spacing w:after="0"/>
        <w:jc w:val="both"/>
      </w:pPr>
      <w:r w:rsidRPr="00B15C38">
        <w:rPr>
          <w:b/>
          <w:bCs/>
          <w:color w:val="000000"/>
          <w:shd w:val="clear" w:color="auto" w:fill="FFFFFF"/>
        </w:rPr>
        <w:t xml:space="preserve"> Figure S3. </w:t>
      </w:r>
      <w:r w:rsidRPr="00B15C38">
        <w:rPr>
          <w:color w:val="000000"/>
          <w:shd w:val="clear" w:color="auto" w:fill="FFFFFF"/>
        </w:rPr>
        <w:t>Taxa dendogram and module colors of</w:t>
      </w:r>
      <w:r w:rsidRPr="00B15C38">
        <w:t xml:space="preserve"> coexpression network analysis (WGCNA)  revealed six ASV module eigengenes (ME) in the efficient group.</w:t>
      </w:r>
    </w:p>
    <w:p w14:paraId="7CCBB87F" w14:textId="77777777" w:rsidR="004862F6" w:rsidRDefault="004862F6" w:rsidP="004862F6">
      <w:pPr>
        <w:pStyle w:val="NormalWeb"/>
        <w:spacing w:after="0"/>
        <w:jc w:val="both"/>
      </w:pPr>
    </w:p>
    <w:p w14:paraId="61B2928A" w14:textId="6937F153" w:rsidR="004862F6" w:rsidRPr="00B15C38" w:rsidRDefault="004862F6" w:rsidP="004862F6">
      <w:pPr>
        <w:pStyle w:val="NormalWeb"/>
        <w:spacing w:after="0"/>
        <w:jc w:val="both"/>
      </w:pPr>
      <w:r>
        <w:rPr>
          <w:noProof/>
        </w:rPr>
        <w:drawing>
          <wp:inline distT="0" distB="0" distL="0" distR="0" wp14:anchorId="2231F63D" wp14:editId="7146E7EB">
            <wp:extent cx="5731510" cy="3514090"/>
            <wp:effectExtent l="0" t="0" r="2540" b="0"/>
            <wp:docPr id="588497782" name="Imagem 3" descr="Gráfico,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497782" name="Imagem 3" descr="Gráfico, Diagrama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DCB8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7297CE0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49EF9EE3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453B68C3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050713BA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56DF93C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4786C7D3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37E87E0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0FBF9088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18DA8FAD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4350F15C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53E346D6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79FE4C01" w14:textId="005AA743" w:rsidR="004862F6" w:rsidRDefault="004862F6" w:rsidP="004862F6">
      <w:pPr>
        <w:pStyle w:val="NormalWeb"/>
        <w:spacing w:after="0"/>
        <w:jc w:val="both"/>
      </w:pPr>
      <w:r w:rsidRPr="00B15C38">
        <w:rPr>
          <w:b/>
          <w:bCs/>
          <w:color w:val="000000"/>
          <w:shd w:val="clear" w:color="auto" w:fill="FFFFFF"/>
        </w:rPr>
        <w:t xml:space="preserve">Figure S4. </w:t>
      </w:r>
      <w:r w:rsidRPr="00B15C38">
        <w:rPr>
          <w:color w:val="000000"/>
          <w:shd w:val="clear" w:color="auto" w:fill="FFFFFF"/>
        </w:rPr>
        <w:t xml:space="preserve">Taxa dendogram and module colors of </w:t>
      </w:r>
      <w:r w:rsidRPr="00B15C38">
        <w:t>coexpression network analysis (WGCNA) revealed six miRNA module eigengenes (ME) in the inefficient group.</w:t>
      </w:r>
    </w:p>
    <w:p w14:paraId="21031F72" w14:textId="3C8DE9EA" w:rsidR="004862F6" w:rsidRDefault="004862F6" w:rsidP="004862F6">
      <w:pPr>
        <w:pStyle w:val="NormalWeb"/>
        <w:spacing w:after="0"/>
        <w:jc w:val="both"/>
      </w:pPr>
      <w:r>
        <w:rPr>
          <w:noProof/>
        </w:rPr>
        <w:drawing>
          <wp:inline distT="0" distB="0" distL="0" distR="0" wp14:anchorId="2B537805" wp14:editId="69976D3F">
            <wp:extent cx="5731510" cy="3514090"/>
            <wp:effectExtent l="0" t="0" r="2540" b="0"/>
            <wp:docPr id="564479993" name="Imagem 4" descr="Uma imagem contendo 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479993" name="Imagem 4" descr="Uma imagem contendo Interface gráfica do usuário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00D06" w14:textId="77777777" w:rsidR="004862F6" w:rsidRDefault="004862F6" w:rsidP="004862F6">
      <w:pPr>
        <w:pStyle w:val="NormalWeb"/>
        <w:spacing w:after="0"/>
        <w:jc w:val="both"/>
      </w:pPr>
    </w:p>
    <w:p w14:paraId="5B264B4A" w14:textId="77777777" w:rsidR="004862F6" w:rsidRDefault="004862F6" w:rsidP="004862F6">
      <w:pPr>
        <w:pStyle w:val="NormalWeb"/>
        <w:spacing w:after="0"/>
        <w:jc w:val="both"/>
      </w:pPr>
    </w:p>
    <w:p w14:paraId="4CB3D4D3" w14:textId="77777777" w:rsidR="004862F6" w:rsidRDefault="004862F6" w:rsidP="004862F6">
      <w:pPr>
        <w:pStyle w:val="NormalWeb"/>
        <w:spacing w:after="0"/>
        <w:jc w:val="both"/>
      </w:pPr>
    </w:p>
    <w:p w14:paraId="3F7EA068" w14:textId="77777777" w:rsidR="004862F6" w:rsidRDefault="004862F6" w:rsidP="004862F6">
      <w:pPr>
        <w:pStyle w:val="NormalWeb"/>
        <w:spacing w:after="0"/>
        <w:jc w:val="both"/>
      </w:pPr>
    </w:p>
    <w:p w14:paraId="64AF4AB9" w14:textId="77777777" w:rsidR="004862F6" w:rsidRDefault="004862F6" w:rsidP="004862F6">
      <w:pPr>
        <w:pStyle w:val="NormalWeb"/>
        <w:spacing w:after="0"/>
        <w:jc w:val="both"/>
      </w:pPr>
    </w:p>
    <w:p w14:paraId="2F567733" w14:textId="77777777" w:rsidR="004862F6" w:rsidRDefault="004862F6" w:rsidP="004862F6">
      <w:pPr>
        <w:pStyle w:val="NormalWeb"/>
        <w:spacing w:after="0"/>
        <w:jc w:val="both"/>
      </w:pPr>
    </w:p>
    <w:p w14:paraId="456F6349" w14:textId="77777777" w:rsidR="004862F6" w:rsidRDefault="004862F6" w:rsidP="004862F6">
      <w:pPr>
        <w:pStyle w:val="NormalWeb"/>
        <w:spacing w:after="0"/>
        <w:jc w:val="both"/>
      </w:pPr>
    </w:p>
    <w:p w14:paraId="1A57A04D" w14:textId="77777777" w:rsidR="004862F6" w:rsidRDefault="004862F6" w:rsidP="004862F6">
      <w:pPr>
        <w:pStyle w:val="NormalWeb"/>
        <w:spacing w:after="0"/>
        <w:jc w:val="both"/>
      </w:pPr>
    </w:p>
    <w:p w14:paraId="4D2E87B5" w14:textId="77777777" w:rsidR="004862F6" w:rsidRDefault="004862F6" w:rsidP="004862F6">
      <w:pPr>
        <w:pStyle w:val="NormalWeb"/>
        <w:spacing w:after="0"/>
        <w:jc w:val="both"/>
      </w:pPr>
    </w:p>
    <w:p w14:paraId="12569DF7" w14:textId="77777777" w:rsidR="004862F6" w:rsidRPr="00B15C38" w:rsidRDefault="004862F6" w:rsidP="004862F6">
      <w:pPr>
        <w:pStyle w:val="NormalWeb"/>
        <w:spacing w:after="0"/>
        <w:jc w:val="both"/>
      </w:pPr>
    </w:p>
    <w:p w14:paraId="4A5F6A74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5CE5A5D2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27DB339B" w14:textId="77777777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</w:p>
    <w:p w14:paraId="2BB6C68A" w14:textId="389803D1" w:rsidR="004862F6" w:rsidRDefault="004862F6" w:rsidP="004862F6">
      <w:pPr>
        <w:pStyle w:val="NormalWeb"/>
        <w:spacing w:after="0"/>
        <w:jc w:val="both"/>
      </w:pPr>
      <w:r w:rsidRPr="00B15C38">
        <w:rPr>
          <w:b/>
          <w:bCs/>
          <w:color w:val="000000"/>
          <w:shd w:val="clear" w:color="auto" w:fill="FFFFFF"/>
        </w:rPr>
        <w:t xml:space="preserve">Figure S5. </w:t>
      </w:r>
      <w:r w:rsidRPr="00B15C38">
        <w:rPr>
          <w:color w:val="000000"/>
          <w:shd w:val="clear" w:color="auto" w:fill="FFFFFF"/>
        </w:rPr>
        <w:t>Taxa dendogram and module colors of</w:t>
      </w:r>
      <w:r w:rsidRPr="00B15C38">
        <w:rPr>
          <w:b/>
          <w:bCs/>
          <w:color w:val="000000"/>
          <w:shd w:val="clear" w:color="auto" w:fill="FFFFFF"/>
        </w:rPr>
        <w:t xml:space="preserve"> </w:t>
      </w:r>
      <w:r w:rsidRPr="00B15C38">
        <w:t>coexpression network analysis (WGCNA) revealed seven ASVs module eigengenes (ME) in the inefficient group.</w:t>
      </w:r>
    </w:p>
    <w:p w14:paraId="6BC511EE" w14:textId="7C100C44" w:rsidR="004862F6" w:rsidRDefault="004862F6" w:rsidP="004862F6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  <w:r>
        <w:rPr>
          <w:b/>
          <w:bCs/>
          <w:noProof/>
          <w:color w:val="000000"/>
          <w:shd w:val="clear" w:color="auto" w:fill="FFFFFF"/>
        </w:rPr>
        <w:drawing>
          <wp:inline distT="0" distB="0" distL="0" distR="0" wp14:anchorId="0EB37B27" wp14:editId="3C502490">
            <wp:extent cx="5731510" cy="3514090"/>
            <wp:effectExtent l="0" t="0" r="2540" b="0"/>
            <wp:docPr id="1553547499" name="Imagem 5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547499" name="Imagem 5" descr="Uma imagem contendo Diagram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0DB18" w14:textId="388C1044" w:rsidR="00D12BE0" w:rsidRDefault="00D12BE0" w:rsidP="00D12BE0">
      <w:pPr>
        <w:pStyle w:val="NormalWeb"/>
        <w:spacing w:after="0"/>
        <w:jc w:val="both"/>
        <w:rPr>
          <w:b/>
          <w:bCs/>
          <w:color w:val="000000"/>
          <w:shd w:val="clear" w:color="auto" w:fill="FFFFFF"/>
        </w:rPr>
      </w:pPr>
      <w:bookmarkStart w:id="0" w:name="_Hlk170831493"/>
    </w:p>
    <w:p w14:paraId="474989DC" w14:textId="346BDFB3" w:rsidR="00D12BE0" w:rsidRDefault="0051406A" w:rsidP="00D12BE0">
      <w:pPr>
        <w:pStyle w:val="NormalWeb"/>
        <w:spacing w:after="0"/>
        <w:jc w:val="both"/>
      </w:pPr>
      <w:r>
        <w:rPr>
          <w:b/>
          <w:bCs/>
          <w:color w:val="000000"/>
          <w:shd w:val="clear" w:color="auto" w:fill="FFFFFF"/>
        </w:rPr>
        <w:t xml:space="preserve">Supplementary </w:t>
      </w:r>
      <w:r w:rsidR="00D12BE0">
        <w:rPr>
          <w:b/>
          <w:bCs/>
          <w:color w:val="000000"/>
          <w:shd w:val="clear" w:color="auto" w:fill="FFFFFF"/>
        </w:rPr>
        <w:t>Tables legends:</w:t>
      </w:r>
    </w:p>
    <w:p w14:paraId="6B3A96AF" w14:textId="77777777" w:rsidR="00D12BE0" w:rsidRDefault="00D12BE0" w:rsidP="00D12BE0">
      <w:pPr>
        <w:pStyle w:val="NormalWeb"/>
        <w:spacing w:after="0"/>
        <w:jc w:val="both"/>
      </w:pPr>
      <w:r w:rsidRPr="00453EE7">
        <w:rPr>
          <w:b/>
          <w:bCs/>
        </w:rPr>
        <w:t xml:space="preserve">Table S1. </w:t>
      </w:r>
      <w:r w:rsidRPr="00453EE7">
        <w:t>Primer set used to amplify 16S  hypervariable regions.</w:t>
      </w:r>
    </w:p>
    <w:p w14:paraId="41B3A8A4" w14:textId="77777777" w:rsidR="00D12BE0" w:rsidRDefault="00D12BE0" w:rsidP="00D12BE0">
      <w:pPr>
        <w:pStyle w:val="NormalWeb"/>
        <w:spacing w:after="0"/>
        <w:jc w:val="both"/>
        <w:rPr>
          <w:color w:val="000000"/>
          <w:shd w:val="clear" w:color="auto" w:fill="FFFFFF"/>
        </w:rPr>
      </w:pPr>
      <w:r w:rsidRPr="00453EE7">
        <w:rPr>
          <w:b/>
          <w:bCs/>
          <w:color w:val="000000"/>
          <w:shd w:val="clear" w:color="auto" w:fill="FFFFFF"/>
        </w:rPr>
        <w:t xml:space="preserve">Table S2. </w:t>
      </w:r>
      <w:r w:rsidRPr="00453EE7">
        <w:rPr>
          <w:color w:val="000000"/>
          <w:shd w:val="clear" w:color="auto" w:fill="FFFFFF"/>
        </w:rPr>
        <w:t>Ful list of expressed fecal miRNAs identified by STAR software between efficient and inefficient Nelore cattle</w:t>
      </w:r>
      <w:r>
        <w:rPr>
          <w:color w:val="000000"/>
          <w:shd w:val="clear" w:color="auto" w:fill="FFFFFF"/>
        </w:rPr>
        <w:t xml:space="preserve"> groups</w:t>
      </w:r>
      <w:r w:rsidRPr="00453EE7">
        <w:rPr>
          <w:color w:val="000000"/>
          <w:shd w:val="clear" w:color="auto" w:fill="FFFFFF"/>
        </w:rPr>
        <w:t>.</w:t>
      </w:r>
    </w:p>
    <w:p w14:paraId="2459792A" w14:textId="77777777" w:rsidR="00D12BE0" w:rsidRDefault="00D12BE0" w:rsidP="00D12BE0">
      <w:pPr>
        <w:pStyle w:val="NormalWeb"/>
        <w:spacing w:after="0"/>
        <w:jc w:val="both"/>
        <w:rPr>
          <w:color w:val="000000"/>
          <w:shd w:val="clear" w:color="auto" w:fill="FFFFFF"/>
        </w:rPr>
      </w:pPr>
      <w:r w:rsidRPr="00453EE7">
        <w:rPr>
          <w:b/>
          <w:bCs/>
          <w:color w:val="000000"/>
          <w:shd w:val="clear" w:color="auto" w:fill="FFFFFF"/>
        </w:rPr>
        <w:t>Table S3</w:t>
      </w:r>
      <w:r w:rsidRPr="00453EE7">
        <w:rPr>
          <w:color w:val="000000"/>
          <w:shd w:val="clear" w:color="auto" w:fill="FFFFFF"/>
        </w:rPr>
        <w:t>. Differentially expressed fecal miRNAs identified by DEseq software between efficient and inefficient Nelore cattle groups.</w:t>
      </w:r>
    </w:p>
    <w:p w14:paraId="178A1514" w14:textId="77777777" w:rsidR="00D12BE0" w:rsidRDefault="00D12BE0" w:rsidP="00D12BE0">
      <w:pPr>
        <w:pStyle w:val="NormalWeb"/>
        <w:spacing w:after="0"/>
        <w:jc w:val="both"/>
        <w:rPr>
          <w:color w:val="000000"/>
          <w:shd w:val="clear" w:color="auto" w:fill="FFFFFF"/>
        </w:rPr>
      </w:pPr>
      <w:r w:rsidRPr="00453EE7">
        <w:rPr>
          <w:b/>
          <w:bCs/>
          <w:color w:val="000000"/>
          <w:shd w:val="clear" w:color="auto" w:fill="FFFFFF"/>
        </w:rPr>
        <w:t>Table S4.</w:t>
      </w:r>
      <w:r w:rsidRPr="00453EE7">
        <w:rPr>
          <w:color w:val="000000"/>
          <w:shd w:val="clear" w:color="auto" w:fill="FFFFFF"/>
        </w:rPr>
        <w:t xml:space="preserve"> Signalling pathways constructed by WebGestalt software for each </w:t>
      </w:r>
      <w:r>
        <w:rPr>
          <w:color w:val="000000"/>
          <w:shd w:val="clear" w:color="auto" w:fill="FFFFFF"/>
        </w:rPr>
        <w:t>d</w:t>
      </w:r>
      <w:r w:rsidRPr="0004037B">
        <w:rPr>
          <w:color w:val="000000"/>
          <w:shd w:val="clear" w:color="auto" w:fill="FFFFFF"/>
        </w:rPr>
        <w:t>ifferentially expressed</w:t>
      </w:r>
      <w:r w:rsidRPr="00453EE7">
        <w:rPr>
          <w:color w:val="000000"/>
          <w:shd w:val="clear" w:color="auto" w:fill="FFFFFF"/>
        </w:rPr>
        <w:t xml:space="preserve"> miRNA’s target genes list.  </w:t>
      </w:r>
    </w:p>
    <w:p w14:paraId="27576B6C" w14:textId="28C3F6F9" w:rsidR="00D12BE0" w:rsidRPr="00453EE7" w:rsidRDefault="00D12BE0" w:rsidP="00D12BE0">
      <w:pPr>
        <w:pStyle w:val="NormalWeb"/>
        <w:spacing w:after="0"/>
        <w:jc w:val="both"/>
        <w:rPr>
          <w:color w:val="000000"/>
          <w:shd w:val="clear" w:color="auto" w:fill="FFFFFF"/>
        </w:rPr>
      </w:pPr>
      <w:r w:rsidRPr="00453EE7">
        <w:rPr>
          <w:b/>
          <w:bCs/>
          <w:color w:val="000000"/>
          <w:shd w:val="clear" w:color="auto" w:fill="FFFFFF"/>
        </w:rPr>
        <w:t>Table S5.</w:t>
      </w:r>
      <w:r w:rsidRPr="00453EE7">
        <w:rPr>
          <w:color w:val="000000"/>
          <w:shd w:val="clear" w:color="auto" w:fill="FFFFFF"/>
        </w:rPr>
        <w:t xml:space="preserve"> Amplicon Sequence Variants (ASVs) identified in eficient and inefficient Nelore cattle</w:t>
      </w:r>
      <w:r>
        <w:rPr>
          <w:color w:val="000000"/>
          <w:shd w:val="clear" w:color="auto" w:fill="FFFFFF"/>
        </w:rPr>
        <w:t xml:space="preserve"> groups.</w:t>
      </w:r>
    </w:p>
    <w:bookmarkEnd w:id="0"/>
    <w:p w14:paraId="5EA6AEA7" w14:textId="77777777" w:rsidR="00F020E3" w:rsidRPr="004862F6" w:rsidRDefault="00F020E3">
      <w:pPr>
        <w:rPr>
          <w:lang w:val="en-US"/>
        </w:rPr>
      </w:pPr>
    </w:p>
    <w:sectPr w:rsidR="00F020E3" w:rsidRPr="004862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2F6"/>
    <w:rsid w:val="004862F6"/>
    <w:rsid w:val="0051406A"/>
    <w:rsid w:val="005D65AE"/>
    <w:rsid w:val="00B15A9E"/>
    <w:rsid w:val="00B662A4"/>
    <w:rsid w:val="00B676B8"/>
    <w:rsid w:val="00CF16A8"/>
    <w:rsid w:val="00D12BE0"/>
    <w:rsid w:val="00EF71C2"/>
    <w:rsid w:val="00F020E3"/>
    <w:rsid w:val="00F8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A94B2"/>
  <w15:chartTrackingRefBased/>
  <w15:docId w15:val="{DFC80B60-8261-4664-A9E0-BF7D7129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86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86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62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86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862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86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86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86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86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62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862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62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862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862F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862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862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862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862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86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86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86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86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862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862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862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862F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862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862F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862F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86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character" w:styleId="Forte">
    <w:name w:val="Strong"/>
    <w:basedOn w:val="Fontepargpadro"/>
    <w:uiPriority w:val="22"/>
    <w:qFormat/>
    <w:rsid w:val="004862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282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PSNOliveira</dc:creator>
  <cp:keywords/>
  <dc:description/>
  <cp:lastModifiedBy>PSNOliveira</cp:lastModifiedBy>
  <cp:revision>4</cp:revision>
  <dcterms:created xsi:type="dcterms:W3CDTF">2024-07-15T16:55:00Z</dcterms:created>
  <dcterms:modified xsi:type="dcterms:W3CDTF">2024-07-15T17:28:00Z</dcterms:modified>
</cp:coreProperties>
</file>