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32C8" w:rsidRDefault="00DA32C8" w:rsidP="00DA32C8">
      <w:pPr>
        <w:spacing w:line="276" w:lineRule="auto"/>
        <w:rPr>
          <w:rFonts w:asciiTheme="majorBidi" w:eastAsiaTheme="minorEastAsia" w:hAnsiTheme="majorBidi" w:cstheme="majorBidi"/>
          <w:sz w:val="20"/>
          <w:szCs w:val="20"/>
        </w:rPr>
      </w:pPr>
      <w:r w:rsidRPr="005C10D1">
        <w:rPr>
          <w:rFonts w:asciiTheme="majorBidi" w:eastAsiaTheme="minorEastAsia" w:hAnsiTheme="majorBidi" w:cstheme="majorBidi"/>
          <w:b/>
          <w:bCs/>
          <w:sz w:val="20"/>
          <w:szCs w:val="20"/>
        </w:rPr>
        <w:t>Table 1</w:t>
      </w:r>
    </w:p>
    <w:p w:rsidR="00DA32C8" w:rsidRPr="005C10D1" w:rsidRDefault="00DA32C8" w:rsidP="00DA32C8">
      <w:pPr>
        <w:spacing w:line="276" w:lineRule="auto"/>
        <w:rPr>
          <w:rFonts w:asciiTheme="majorBidi" w:eastAsiaTheme="minorEastAsia" w:hAnsiTheme="majorBidi" w:cstheme="majorBidi"/>
          <w:sz w:val="24"/>
          <w:szCs w:val="24"/>
          <w:rtl/>
        </w:rPr>
      </w:pPr>
      <w:r w:rsidRPr="005C10D1">
        <w:rPr>
          <w:rFonts w:asciiTheme="majorBidi" w:eastAsiaTheme="minorEastAsia" w:hAnsiTheme="majorBidi" w:cstheme="majorBidi"/>
          <w:sz w:val="20"/>
          <w:szCs w:val="20"/>
        </w:rPr>
        <w:t>Colloidal properties of rGO and Mg/rGO NCs</w:t>
      </w:r>
      <w:r w:rsidRPr="005C10D1">
        <w:rPr>
          <w:rFonts w:asciiTheme="majorBidi" w:eastAsiaTheme="minorEastAsia" w:hAnsiTheme="majorBidi" w:cstheme="majorBidi"/>
          <w:color w:val="242021"/>
          <w:sz w:val="20"/>
          <w:szCs w:val="20"/>
        </w:rPr>
        <w:t xml:space="preserve"> prepared by both CH and MI methods</w:t>
      </w:r>
    </w:p>
    <w:tbl>
      <w:tblPr>
        <w:tblStyle w:val="TableGrid1"/>
        <w:bidiVisual/>
        <w:tblW w:w="9429" w:type="dxa"/>
        <w:jc w:val="center"/>
        <w:tblLook w:val="04A0" w:firstRow="1" w:lastRow="0" w:firstColumn="1" w:lastColumn="0" w:noHBand="0" w:noVBand="1"/>
      </w:tblPr>
      <w:tblGrid>
        <w:gridCol w:w="1134"/>
        <w:gridCol w:w="1418"/>
        <w:gridCol w:w="992"/>
        <w:gridCol w:w="1134"/>
        <w:gridCol w:w="1134"/>
        <w:gridCol w:w="896"/>
        <w:gridCol w:w="810"/>
        <w:gridCol w:w="1911"/>
      </w:tblGrid>
      <w:tr w:rsidR="00DA32C8" w:rsidRPr="005C10D1" w:rsidTr="00570A62">
        <w:trPr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Ζ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f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(mV)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PDI (μ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>/Ƭ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2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>)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992" w:type="dxa"/>
            <w:tcBorders>
              <w:left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D(nm)</w:t>
            </w:r>
          </w:p>
        </w:tc>
        <w:tc>
          <w:tcPr>
            <w:tcW w:w="1134" w:type="dxa"/>
            <w:tcBorders>
              <w:left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6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242021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color w:val="242021"/>
                <w:sz w:val="20"/>
                <w:szCs w:val="20"/>
              </w:rPr>
              <w:t>P (W)</w:t>
            </w:r>
            <w:r w:rsidRPr="005C10D1">
              <w:rPr>
                <w:rFonts w:asciiTheme="majorBidi" w:hAnsiTheme="majorBidi" w:cstheme="majorBidi"/>
                <w:color w:val="242021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color w:val="242021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color w:val="242021"/>
                <w:sz w:val="20"/>
                <w:szCs w:val="20"/>
              </w:rPr>
              <w:t>T (°C)</w:t>
            </w:r>
          </w:p>
        </w:tc>
        <w:tc>
          <w:tcPr>
            <w:tcW w:w="1911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Sample</w:t>
            </w:r>
          </w:p>
        </w:tc>
      </w:tr>
      <w:tr w:rsidR="00DA32C8" w:rsidRPr="005C10D1" w:rsidTr="00570A62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992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DLS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SEM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134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XRD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DA32C8" w:rsidRPr="005C10D1" w:rsidTr="00570A62">
        <w:trPr>
          <w:jc w:val="center"/>
        </w:trPr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+32.1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0.377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62.19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9-11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15.73</w:t>
            </w:r>
          </w:p>
        </w:tc>
        <w:tc>
          <w:tcPr>
            <w:tcW w:w="896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 w:hint="cs"/>
                <w:sz w:val="20"/>
                <w:szCs w:val="20"/>
                <w:rtl/>
              </w:rPr>
              <w:t>-</w:t>
            </w:r>
          </w:p>
        </w:tc>
        <w:tc>
          <w:tcPr>
            <w:tcW w:w="810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35</w:t>
            </w:r>
          </w:p>
        </w:tc>
        <w:tc>
          <w:tcPr>
            <w:tcW w:w="1911" w:type="dxa"/>
            <w:tcBorders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rGO</w:t>
            </w:r>
          </w:p>
        </w:tc>
      </w:tr>
      <w:tr w:rsidR="00DA32C8" w:rsidRPr="005C10D1" w:rsidTr="00570A62">
        <w:trPr>
          <w:jc w:val="center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-25.5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0.444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171.9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14-18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16.86</w:t>
            </w:r>
          </w:p>
        </w:tc>
        <w:tc>
          <w:tcPr>
            <w:tcW w:w="896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 w:hint="cs"/>
                <w:sz w:val="20"/>
                <w:szCs w:val="20"/>
                <w:rtl/>
              </w:rPr>
              <w:t>-</w:t>
            </w:r>
          </w:p>
        </w:tc>
        <w:tc>
          <w:tcPr>
            <w:tcW w:w="810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90</w:t>
            </w:r>
          </w:p>
        </w:tc>
        <w:tc>
          <w:tcPr>
            <w:tcW w:w="1911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Mg/rGO NCs (H)</w:t>
            </w:r>
          </w:p>
        </w:tc>
      </w:tr>
      <w:tr w:rsidR="00DA32C8" w:rsidRPr="005C10D1" w:rsidTr="00570A62">
        <w:trPr>
          <w:jc w:val="center"/>
        </w:trPr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-15.8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1.132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289.3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11-13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26.88</w:t>
            </w:r>
          </w:p>
        </w:tc>
        <w:tc>
          <w:tcPr>
            <w:tcW w:w="89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900</w:t>
            </w:r>
          </w:p>
        </w:tc>
        <w:tc>
          <w:tcPr>
            <w:tcW w:w="8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center"/>
              <w:rPr>
                <w:rFonts w:asciiTheme="majorBidi" w:hAnsiTheme="majorBidi" w:cstheme="majorBidi"/>
                <w:sz w:val="20"/>
                <w:szCs w:val="20"/>
                <w:lang w:val="en"/>
              </w:rPr>
            </w:pPr>
            <w:r w:rsidRPr="005C10D1">
              <w:rPr>
                <w:rFonts w:asciiTheme="majorBidi" w:hAnsiTheme="majorBidi" w:cstheme="majorBidi" w:hint="cs"/>
                <w:sz w:val="20"/>
                <w:szCs w:val="20"/>
                <w:rtl/>
                <w:lang w:val="en"/>
              </w:rPr>
              <w:t>-</w:t>
            </w:r>
          </w:p>
        </w:tc>
        <w:tc>
          <w:tcPr>
            <w:tcW w:w="19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7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  <w:lang w:val="en"/>
              </w:rPr>
              <w:t>Mg/rGO NCs (M)</w:t>
            </w:r>
          </w:p>
        </w:tc>
      </w:tr>
    </w:tbl>
    <w:p w:rsidR="00DA32C8" w:rsidRPr="005C10D1" w:rsidRDefault="00DA32C8" w:rsidP="00DA32C8">
      <w:pPr>
        <w:bidi/>
        <w:spacing w:after="0" w:line="240" w:lineRule="auto"/>
        <w:jc w:val="right"/>
        <w:rPr>
          <w:rFonts w:asciiTheme="majorBidi" w:eastAsiaTheme="minorEastAsia" w:hAnsiTheme="majorBidi" w:cstheme="majorBidi"/>
          <w:sz w:val="20"/>
          <w:szCs w:val="20"/>
          <w:rtl/>
        </w:rPr>
      </w:pPr>
      <w:r w:rsidRPr="005C10D1">
        <w:rPr>
          <w:rFonts w:asciiTheme="majorBidi" w:eastAsiaTheme="minorEastAsia" w:hAnsiTheme="majorBidi" w:cstheme="majorBidi"/>
          <w:sz w:val="20"/>
          <w:szCs w:val="20"/>
          <w:vertAlign w:val="superscript"/>
        </w:rPr>
        <w:t xml:space="preserve">a </w:t>
      </w:r>
      <w:r w:rsidRPr="005C10D1">
        <w:rPr>
          <w:rFonts w:asciiTheme="majorBidi" w:eastAsiaTheme="minorEastAsia" w:hAnsiTheme="majorBidi" w:cstheme="majorBidi"/>
          <w:color w:val="242021"/>
          <w:sz w:val="20"/>
          <w:szCs w:val="20"/>
        </w:rPr>
        <w:t>Power of microwave irradiation.</w:t>
      </w:r>
    </w:p>
    <w:p w:rsidR="00DA32C8" w:rsidRPr="005C10D1" w:rsidRDefault="00DA32C8" w:rsidP="00DA32C8">
      <w:pPr>
        <w:bidi/>
        <w:spacing w:after="0" w:line="240" w:lineRule="auto"/>
        <w:jc w:val="right"/>
        <w:rPr>
          <w:rFonts w:asciiTheme="majorBidi" w:eastAsiaTheme="minorEastAsia" w:hAnsiTheme="majorBidi" w:cstheme="majorBidi"/>
          <w:sz w:val="20"/>
          <w:szCs w:val="20"/>
          <w:rtl/>
        </w:rPr>
      </w:pPr>
      <w:r w:rsidRPr="005C10D1">
        <w:rPr>
          <w:rFonts w:asciiTheme="majorBidi" w:eastAsiaTheme="minorEastAsia" w:hAnsiTheme="majorBidi" w:cstheme="majorBidi"/>
          <w:sz w:val="20"/>
          <w:szCs w:val="20"/>
          <w:vertAlign w:val="superscript"/>
        </w:rPr>
        <w:t xml:space="preserve">b </w:t>
      </w:r>
      <w:r w:rsidRPr="005C10D1">
        <w:rPr>
          <w:rFonts w:asciiTheme="majorBidi" w:eastAsiaTheme="minorEastAsia" w:hAnsiTheme="majorBidi" w:cstheme="majorBidi"/>
          <w:sz w:val="20"/>
          <w:szCs w:val="20"/>
        </w:rPr>
        <w:t>Theoretical diameter calculated by Origin software based on Scherrer's equation.</w:t>
      </w:r>
    </w:p>
    <w:p w:rsidR="00DA32C8" w:rsidRPr="005C10D1" w:rsidRDefault="00DA32C8" w:rsidP="00DA32C8">
      <w:pPr>
        <w:bidi/>
        <w:spacing w:after="0" w:line="240" w:lineRule="auto"/>
        <w:jc w:val="right"/>
        <w:rPr>
          <w:rFonts w:asciiTheme="majorBidi" w:eastAsiaTheme="minorEastAsia" w:hAnsiTheme="majorBidi" w:cstheme="majorBidi"/>
          <w:sz w:val="20"/>
          <w:szCs w:val="20"/>
          <w:rtl/>
        </w:rPr>
      </w:pPr>
      <w:r w:rsidRPr="005C10D1">
        <w:rPr>
          <w:rFonts w:asciiTheme="majorBidi" w:eastAsiaTheme="minorEastAsia" w:hAnsiTheme="majorBidi" w:cstheme="majorBidi"/>
          <w:sz w:val="20"/>
          <w:szCs w:val="20"/>
          <w:vertAlign w:val="superscript"/>
        </w:rPr>
        <w:t xml:space="preserve">c </w:t>
      </w:r>
      <w:r w:rsidRPr="005C10D1">
        <w:rPr>
          <w:rFonts w:asciiTheme="majorBidi" w:eastAsiaTheme="minorEastAsia" w:hAnsiTheme="majorBidi" w:cstheme="majorBidi"/>
          <w:sz w:val="20"/>
          <w:szCs w:val="20"/>
        </w:rPr>
        <w:t>Particle mean diameter measured by SEM.</w:t>
      </w:r>
    </w:p>
    <w:p w:rsidR="00DA32C8" w:rsidRPr="005C10D1" w:rsidRDefault="00DA32C8" w:rsidP="00DA32C8">
      <w:pPr>
        <w:bidi/>
        <w:spacing w:after="0" w:line="240" w:lineRule="auto"/>
        <w:jc w:val="right"/>
        <w:rPr>
          <w:rFonts w:asciiTheme="majorBidi" w:eastAsiaTheme="minorEastAsia" w:hAnsiTheme="majorBidi" w:cstheme="majorBidi"/>
          <w:sz w:val="20"/>
          <w:szCs w:val="20"/>
        </w:rPr>
      </w:pPr>
      <w:r w:rsidRPr="005C10D1">
        <w:rPr>
          <w:rFonts w:asciiTheme="majorBidi" w:eastAsiaTheme="minorEastAsia" w:hAnsiTheme="majorBidi" w:cstheme="majorBidi"/>
          <w:sz w:val="20"/>
          <w:szCs w:val="20"/>
          <w:vertAlign w:val="superscript"/>
        </w:rPr>
        <w:t>d</w:t>
      </w:r>
      <w:r w:rsidRPr="005C10D1">
        <w:rPr>
          <w:rFonts w:asciiTheme="majorBidi" w:eastAsiaTheme="minorEastAsia" w:hAnsiTheme="majorBidi" w:cstheme="majorBidi"/>
          <w:sz w:val="20"/>
          <w:szCs w:val="20"/>
        </w:rPr>
        <w:t xml:space="preserve"> Hydrodynamic diameter measured by DLS in water.</w:t>
      </w:r>
    </w:p>
    <w:p w:rsidR="00DA32C8" w:rsidRPr="005C10D1" w:rsidRDefault="00DA32C8" w:rsidP="00DA32C8">
      <w:pPr>
        <w:bidi/>
        <w:spacing w:after="0" w:line="240" w:lineRule="auto"/>
        <w:jc w:val="right"/>
        <w:rPr>
          <w:rFonts w:asciiTheme="majorBidi" w:eastAsiaTheme="minorEastAsia" w:hAnsiTheme="majorBidi" w:cstheme="majorBidi"/>
          <w:sz w:val="20"/>
          <w:szCs w:val="20"/>
          <w:vertAlign w:val="superscript"/>
        </w:rPr>
      </w:pPr>
      <w:r w:rsidRPr="005C10D1">
        <w:rPr>
          <w:rFonts w:asciiTheme="majorBidi" w:eastAsiaTheme="minorEastAsia" w:hAnsiTheme="majorBidi" w:cstheme="majorBidi"/>
          <w:sz w:val="20"/>
          <w:szCs w:val="20"/>
          <w:vertAlign w:val="superscript"/>
        </w:rPr>
        <w:t xml:space="preserve">e </w:t>
      </w:r>
      <w:r w:rsidRPr="005C10D1">
        <w:rPr>
          <w:rFonts w:asciiTheme="majorBidi" w:eastAsiaTheme="minorEastAsia" w:hAnsiTheme="majorBidi" w:cstheme="majorBidi"/>
          <w:sz w:val="20"/>
          <w:szCs w:val="20"/>
        </w:rPr>
        <w:t>Polydispersity index based on DLS.</w:t>
      </w:r>
    </w:p>
    <w:p w:rsidR="00DA32C8" w:rsidRPr="005C10D1" w:rsidRDefault="00DA32C8" w:rsidP="00DA32C8">
      <w:pPr>
        <w:spacing w:line="480" w:lineRule="auto"/>
        <w:rPr>
          <w:rFonts w:asciiTheme="majorBidi" w:eastAsiaTheme="minorEastAsia" w:hAnsiTheme="majorBidi" w:cstheme="majorBidi"/>
          <w:sz w:val="20"/>
          <w:szCs w:val="20"/>
        </w:rPr>
      </w:pPr>
      <w:r w:rsidRPr="005C10D1">
        <w:rPr>
          <w:rFonts w:asciiTheme="majorBidi" w:eastAsiaTheme="minorEastAsia" w:hAnsiTheme="majorBidi" w:cstheme="majorBidi"/>
          <w:sz w:val="20"/>
          <w:szCs w:val="20"/>
          <w:vertAlign w:val="superscript"/>
        </w:rPr>
        <w:t xml:space="preserve">f </w:t>
      </w:r>
      <w:r w:rsidRPr="005C10D1">
        <w:rPr>
          <w:rFonts w:asciiTheme="majorBidi" w:eastAsiaTheme="minorEastAsia" w:hAnsiTheme="majorBidi" w:cstheme="majorBidi"/>
          <w:sz w:val="20"/>
          <w:szCs w:val="20"/>
        </w:rPr>
        <w:t>Zeta potential.</w:t>
      </w:r>
    </w:p>
    <w:p w:rsidR="00DA32C8" w:rsidRDefault="00DA32C8" w:rsidP="00DA32C8">
      <w:pPr>
        <w:spacing w:line="252" w:lineRule="auto"/>
        <w:rPr>
          <w:rFonts w:asciiTheme="majorBidi" w:eastAsiaTheme="minorEastAsia" w:hAnsiTheme="majorBidi" w:cstheme="majorBidi"/>
          <w:sz w:val="20"/>
          <w:szCs w:val="20"/>
        </w:rPr>
      </w:pPr>
      <w:r w:rsidRPr="005C10D1">
        <w:rPr>
          <w:rFonts w:asciiTheme="majorBidi" w:eastAsiaTheme="minorEastAsia" w:hAnsiTheme="majorBidi" w:cstheme="majorBidi"/>
          <w:b/>
          <w:bCs/>
          <w:sz w:val="20"/>
          <w:szCs w:val="20"/>
        </w:rPr>
        <w:t>Table 2</w:t>
      </w:r>
      <w:r w:rsidRPr="005C10D1">
        <w:rPr>
          <w:rFonts w:asciiTheme="majorBidi" w:eastAsiaTheme="minorEastAsia" w:hAnsiTheme="majorBidi" w:cstheme="majorBidi"/>
          <w:sz w:val="20"/>
          <w:szCs w:val="20"/>
        </w:rPr>
        <w:t xml:space="preserve"> </w:t>
      </w:r>
    </w:p>
    <w:p w:rsidR="00DA32C8" w:rsidRPr="005C10D1" w:rsidRDefault="00DA32C8" w:rsidP="00DA32C8">
      <w:pPr>
        <w:spacing w:line="252" w:lineRule="auto"/>
        <w:rPr>
          <w:rFonts w:asciiTheme="majorBidi" w:eastAsiaTheme="minorEastAsia" w:hAnsiTheme="majorBidi" w:cstheme="majorBidi"/>
          <w:sz w:val="24"/>
          <w:szCs w:val="24"/>
          <w:rtl/>
        </w:rPr>
      </w:pPr>
      <w:r w:rsidRPr="005C10D1">
        <w:rPr>
          <w:rFonts w:asciiTheme="majorBidi" w:eastAsiaTheme="minorEastAsia" w:hAnsiTheme="majorBidi" w:cstheme="majorBidi"/>
          <w:sz w:val="20"/>
          <w:szCs w:val="20"/>
        </w:rPr>
        <w:t>The influence of different concentrations of rGO NPs and Mg/rGO</w:t>
      </w:r>
      <w:r w:rsidRPr="005C10D1">
        <w:rPr>
          <w:rFonts w:asciiTheme="majorBidi" w:eastAsiaTheme="minorEastAsia" w:hAnsiTheme="majorBidi" w:cstheme="majorBidi"/>
          <w:sz w:val="20"/>
          <w:szCs w:val="20"/>
          <w:lang w:val="en"/>
        </w:rPr>
        <w:t xml:space="preserve"> NCs</w:t>
      </w:r>
      <w:r w:rsidRPr="005C10D1">
        <w:rPr>
          <w:rFonts w:asciiTheme="majorBidi" w:eastAsiaTheme="minorEastAsia" w:hAnsiTheme="majorBidi" w:cstheme="majorBidi"/>
          <w:sz w:val="20"/>
          <w:szCs w:val="20"/>
        </w:rPr>
        <w:t xml:space="preserve"> on growth parameters of </w:t>
      </w:r>
      <w:r w:rsidRPr="005C10D1">
        <w:rPr>
          <w:rFonts w:asciiTheme="majorBidi" w:eastAsiaTheme="minorEastAsia" w:hAnsiTheme="majorBidi" w:cstheme="majorBidi"/>
          <w:i/>
          <w:iCs/>
          <w:sz w:val="20"/>
          <w:szCs w:val="20"/>
        </w:rPr>
        <w:t>M.</w:t>
      </w:r>
      <w:r w:rsidRPr="005C10D1">
        <w:rPr>
          <w:rFonts w:asciiTheme="majorBidi" w:eastAsiaTheme="minorEastAsia" w:hAnsiTheme="majorBidi" w:cstheme="majorBidi"/>
          <w:i/>
          <w:iCs/>
          <w:sz w:val="24"/>
          <w:szCs w:val="24"/>
        </w:rPr>
        <w:t xml:space="preserve"> </w:t>
      </w:r>
      <w:r w:rsidRPr="005C10D1">
        <w:rPr>
          <w:rFonts w:asciiTheme="majorBidi" w:eastAsiaTheme="minorEastAsia" w:hAnsiTheme="majorBidi" w:cstheme="majorBidi"/>
          <w:i/>
          <w:iCs/>
          <w:sz w:val="20"/>
          <w:szCs w:val="20"/>
        </w:rPr>
        <w:t xml:space="preserve">longifolia </w:t>
      </w:r>
    </w:p>
    <w:tbl>
      <w:tblPr>
        <w:tblStyle w:val="TableGrid5"/>
        <w:bidiVisual/>
        <w:tblW w:w="10188" w:type="dxa"/>
        <w:jc w:val="center"/>
        <w:tblLook w:val="04A0" w:firstRow="1" w:lastRow="0" w:firstColumn="1" w:lastColumn="0" w:noHBand="0" w:noVBand="1"/>
      </w:tblPr>
      <w:tblGrid>
        <w:gridCol w:w="1512"/>
        <w:gridCol w:w="1512"/>
        <w:gridCol w:w="1512"/>
        <w:gridCol w:w="1512"/>
        <w:gridCol w:w="1512"/>
        <w:gridCol w:w="1512"/>
        <w:gridCol w:w="1116"/>
      </w:tblGrid>
      <w:tr w:rsidR="00DA32C8" w:rsidRPr="005C10D1" w:rsidTr="00570A62">
        <w:trPr>
          <w:jc w:val="center"/>
        </w:trPr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Length (mm)</w:t>
            </w: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512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Number </w:t>
            </w:r>
          </w:p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(per explants)</w:t>
            </w:r>
          </w:p>
        </w:tc>
        <w:tc>
          <w:tcPr>
            <w:tcW w:w="1116" w:type="dxa"/>
            <w:tcBorders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Treatments (mg/L)</w:t>
            </w:r>
          </w:p>
        </w:tc>
      </w:tr>
      <w:tr w:rsidR="00DA32C8" w:rsidRPr="005C10D1" w:rsidTr="00570A62">
        <w:trPr>
          <w:jc w:val="center"/>
        </w:trPr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The tallest root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The smallest shoot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Roots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after="160" w:line="259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Shoots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after="160" w:line="259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Leaves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after="160" w:line="259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Nodes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</w:tr>
      <w:tr w:rsidR="00DA32C8" w:rsidRPr="005C10D1" w:rsidTr="00570A62">
        <w:trPr>
          <w:trHeight w:hRule="exact" w:val="259"/>
          <w:jc w:val="center"/>
        </w:trPr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27.95 ± 11.24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4.60 ± 2.40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4.50 ± 0.71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5.00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33.00 ± 1.41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18.00 ± 1.41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16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</w:tr>
      <w:tr w:rsidR="00DA32C8" w:rsidRPr="005C10D1" w:rsidTr="00570A62">
        <w:trPr>
          <w:trHeight w:hRule="exact" w:val="259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20.73 ± 8.37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9.37 ± 1.45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4.33 ± 0.58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21.33 ± 6.11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bcd bcd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12.33 ± 3.21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bcd bcd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25 rGO </w:t>
            </w:r>
          </w:p>
        </w:tc>
      </w:tr>
      <w:tr w:rsidR="00DA32C8" w:rsidRPr="005C10D1" w:rsidTr="00570A62">
        <w:trPr>
          <w:trHeight w:hRule="exact" w:val="259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11.43 ± 3.45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bcd bcd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6.83 ± 1.45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3.67 ± 0.58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18.33 ± 2.08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11.00 ± 1.00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50 rGO </w:t>
            </w:r>
          </w:p>
        </w:tc>
      </w:tr>
      <w:tr w:rsidR="00DA32C8" w:rsidRPr="005C10D1" w:rsidTr="00570A62">
        <w:trPr>
          <w:trHeight w:hRule="exact" w:val="259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9.10 ± 3.14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cd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7.00 ± 1.32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3.00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15.00 ± 1.73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8.67 ± 1.15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100 rGO </w:t>
            </w:r>
          </w:p>
        </w:tc>
      </w:tr>
      <w:tr w:rsidR="00DA32C8" w:rsidRPr="005C10D1" w:rsidTr="00570A62">
        <w:trPr>
          <w:trHeight w:hRule="exact" w:val="259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7.15 ± 2.62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6.45 ± 2.19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3.00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3.50 ± 0.71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14.50 ± 2.12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9.00 ± 1.41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150 rGO </w:t>
            </w:r>
          </w:p>
        </w:tc>
      </w:tr>
      <w:tr w:rsidR="00DA32C8" w:rsidRPr="005C10D1" w:rsidTr="00570A62">
        <w:trPr>
          <w:trHeight w:hRule="exact" w:val="259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22.63 ± 7.67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5.20 ± 0.85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4.33 ± 1.15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4.67 ± 0.58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31.33 ± 5.13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16.67 ± 2.52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25 </w:t>
            </w:r>
            <w:r w:rsidRPr="005C10D1">
              <w:rPr>
                <w:rFonts w:asciiTheme="majorBidi" w:hAnsiTheme="majorBidi" w:cstheme="majorBidi"/>
                <w:sz w:val="20"/>
                <w:szCs w:val="20"/>
                <w:lang w:val="en"/>
              </w:rPr>
              <w:t>NCs</w:t>
            </w:r>
          </w:p>
        </w:tc>
      </w:tr>
      <w:tr w:rsidR="00DA32C8" w:rsidRPr="005C10D1" w:rsidTr="00570A62">
        <w:trPr>
          <w:trHeight w:hRule="exact" w:val="259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22.77 ± 8.14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5.70 ± 0.52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3.67 ± 0.58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4.33 ± 0.58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26.00 ± 5.29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14.67 ± 2.89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abc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50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lang w:val="en"/>
              </w:rPr>
              <w:t>NCs</w:t>
            </w:r>
          </w:p>
        </w:tc>
      </w:tr>
      <w:tr w:rsidR="00DA32C8" w:rsidRPr="005C10D1" w:rsidTr="00570A62">
        <w:trPr>
          <w:trHeight w:hRule="exact" w:val="259"/>
          <w:jc w:val="center"/>
        </w:trPr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19.10 ± 5.40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bcd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7.03 ± 2.26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3.33 ± 0.58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5.00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29.00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16.00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116" w:type="dxa"/>
            <w:tcBorders>
              <w:top w:val="nil"/>
              <w:left w:val="nil"/>
              <w:bottom w:val="nil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lang w:val="en"/>
              </w:rPr>
              <w:t>NCs</w:t>
            </w:r>
          </w:p>
        </w:tc>
      </w:tr>
      <w:tr w:rsidR="00DA32C8" w:rsidRPr="005C10D1" w:rsidTr="00570A62">
        <w:trPr>
          <w:trHeight w:hRule="exact" w:val="259"/>
          <w:jc w:val="center"/>
        </w:trPr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13.10 ± 0.99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bcd bcd</w:t>
            </w: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  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10.20 ± 0.14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4.50 ± 0.71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29.00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16.00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1116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DA32C8" w:rsidRPr="005C10D1" w:rsidRDefault="00DA32C8" w:rsidP="00570A62">
            <w:pPr>
              <w:bidi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150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lang w:val="en"/>
              </w:rPr>
              <w:t>NCs</w:t>
            </w:r>
          </w:p>
        </w:tc>
      </w:tr>
    </w:tbl>
    <w:p w:rsidR="00DA32C8" w:rsidRPr="005C10D1" w:rsidRDefault="00DA32C8" w:rsidP="00DA32C8">
      <w:pPr>
        <w:spacing w:line="252" w:lineRule="auto"/>
        <w:jc w:val="lowKashida"/>
        <w:rPr>
          <w:rFonts w:asciiTheme="majorBidi" w:eastAsiaTheme="minorEastAsia" w:hAnsiTheme="majorBidi" w:cstheme="majorBidi"/>
          <w:sz w:val="20"/>
          <w:szCs w:val="20"/>
        </w:rPr>
      </w:pPr>
      <w:r w:rsidRPr="005C10D1">
        <w:rPr>
          <w:rFonts w:asciiTheme="majorBidi" w:eastAsiaTheme="minorEastAsia" w:hAnsiTheme="majorBidi" w:cstheme="majorBidi"/>
          <w:sz w:val="20"/>
          <w:szCs w:val="20"/>
        </w:rPr>
        <w:t>Values represent mean ± standard error (SE). Means followed by the same letters within each column are not significantly different (P=0.05) using Duncan’s comparison mean test (n=3).</w:t>
      </w:r>
    </w:p>
    <w:p w:rsidR="00DA32C8" w:rsidRDefault="00DA32C8" w:rsidP="00DA32C8">
      <w:pPr>
        <w:spacing w:line="252" w:lineRule="auto"/>
        <w:rPr>
          <w:rFonts w:asciiTheme="majorBidi" w:eastAsiaTheme="minorEastAsia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spacing w:line="252" w:lineRule="auto"/>
        <w:rPr>
          <w:rFonts w:asciiTheme="majorBidi" w:eastAsiaTheme="minorEastAsia" w:hAnsiTheme="majorBidi" w:cstheme="majorBidi"/>
          <w:sz w:val="20"/>
          <w:szCs w:val="20"/>
        </w:rPr>
      </w:pPr>
      <w:r w:rsidRPr="005C10D1">
        <w:rPr>
          <w:rFonts w:asciiTheme="majorBidi" w:eastAsiaTheme="minorEastAsia" w:hAnsiTheme="majorBidi" w:cstheme="majorBidi"/>
          <w:b/>
          <w:bCs/>
          <w:sz w:val="20"/>
          <w:szCs w:val="20"/>
        </w:rPr>
        <w:lastRenderedPageBreak/>
        <w:t>Table 3</w:t>
      </w:r>
      <w:r w:rsidRPr="005C10D1">
        <w:rPr>
          <w:rFonts w:asciiTheme="majorBidi" w:eastAsiaTheme="minorEastAsia" w:hAnsiTheme="majorBidi" w:cstheme="majorBidi"/>
          <w:sz w:val="20"/>
          <w:szCs w:val="20"/>
        </w:rPr>
        <w:t xml:space="preserve"> </w:t>
      </w:r>
    </w:p>
    <w:p w:rsidR="00DA32C8" w:rsidRPr="005C10D1" w:rsidRDefault="00DA32C8" w:rsidP="00DA32C8">
      <w:pPr>
        <w:spacing w:line="252" w:lineRule="auto"/>
        <w:rPr>
          <w:rFonts w:asciiTheme="majorBidi" w:eastAsiaTheme="minorEastAsia" w:hAnsiTheme="majorBidi" w:cstheme="majorBidi"/>
          <w:sz w:val="20"/>
          <w:szCs w:val="20"/>
        </w:rPr>
      </w:pPr>
      <w:r w:rsidRPr="005C10D1">
        <w:rPr>
          <w:rFonts w:asciiTheme="majorBidi" w:eastAsiaTheme="minorEastAsia" w:hAnsiTheme="majorBidi" w:cstheme="majorBidi"/>
          <w:sz w:val="20"/>
          <w:szCs w:val="20"/>
        </w:rPr>
        <w:t>The influence of rGO NPs and Mg/rGO</w:t>
      </w:r>
      <w:r w:rsidRPr="005C10D1">
        <w:rPr>
          <w:rFonts w:asciiTheme="majorBidi" w:eastAsiaTheme="minorEastAsia" w:hAnsiTheme="majorBidi" w:cstheme="majorBidi"/>
          <w:sz w:val="20"/>
          <w:szCs w:val="20"/>
          <w:lang w:val="en"/>
        </w:rPr>
        <w:t xml:space="preserve"> NCs</w:t>
      </w:r>
      <w:r w:rsidRPr="005C10D1">
        <w:rPr>
          <w:rFonts w:asciiTheme="majorBidi" w:eastAsiaTheme="minorEastAsia" w:hAnsiTheme="majorBidi" w:cstheme="majorBidi"/>
          <w:sz w:val="20"/>
          <w:szCs w:val="20"/>
        </w:rPr>
        <w:t xml:space="preserve"> on the production of photosynthetic pigments of the regenerated shoots </w:t>
      </w:r>
      <w:r w:rsidRPr="005C10D1">
        <w:rPr>
          <w:rFonts w:asciiTheme="majorBidi" w:eastAsiaTheme="minorEastAsia" w:hAnsiTheme="majorBidi" w:cstheme="majorBidi"/>
          <w:i/>
          <w:iCs/>
          <w:sz w:val="20"/>
          <w:szCs w:val="20"/>
        </w:rPr>
        <w:t>M. longifolia</w:t>
      </w:r>
    </w:p>
    <w:tbl>
      <w:tblPr>
        <w:tblStyle w:val="TableGrid3"/>
        <w:bidiVisual/>
        <w:tblW w:w="9479" w:type="dxa"/>
        <w:jc w:val="center"/>
        <w:tblLook w:val="04A0" w:firstRow="1" w:lastRow="0" w:firstColumn="1" w:lastColumn="0" w:noHBand="0" w:noVBand="1"/>
      </w:tblPr>
      <w:tblGrid>
        <w:gridCol w:w="2012"/>
        <w:gridCol w:w="148"/>
        <w:gridCol w:w="2405"/>
        <w:gridCol w:w="148"/>
        <w:gridCol w:w="2297"/>
        <w:gridCol w:w="148"/>
        <w:gridCol w:w="2173"/>
        <w:gridCol w:w="148"/>
      </w:tblGrid>
      <w:tr w:rsidR="00DA32C8" w:rsidRPr="005C10D1" w:rsidTr="00570A62">
        <w:trPr>
          <w:jc w:val="center"/>
        </w:trPr>
        <w:tc>
          <w:tcPr>
            <w:tcW w:w="21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Carotenoids (mg/g fw)</w:t>
            </w:r>
          </w:p>
        </w:tc>
        <w:tc>
          <w:tcPr>
            <w:tcW w:w="255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Chlorophyll b (mg/g fw)</w:t>
            </w:r>
          </w:p>
        </w:tc>
        <w:tc>
          <w:tcPr>
            <w:tcW w:w="244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Chlorophyll a (mg/g fw)</w:t>
            </w:r>
          </w:p>
        </w:tc>
        <w:tc>
          <w:tcPr>
            <w:tcW w:w="232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Treatments (mg/L)</w:t>
            </w:r>
          </w:p>
        </w:tc>
      </w:tr>
      <w:tr w:rsidR="00DA32C8" w:rsidRPr="005C10D1" w:rsidTr="00570A62">
        <w:trPr>
          <w:gridAfter w:val="1"/>
          <w:wAfter w:w="148" w:type="dxa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0.14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cd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0.37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Control</w:t>
            </w:r>
          </w:p>
        </w:tc>
      </w:tr>
      <w:tr w:rsidR="00DA32C8" w:rsidRPr="005C10D1" w:rsidTr="00570A62">
        <w:trPr>
          <w:gridAfter w:val="1"/>
          <w:wAfter w:w="148" w:type="dxa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0.07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e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0.07 ± 0.02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ef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0.29 ± 0.00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 xml:space="preserve"> e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25 rGO</w:t>
            </w:r>
          </w:p>
        </w:tc>
      </w:tr>
      <w:tr w:rsidR="00DA32C8" w:rsidRPr="005C10D1" w:rsidTr="00570A62">
        <w:trPr>
          <w:gridAfter w:val="1"/>
          <w:wAfter w:w="148" w:type="dxa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0.05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0.08 ± 0.02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0.14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50 rGO</w:t>
            </w:r>
          </w:p>
        </w:tc>
      </w:tr>
      <w:tr w:rsidR="00DA32C8" w:rsidRPr="005C10D1" w:rsidTr="00570A62">
        <w:trPr>
          <w:gridAfter w:val="1"/>
          <w:wAfter w:w="148" w:type="dxa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0.10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0.12 ± 0.02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0.34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100 rGO</w:t>
            </w:r>
          </w:p>
        </w:tc>
      </w:tr>
      <w:tr w:rsidR="00DA32C8" w:rsidRPr="005C10D1" w:rsidTr="00570A62">
        <w:trPr>
          <w:gridAfter w:val="1"/>
          <w:wAfter w:w="148" w:type="dxa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0.05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0.05 ± 0.09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0.14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f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>150 rGO</w:t>
            </w:r>
          </w:p>
        </w:tc>
      </w:tr>
      <w:tr w:rsidR="00DA32C8" w:rsidRPr="005C10D1" w:rsidTr="00570A62">
        <w:trPr>
          <w:gridAfter w:val="1"/>
          <w:wAfter w:w="148" w:type="dxa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0.13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0.20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0.42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25 </w:t>
            </w:r>
            <w:r w:rsidRPr="005C10D1">
              <w:rPr>
                <w:rFonts w:asciiTheme="majorBidi" w:hAnsiTheme="majorBidi" w:cstheme="majorBidi"/>
                <w:sz w:val="20"/>
                <w:szCs w:val="20"/>
                <w:lang w:val="en"/>
              </w:rPr>
              <w:t>NCs</w:t>
            </w:r>
          </w:p>
        </w:tc>
      </w:tr>
      <w:tr w:rsidR="00DA32C8" w:rsidRPr="005C10D1" w:rsidTr="00570A62">
        <w:trPr>
          <w:gridAfter w:val="1"/>
          <w:wAfter w:w="148" w:type="dxa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0.16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0.15 ± 0.02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bc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0.56 ± 0.04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50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lang w:val="en"/>
              </w:rPr>
              <w:t>NCs</w:t>
            </w:r>
          </w:p>
        </w:tc>
      </w:tr>
      <w:tr w:rsidR="00DA32C8" w:rsidRPr="005C10D1" w:rsidTr="00570A62">
        <w:trPr>
          <w:gridAfter w:val="1"/>
          <w:wAfter w:w="148" w:type="dxa"/>
          <w:jc w:val="center"/>
        </w:trPr>
        <w:tc>
          <w:tcPr>
            <w:tcW w:w="20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0.14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0.17 ± 0.02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ab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0.50 ± 0.03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b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nil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lang w:val="en"/>
              </w:rPr>
              <w:t>NCs</w:t>
            </w:r>
          </w:p>
        </w:tc>
      </w:tr>
      <w:tr w:rsidR="00DA32C8" w:rsidRPr="005C10D1" w:rsidTr="00570A62">
        <w:trPr>
          <w:gridAfter w:val="1"/>
          <w:wAfter w:w="148" w:type="dxa"/>
          <w:jc w:val="center"/>
        </w:trPr>
        <w:tc>
          <w:tcPr>
            <w:tcW w:w="20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6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0.12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c</w:t>
            </w:r>
          </w:p>
        </w:tc>
        <w:tc>
          <w:tcPr>
            <w:tcW w:w="255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0.12 ± 0.00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445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0.36 ± 0.01 </w:t>
            </w:r>
            <w:r w:rsidRPr="005C10D1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d</w:t>
            </w:r>
          </w:p>
        </w:tc>
        <w:tc>
          <w:tcPr>
            <w:tcW w:w="232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DA32C8" w:rsidRPr="005C10D1" w:rsidRDefault="00DA32C8" w:rsidP="00570A62">
            <w:pPr>
              <w:bidi/>
              <w:spacing w:line="252" w:lineRule="auto"/>
              <w:jc w:val="right"/>
              <w:rPr>
                <w:rFonts w:asciiTheme="majorBidi" w:hAnsiTheme="majorBidi" w:cstheme="majorBidi"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sz w:val="20"/>
                <w:szCs w:val="20"/>
              </w:rPr>
              <w:t xml:space="preserve">150 </w:t>
            </w:r>
            <w:r w:rsidRPr="005C10D1">
              <w:rPr>
                <w:rFonts w:asciiTheme="majorBidi" w:hAnsiTheme="majorBidi" w:cstheme="majorBidi"/>
                <w:sz w:val="20"/>
                <w:szCs w:val="20"/>
                <w:lang w:val="en"/>
              </w:rPr>
              <w:t>NCs</w:t>
            </w:r>
          </w:p>
        </w:tc>
      </w:tr>
    </w:tbl>
    <w:p w:rsidR="00DA32C8" w:rsidRDefault="00DA32C8" w:rsidP="00DA32C8">
      <w:pPr>
        <w:spacing w:line="252" w:lineRule="auto"/>
        <w:rPr>
          <w:rFonts w:asciiTheme="majorBidi" w:eastAsiaTheme="minorEastAsia" w:hAnsiTheme="majorBidi" w:cstheme="majorBidi"/>
          <w:sz w:val="20"/>
          <w:szCs w:val="20"/>
        </w:rPr>
      </w:pPr>
      <w:r w:rsidRPr="005C10D1">
        <w:rPr>
          <w:rFonts w:asciiTheme="majorBidi" w:eastAsiaTheme="minorEastAsia" w:hAnsiTheme="majorBidi" w:cstheme="majorBidi"/>
          <w:sz w:val="20"/>
          <w:szCs w:val="20"/>
        </w:rPr>
        <w:t>Values represent mean ± standard error (SE). Means followed by the same letters within each column are not significantly different (P=0.05) using Duncan’s comparison mean test (n=3).</w:t>
      </w:r>
    </w:p>
    <w:p w:rsidR="00DA32C8" w:rsidRDefault="00DA32C8" w:rsidP="00DA32C8">
      <w:pPr>
        <w:spacing w:line="252" w:lineRule="auto"/>
        <w:rPr>
          <w:rFonts w:asciiTheme="majorBidi" w:eastAsiaTheme="minorEastAsia" w:hAnsiTheme="majorBidi" w:cstheme="majorBidi"/>
          <w:sz w:val="20"/>
          <w:szCs w:val="20"/>
        </w:rPr>
      </w:pPr>
    </w:p>
    <w:p w:rsidR="00DA32C8" w:rsidRPr="00A32DF1" w:rsidRDefault="00DA32C8" w:rsidP="00DA32C8">
      <w:pPr>
        <w:rPr>
          <w:rFonts w:asciiTheme="majorBidi" w:hAnsiTheme="majorBidi" w:cstheme="majorBidi"/>
          <w:sz w:val="20"/>
          <w:szCs w:val="20"/>
        </w:rPr>
      </w:pPr>
      <w:r w:rsidRPr="00A32DF1">
        <w:rPr>
          <w:rFonts w:asciiTheme="majorBidi" w:hAnsiTheme="majorBidi" w:cstheme="majorBidi"/>
          <w:b/>
          <w:bCs/>
          <w:sz w:val="20"/>
          <w:szCs w:val="20"/>
        </w:rPr>
        <w:t>Table 4</w:t>
      </w:r>
      <w:r w:rsidRPr="00A32DF1">
        <w:rPr>
          <w:rFonts w:asciiTheme="majorBidi" w:hAnsiTheme="majorBidi" w:cstheme="majorBidi"/>
          <w:sz w:val="20"/>
          <w:szCs w:val="20"/>
        </w:rPr>
        <w:t xml:space="preserve"> Composition of the volatile compounds of the untreated and treated shoot cultures of </w:t>
      </w:r>
      <w:r w:rsidRPr="00A32DF1">
        <w:rPr>
          <w:rFonts w:asciiTheme="majorBidi" w:hAnsiTheme="majorBidi" w:cstheme="majorBidi"/>
          <w:i/>
          <w:iCs/>
          <w:sz w:val="20"/>
          <w:szCs w:val="20"/>
        </w:rPr>
        <w:t>M. longifolia</w:t>
      </w:r>
      <w:r w:rsidRPr="00A32DF1">
        <w:rPr>
          <w:rFonts w:asciiTheme="majorBidi" w:hAnsiTheme="majorBidi" w:cstheme="majorBidi"/>
          <w:sz w:val="20"/>
          <w:szCs w:val="20"/>
        </w:rPr>
        <w:t xml:space="preserve"> with rGO and Mg/rGO NCs</w:t>
      </w:r>
    </w:p>
    <w:tbl>
      <w:tblPr>
        <w:tblStyle w:val="TableGrid"/>
        <w:bidiVisual/>
        <w:tblW w:w="14123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98"/>
        <w:gridCol w:w="567"/>
        <w:gridCol w:w="709"/>
        <w:gridCol w:w="2414"/>
        <w:gridCol w:w="964"/>
        <w:gridCol w:w="964"/>
        <w:gridCol w:w="964"/>
        <w:gridCol w:w="964"/>
        <w:gridCol w:w="964"/>
        <w:gridCol w:w="964"/>
        <w:gridCol w:w="1248"/>
        <w:gridCol w:w="1984"/>
        <w:gridCol w:w="619"/>
      </w:tblGrid>
      <w:tr w:rsidR="00DA32C8" w:rsidRPr="00A32DF1" w:rsidTr="00DA32C8">
        <w:trPr>
          <w:trHeight w:val="57"/>
          <w:jc w:val="center"/>
        </w:trPr>
        <w:tc>
          <w:tcPr>
            <w:tcW w:w="798" w:type="dxa"/>
            <w:vMerge w:val="restart"/>
            <w:vAlign w:val="center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RI</w:t>
            </w:r>
            <w:r w:rsidRPr="00A32DF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567" w:type="dxa"/>
            <w:vMerge w:val="restart"/>
            <w:vAlign w:val="center"/>
          </w:tcPr>
          <w:p w:rsidR="00DA32C8" w:rsidRPr="00A32DF1" w:rsidRDefault="00DA32C8" w:rsidP="00570A62">
            <w:pPr>
              <w:ind w:left="-780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RI</w:t>
            </w:r>
            <w:r w:rsidRPr="00A32DF1">
              <w:rPr>
                <w:rFonts w:asciiTheme="majorBidi" w:hAnsiTheme="majorBidi" w:cstheme="majorBidi"/>
                <w:b/>
                <w:bCs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709" w:type="dxa"/>
            <w:vMerge w:val="restart"/>
            <w:vAlign w:val="center"/>
          </w:tcPr>
          <w:p w:rsidR="00DA32C8" w:rsidRPr="00A32DF1" w:rsidRDefault="00DA32C8" w:rsidP="00570A62">
            <w:pPr>
              <w:ind w:left="-762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RT</w:t>
            </w:r>
          </w:p>
        </w:tc>
        <w:tc>
          <w:tcPr>
            <w:tcW w:w="2414" w:type="dxa"/>
            <w:vMerge w:val="restart"/>
            <w:vAlign w:val="center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b/>
                <w:bCs/>
                <w:sz w:val="18"/>
                <w:szCs w:val="18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Classification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noProof/>
                <w:sz w:val="16"/>
                <w:szCs w:val="16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7D2A514E" wp14:editId="5B7E1CCA">
                      <wp:simplePos x="0" y="0"/>
                      <wp:positionH relativeFrom="page">
                        <wp:posOffset>10160</wp:posOffset>
                      </wp:positionH>
                      <wp:positionV relativeFrom="paragraph">
                        <wp:posOffset>-1905</wp:posOffset>
                      </wp:positionV>
                      <wp:extent cx="2696210" cy="294005"/>
                      <wp:effectExtent l="0" t="0" r="0" b="0"/>
                      <wp:wrapNone/>
                      <wp:docPr id="22" name="Rectangle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96210" cy="294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accent6"/>
                              </a:fontRef>
                            </wps:style>
                            <wps:txbx>
                              <w:txbxContent>
                                <w:p w:rsidR="00DA32C8" w:rsidRPr="000D53A3" w:rsidRDefault="00DA32C8" w:rsidP="00DA32C8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18"/>
                                      <w:szCs w:val="18"/>
                                      <w:rtl/>
                                    </w:rPr>
                                  </w:pPr>
                                  <w:r w:rsidRPr="000D53A3">
                                    <w:rPr>
                                      <w:rFonts w:asciiTheme="majorBidi" w:hAnsiTheme="majorBidi" w:cs="B Nazanin"/>
                                      <w:b/>
                                      <w:bCs/>
                                      <w:color w:val="000000" w:themeColor="text1"/>
                                      <w:sz w:val="18"/>
                                      <w:szCs w:val="18"/>
                                      <w:lang w:val="en"/>
                                    </w:rPr>
                                    <w:t>Percentage of compounds in treatments</w:t>
                                  </w:r>
                                </w:p>
                                <w:p w:rsidR="00DA32C8" w:rsidRDefault="00DA32C8" w:rsidP="00DA32C8"/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2A514E" id="Rectangle 22" o:spid="_x0000_s1026" style="position:absolute;left:0;text-align:left;margin-left:.8pt;margin-top:-.15pt;width:212.3pt;height:23.1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" filled="f" stroked="f">
                      <v:textbox>
                        <w:txbxContent>
                          <w:p w:rsidR="00DA32C8" w:rsidRPr="000D53A3" w:rsidRDefault="00DA32C8" w:rsidP="00DA32C8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rtl/>
                              </w:rPr>
                            </w:pPr>
                            <w:r w:rsidRPr="000D53A3">
                              <w:rPr>
                                <w:rFonts w:asciiTheme="majorBidi" w:hAnsiTheme="majorBidi" w:cs="B Nazanin"/>
                                <w:b/>
                                <w:bCs/>
                                <w:color w:val="000000" w:themeColor="text1"/>
                                <w:sz w:val="18"/>
                                <w:szCs w:val="18"/>
                                <w:lang w:val="en"/>
                              </w:rPr>
                              <w:t>Percentage of compounds in treatments</w:t>
                            </w:r>
                          </w:p>
                          <w:p w:rsidR="00DA32C8" w:rsidRDefault="00DA32C8" w:rsidP="00DA32C8"/>
                        </w:txbxContent>
                      </v:textbox>
                      <w10:wrap anchorx="page"/>
                    </v:rect>
                  </w:pict>
                </mc:Fallback>
              </mc:AlternateConten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4" w:type="dxa"/>
            <w:vMerge w:val="restart"/>
            <w:vAlign w:val="center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Constituent</w:t>
            </w:r>
          </w:p>
        </w:tc>
        <w:tc>
          <w:tcPr>
            <w:tcW w:w="619" w:type="dxa"/>
            <w:vMerge w:val="restart"/>
            <w:vAlign w:val="center"/>
          </w:tcPr>
          <w:p w:rsidR="00DA32C8" w:rsidRPr="00A32DF1" w:rsidRDefault="00DA32C8" w:rsidP="00570A62">
            <w:pPr>
              <w:ind w:left="-765"/>
              <w:jc w:val="center"/>
              <w:rPr>
                <w:rFonts w:asciiTheme="majorBidi" w:hAnsiTheme="majorBidi" w:cstheme="majorBidi"/>
                <w:b/>
                <w:bCs/>
                <w:sz w:val="18"/>
                <w:szCs w:val="18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8"/>
                <w:szCs w:val="18"/>
              </w:rPr>
              <w:t>Raw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  <w:vMerge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vMerge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  <w:vMerge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414" w:type="dxa"/>
            <w:vMerge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248" w:type="dxa"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1984" w:type="dxa"/>
            <w:vMerge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19" w:type="dxa"/>
            <w:vMerge/>
          </w:tcPr>
          <w:p w:rsidR="00DA32C8" w:rsidRPr="00A32DF1" w:rsidRDefault="00DA32C8" w:rsidP="00570A62">
            <w:pPr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  <w:vMerge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567" w:type="dxa"/>
            <w:vMerge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414" w:type="dxa"/>
            <w:vMerge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Mg/RGO   100 mg/L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DA32C8" w:rsidRPr="00A32DF1" w:rsidRDefault="00DA32C8" w:rsidP="00570A62">
            <w:pPr>
              <w:ind w:left="-104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Mg/RGO   50 mg/L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Mg/RGO   25 mg/L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RGO   100 mg/L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DA32C8" w:rsidRPr="00A32DF1" w:rsidRDefault="00DA32C8" w:rsidP="00570A62">
            <w:pPr>
              <w:ind w:left="-75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RGO   50 mg/L</w:t>
            </w:r>
          </w:p>
        </w:tc>
        <w:tc>
          <w:tcPr>
            <w:tcW w:w="964" w:type="dxa"/>
            <w:tcBorders>
              <w:top w:val="single" w:sz="4" w:space="0" w:color="auto"/>
              <w:bottom w:val="single" w:sz="4" w:space="0" w:color="auto"/>
            </w:tcBorders>
          </w:tcPr>
          <w:p w:rsidR="00DA32C8" w:rsidRPr="00A32DF1" w:rsidRDefault="00DA32C8" w:rsidP="00570A62">
            <w:pPr>
              <w:ind w:left="-104" w:hanging="41"/>
              <w:jc w:val="center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RGO   25 mg/L</w:t>
            </w:r>
          </w:p>
        </w:tc>
        <w:tc>
          <w:tcPr>
            <w:tcW w:w="1248" w:type="dxa"/>
            <w:tcBorders>
              <w:top w:val="single" w:sz="4" w:space="0" w:color="auto"/>
              <w:bottom w:val="single" w:sz="4" w:space="0" w:color="auto"/>
            </w:tcBorders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Control</w:t>
            </w:r>
          </w:p>
        </w:tc>
        <w:tc>
          <w:tcPr>
            <w:tcW w:w="1984" w:type="dxa"/>
            <w:vMerge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619" w:type="dxa"/>
            <w:vMerge/>
            <w:tcBorders>
              <w:bottom w:val="single" w:sz="4" w:space="0" w:color="auto"/>
            </w:tcBorders>
          </w:tcPr>
          <w:p w:rsidR="00DA32C8" w:rsidRPr="00A32DF1" w:rsidRDefault="00DA32C8" w:rsidP="00570A62">
            <w:pPr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930</w:t>
            </w:r>
          </w:p>
        </w:tc>
        <w:tc>
          <w:tcPr>
            <w:tcW w:w="567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928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6.62</w:t>
            </w:r>
          </w:p>
        </w:tc>
        <w:tc>
          <w:tcPr>
            <w:tcW w:w="2414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0.72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α-Thujene</w:t>
            </w:r>
          </w:p>
        </w:tc>
        <w:tc>
          <w:tcPr>
            <w:tcW w:w="619" w:type="dxa"/>
            <w:tcBorders>
              <w:top w:val="single" w:sz="4" w:space="0" w:color="auto"/>
              <w:bottom w:val="nil"/>
            </w:tcBorders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  <w:tcBorders>
              <w:top w:val="nil"/>
            </w:tcBorders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939</w:t>
            </w:r>
          </w:p>
        </w:tc>
        <w:tc>
          <w:tcPr>
            <w:tcW w:w="567" w:type="dxa"/>
            <w:tcBorders>
              <w:top w:val="nil"/>
            </w:tcBorders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938</w:t>
            </w:r>
          </w:p>
        </w:tc>
        <w:tc>
          <w:tcPr>
            <w:tcW w:w="709" w:type="dxa"/>
            <w:tcBorders>
              <w:top w:val="nil"/>
            </w:tcBorders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6.81</w:t>
            </w:r>
          </w:p>
        </w:tc>
        <w:tc>
          <w:tcPr>
            <w:tcW w:w="2414" w:type="dxa"/>
            <w:tcBorders>
              <w:top w:val="nil"/>
            </w:tcBorders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  <w:tcBorders>
              <w:top w:val="nil"/>
            </w:tcBorders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  <w:tcBorders>
              <w:top w:val="nil"/>
            </w:tcBorders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  <w:tcBorders>
              <w:top w:val="nil"/>
            </w:tcBorders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16.48</w:t>
            </w:r>
          </w:p>
        </w:tc>
        <w:tc>
          <w:tcPr>
            <w:tcW w:w="964" w:type="dxa"/>
            <w:tcBorders>
              <w:top w:val="nil"/>
            </w:tcBorders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  <w:tcBorders>
              <w:top w:val="nil"/>
            </w:tcBorders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  <w:tcBorders>
              <w:top w:val="nil"/>
            </w:tcBorders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  <w:tcBorders>
              <w:top w:val="nil"/>
            </w:tcBorders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  <w:tcBorders>
              <w:top w:val="nil"/>
            </w:tcBorders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α-Pinene</w:t>
            </w:r>
          </w:p>
        </w:tc>
        <w:tc>
          <w:tcPr>
            <w:tcW w:w="619" w:type="dxa"/>
            <w:tcBorders>
              <w:top w:val="nil"/>
            </w:tcBorders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947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939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6.86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Aromatic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Allyl benzene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952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956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7.17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0.96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Sabinene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979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982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7.71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0.04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5.77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β-Pinene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5  </w:t>
            </w: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 xml:space="preserve">   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987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984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7.75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6.67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β-Myrcene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1003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989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7.80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0.33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α-Phellandrene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1008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993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7.91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3-Carene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1018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1004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8.13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α-Terpinene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1024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1006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8.15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0.18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p-Cymene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1026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1011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8.20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m-Cymene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1028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1014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8.25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7.34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β-Phellandrene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1030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1016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8.29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1,8-Cineole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lastRenderedPageBreak/>
              <w:t>1038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1024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8.43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1.65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cis-Ocimene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1047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1039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8.71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0.03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cis-Sabinene hydrate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1065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1046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8.80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γ-Terpinene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1083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1078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9.36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Hydrocarbon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α-Terpinolene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1098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1086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9.50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1.19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Linalool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1127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1115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10.03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α-Campholenal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1175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1167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10.97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(-)-Terpinen-4-ol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1180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1181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11.23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0.44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α-Terpineol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1231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1226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12.22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Nerol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1235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1232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12.37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0.04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Thymol methyl ether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1244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1233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12.39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46.40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3.15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L-Carvone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1250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1261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13.08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Geraniol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1290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1297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13.96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32.36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37.01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1.00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28.05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0.80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175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26.72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Thymol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1311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1307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14.19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2.55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1.22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1.31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175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21.60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Carvacrol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1332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1326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14.58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32.54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175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9.63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o-Cymen-5-ol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1357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1360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15.31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Thymyl acetate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29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1366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1365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15.40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Piperitenone oxide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1375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1370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15.51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1.03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α-Copaene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1380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1375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15.62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1.53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1.84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Geranyl acetate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1382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1383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15.78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β-Bourbonene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1389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1388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15.89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β-Elemene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1408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1400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16.14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(-)-α-Cedrene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1418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1415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16.47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trans-Caryophyllene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1419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1424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16.67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β-Cubebene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1430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1424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16.68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8.35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Neryl propanoate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1440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1427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16.74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trans-α-Bergamotene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39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1461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1447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17.19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1.41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trans-β-Farnesene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1480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1469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17.69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7.54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Germacrene D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1513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1489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18.14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0.93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γ-Cadinene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1482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1492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18.20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α-Amorphene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1494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1493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18.23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Bicyclogermacrene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1510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1500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18.40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1.69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Bicyclo[4.4.0]dec-1-ene, 2-isopropyl-5-methyl-9-methylene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lastRenderedPageBreak/>
              <w:t>1514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1503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18.46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β-Bisabolene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1518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1520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18.92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β -Cadinene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1521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18.93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Alkaloid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1,2-Benzisothiazole-3-propanoic acid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1519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1521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18.94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0.53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Cycloisolongifol-5-ol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49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1524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1521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18.95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1.46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0.44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δ-Cadinene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1532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1525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19.05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γ-Selinene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1533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1526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19.07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α-Cadinene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1535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1529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19.16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0.14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Nerolidol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1566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1554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19.82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0.61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Dodecanoic acid;Lauric acid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1572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1574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20.34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0.75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(-)-Spathulenol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1578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1578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20.44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0.28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1.27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(+)-Spathulenol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1580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1582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20.56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(-)-Caryophyllene oxide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1603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 xml:space="preserve">1585   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20.64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Salvial-4(14)-en-1-one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1605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1587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20.69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Sesquisabinene hydrate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59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1609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1591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20.80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0.55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Veridiflorol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1611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1594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20.89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Geranyl isovalerate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1612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21.30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1-(5(methyl-2-furanyl)-1-buten-3-one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1641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1636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21.83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0.76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τ-Muurolol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1642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21.95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Phenolic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0.65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Terbutaline derivative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1650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1642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21.96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0.08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1.06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τ-Cadinol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65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1653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1650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22.14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2.17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α-Cadinol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1654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1663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22.43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Benzene, 1-(1-formylethyl)-4-(1-buten-3-yl)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1669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1669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22.55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0.60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0.30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Valeranone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1681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1679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22.78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2.59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α-Bisabolol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69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1756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1747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24.13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 monoterpene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0.18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Geranyl hexanoate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1758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1756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24.31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2.90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Tetradecanoic acid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1789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24.93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0.16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Octadecane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1821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25.50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Substituted aromatic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0.45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Benzamide, N-(1,1-dimethylethyl)-4-methoxy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1839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1825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25.56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Cyclopentadecanone,2-hydroxy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1841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1830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25.64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diterpene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Neophytadiene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lastRenderedPageBreak/>
              <w:t>1847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1836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25.75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diterpene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2.26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2-Pentadecanone,6,10,14-trimethyl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1847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1839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25.79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sesquiterpene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Hexahydrofarnesyl acetone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1868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1853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26.04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0.52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Pentadecanoic acid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1871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1862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26.19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Phenolic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1.64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Isobutyl phthalate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79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1882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26.53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0.44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Nonadecane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80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1906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1890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26.66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diterpene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1.33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Sclareoloxide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81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1901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26.84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Phenolic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0.45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Phenylacetic acid, 2-(1-adamantyl)ethyl ester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1955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1940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27.44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Substituted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Style w:val="fontstyle01"/>
                <w:rFonts w:asciiTheme="majorBidi" w:hAnsiTheme="majorBidi" w:cstheme="majorBidi"/>
                <w:sz w:val="16"/>
                <w:szCs w:val="16"/>
              </w:rPr>
              <w:t>11,13-Dimethyl-12-tetradecen-1-ol acetate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83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1968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1945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27.52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3.40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0.73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Palmitic acid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1990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28.22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Substituted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1-Chlorooctadecane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85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1992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28.24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0.50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Eicosane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86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2002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1994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28.27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Heterocyclic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0.85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epi-13-Manoyl oxide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87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2032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28.84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Substituted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</w:t>
            </w:r>
          </w:p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1-Adamantyl-1,8-diaza-4-oxanonan-2,5,7-trione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88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2090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29.70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0.48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Heneicosane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89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2110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30.03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Phenolic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0.62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5,8-Dimethoxy-2-methyl-4H-naphtho[2,3-b]pyran-4,6,9-trione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90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2144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2126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30.31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4.79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Linolic acid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91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2128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30.35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diterpene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D-Homopregn-17a(20)-ene, (5.alpha.,17aE)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92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2152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30.77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Substituted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Androst-4-en-9,11-epoxy-3,17-dione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93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2148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2152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30.78</w:t>
            </w:r>
          </w:p>
        </w:tc>
        <w:tc>
          <w:tcPr>
            <w:tcW w:w="2414" w:type="dxa"/>
          </w:tcPr>
          <w:p w:rsidR="00DA32C8" w:rsidRPr="00A32DF1" w:rsidRDefault="00DA32C8" w:rsidP="00570A62"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diterpene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1.80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Phytol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2172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2153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30.79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Heneicosane,3-methyl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95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2178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2154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30.81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Fatty acid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2.14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Stearic acid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2200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2192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31.48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Docosane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97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2268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32.94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diterpene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(12R)-13(16),14-Labdadien-8,12-epoxide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98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2300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2292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33.42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Tricosane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99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2349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34.40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shd w:val="clear" w:color="auto" w:fill="FFFFFF"/>
              </w:rPr>
              <w:t>Heterocyclic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Thiophene,2-nonadecyl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2364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2367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34.72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Substituted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1-Bromoeicosane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2391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35.12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Phenolic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2-Cyclohexylethyl isobutyl phthalate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2400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2393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35.15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0.22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Tetracosane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2399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35.26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Steroid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0.07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14-β-H-Pregna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lastRenderedPageBreak/>
              <w:t>2500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2495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36.71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2.26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Pentacosane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2550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2575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37.79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Phenolic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23.47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42.0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18.31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1.29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24.79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175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19.97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Bis-(2-ethylhexyl)phthalate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2600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2597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38.10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0.73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Hexacosane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2599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38.12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Octadecane, 3-ethyl-5-(2-ethylbutyl)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108</w:t>
            </w:r>
            <w:bookmarkStart w:id="0" w:name="_GoBack"/>
            <w:bookmarkEnd w:id="0"/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2666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38.95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Alkaloid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Kopsinyl alcohol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109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2700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2704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39.43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3.66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10.13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Heptacosane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110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2741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2725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39.67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Phenolic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57.92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0.44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Di-n-octyl phthalate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111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2726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39.68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Phenolic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0.57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0.20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5.65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1.55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0.53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Diisooctyl phthalate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112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2755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40.01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Alkaloid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0.34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7,11b-Diphenylpiperidino[2,1-a]phthalazine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113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2858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2802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40.55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sz w:val="16"/>
                <w:szCs w:val="16"/>
              </w:rPr>
              <w:t>Oxygenated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 xml:space="preserve"> triterpene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30.13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Friedelan-3-one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114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2812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40.66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1.10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Octacosane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115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2836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2845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41.02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Style w:val="shorttext"/>
                <w:rFonts w:asciiTheme="majorBidi" w:hAnsiTheme="majorBidi" w:cstheme="majorBidi"/>
                <w:sz w:val="16"/>
                <w:szCs w:val="16"/>
                <w:lang w:val="en"/>
              </w:rPr>
              <w:t xml:space="preserve">Hydrocarbon </w:t>
            </w:r>
            <w:r w:rsidRPr="00A32DF1">
              <w:rPr>
                <w:rFonts w:asciiTheme="majorBidi" w:hAnsiTheme="majorBidi" w:cstheme="majorBidi"/>
                <w:sz w:val="16"/>
                <w:szCs w:val="16"/>
              </w:rPr>
              <w:t>triterpene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0.75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Squalene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116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2900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41.88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Aliphatic hydrocarbon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0.69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3.56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10.74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Nonacosane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117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  <w:t>_</w:t>
            </w: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b/>
                <w:bCs/>
                <w:sz w:val="16"/>
                <w:szCs w:val="16"/>
              </w:rPr>
              <w:t>45.04</w:t>
            </w:r>
          </w:p>
        </w:tc>
        <w:tc>
          <w:tcPr>
            <w:tcW w:w="2414" w:type="dxa"/>
          </w:tcPr>
          <w:p w:rsidR="00DA32C8" w:rsidRPr="00A32DF1" w:rsidRDefault="00DA32C8" w:rsidP="00570A62">
            <w:pPr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Phenolic compound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0.1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312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  <w:rtl/>
              </w:rPr>
              <w:t>_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Merochlorophaeic Acid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  <w:t>118</w:t>
            </w:r>
          </w:p>
        </w:tc>
      </w:tr>
      <w:tr w:rsidR="00DA32C8" w:rsidRPr="00A32DF1" w:rsidTr="00DA32C8">
        <w:trPr>
          <w:trHeight w:val="57"/>
          <w:jc w:val="center"/>
        </w:trPr>
        <w:tc>
          <w:tcPr>
            <w:tcW w:w="798" w:type="dxa"/>
          </w:tcPr>
          <w:p w:rsidR="00DA32C8" w:rsidRPr="00A32DF1" w:rsidRDefault="00DA32C8" w:rsidP="00570A62">
            <w:pPr>
              <w:ind w:left="-725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567" w:type="dxa"/>
          </w:tcPr>
          <w:p w:rsidR="00DA32C8" w:rsidRPr="00A32DF1" w:rsidRDefault="00DA32C8" w:rsidP="00570A62">
            <w:pPr>
              <w:ind w:left="-780"/>
              <w:rPr>
                <w:rFonts w:asciiTheme="majorBidi" w:hAnsiTheme="majorBidi" w:cstheme="majorBidi"/>
                <w:b/>
                <w:bCs/>
                <w:sz w:val="16"/>
                <w:szCs w:val="16"/>
                <w:rtl/>
              </w:rPr>
            </w:pPr>
          </w:p>
        </w:tc>
        <w:tc>
          <w:tcPr>
            <w:tcW w:w="709" w:type="dxa"/>
          </w:tcPr>
          <w:p w:rsidR="00DA32C8" w:rsidRPr="00A32DF1" w:rsidRDefault="00DA32C8" w:rsidP="00570A62">
            <w:pPr>
              <w:ind w:left="-762"/>
              <w:rPr>
                <w:rFonts w:asciiTheme="majorBidi" w:hAnsiTheme="majorBidi" w:cstheme="majorBidi"/>
                <w:b/>
                <w:bCs/>
                <w:sz w:val="16"/>
                <w:szCs w:val="16"/>
              </w:rPr>
            </w:pPr>
          </w:p>
        </w:tc>
        <w:tc>
          <w:tcPr>
            <w:tcW w:w="2414" w:type="dxa"/>
          </w:tcPr>
          <w:p w:rsidR="00DA32C8" w:rsidRPr="00A32DF1" w:rsidRDefault="00DA32C8" w:rsidP="00570A62">
            <w:pPr>
              <w:jc w:val="lowKashida"/>
              <w:rPr>
                <w:rFonts w:asciiTheme="majorBidi" w:eastAsia="Times New Roman" w:hAnsiTheme="majorBidi" w:cstheme="majorBidi"/>
                <w:sz w:val="16"/>
                <w:szCs w:val="16"/>
              </w:rPr>
            </w:pPr>
          </w:p>
        </w:tc>
        <w:tc>
          <w:tcPr>
            <w:tcW w:w="964" w:type="dxa"/>
          </w:tcPr>
          <w:p w:rsidR="00DA32C8" w:rsidRPr="00A32DF1" w:rsidRDefault="00DA32C8" w:rsidP="00570A62">
            <w:pPr>
              <w:ind w:hanging="1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93.02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250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92.20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145" w:firstLine="24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97.81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8" w:firstLine="15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92.76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45" w:firstLine="708"/>
              <w:jc w:val="center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96.15</w:t>
            </w:r>
          </w:p>
        </w:tc>
        <w:tc>
          <w:tcPr>
            <w:tcW w:w="964" w:type="dxa"/>
          </w:tcPr>
          <w:p w:rsidR="00DA32C8" w:rsidRPr="00A32DF1" w:rsidRDefault="00DA32C8" w:rsidP="00570A62">
            <w:pPr>
              <w:ind w:left="-771"/>
              <w:jc w:val="center"/>
              <w:rPr>
                <w:rFonts w:asciiTheme="majorBidi" w:hAnsiTheme="majorBidi" w:cstheme="majorBidi"/>
                <w:sz w:val="16"/>
                <w:szCs w:val="16"/>
                <w:rtl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84.15</w:t>
            </w:r>
          </w:p>
        </w:tc>
        <w:tc>
          <w:tcPr>
            <w:tcW w:w="1248" w:type="dxa"/>
          </w:tcPr>
          <w:p w:rsidR="00DA32C8" w:rsidRPr="00A32DF1" w:rsidRDefault="00DA32C8" w:rsidP="00570A62">
            <w:pPr>
              <w:ind w:firstLine="10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hAnsiTheme="majorBidi" w:cstheme="majorBidi"/>
                <w:sz w:val="16"/>
                <w:szCs w:val="16"/>
              </w:rPr>
              <w:t>78.82</w:t>
            </w:r>
          </w:p>
        </w:tc>
        <w:tc>
          <w:tcPr>
            <w:tcW w:w="1984" w:type="dxa"/>
          </w:tcPr>
          <w:p w:rsidR="00DA32C8" w:rsidRPr="00A32DF1" w:rsidRDefault="00DA32C8" w:rsidP="00570A62">
            <w:pPr>
              <w:ind w:firstLine="34"/>
              <w:rPr>
                <w:rFonts w:asciiTheme="majorBidi" w:hAnsiTheme="majorBidi" w:cstheme="majorBidi"/>
                <w:sz w:val="16"/>
                <w:szCs w:val="16"/>
              </w:rPr>
            </w:pPr>
            <w:r w:rsidRPr="00A32DF1">
              <w:rPr>
                <w:rFonts w:asciiTheme="majorBidi" w:eastAsia="Times New Roman" w:hAnsiTheme="majorBidi" w:cstheme="majorBidi"/>
                <w:color w:val="000000"/>
                <w:sz w:val="16"/>
                <w:szCs w:val="16"/>
              </w:rPr>
              <w:t>Total Identification</w:t>
            </w:r>
          </w:p>
        </w:tc>
        <w:tc>
          <w:tcPr>
            <w:tcW w:w="619" w:type="dxa"/>
          </w:tcPr>
          <w:p w:rsidR="00DA32C8" w:rsidRPr="00A32DF1" w:rsidRDefault="00DA32C8" w:rsidP="00570A62">
            <w:pPr>
              <w:spacing w:line="360" w:lineRule="auto"/>
              <w:ind w:left="-765"/>
              <w:rPr>
                <w:rFonts w:asciiTheme="majorBidi" w:eastAsia="Times New Roman" w:hAnsiTheme="majorBidi" w:cstheme="majorBidi"/>
                <w:b/>
                <w:bCs/>
                <w:color w:val="000000"/>
                <w:sz w:val="16"/>
                <w:szCs w:val="16"/>
              </w:rPr>
            </w:pPr>
          </w:p>
        </w:tc>
      </w:tr>
    </w:tbl>
    <w:p w:rsidR="00DA32C8" w:rsidRPr="00A32DF1" w:rsidRDefault="00DA32C8" w:rsidP="00DA32C8">
      <w:pPr>
        <w:bidi/>
        <w:jc w:val="right"/>
        <w:rPr>
          <w:rFonts w:asciiTheme="majorBidi" w:hAnsiTheme="majorBidi" w:cstheme="majorBidi"/>
          <w:sz w:val="20"/>
          <w:szCs w:val="20"/>
          <w:vertAlign w:val="superscript"/>
        </w:rPr>
      </w:pPr>
      <w:r w:rsidRPr="00A32DF1">
        <w:rPr>
          <w:rFonts w:asciiTheme="majorBidi" w:hAnsiTheme="majorBidi" w:cstheme="majorBidi"/>
          <w:sz w:val="20"/>
          <w:szCs w:val="20"/>
          <w:vertAlign w:val="superscript"/>
        </w:rPr>
        <w:t xml:space="preserve">RT </w:t>
      </w:r>
      <w:r w:rsidRPr="00A32DF1">
        <w:rPr>
          <w:rFonts w:asciiTheme="majorBidi" w:hAnsiTheme="majorBidi" w:cstheme="majorBidi"/>
          <w:sz w:val="20"/>
          <w:szCs w:val="20"/>
        </w:rPr>
        <w:t>Retention time.</w:t>
      </w:r>
    </w:p>
    <w:p w:rsidR="00DA32C8" w:rsidRPr="00A32DF1" w:rsidRDefault="00DA32C8" w:rsidP="00DA32C8">
      <w:pPr>
        <w:bidi/>
        <w:jc w:val="right"/>
        <w:rPr>
          <w:rFonts w:asciiTheme="majorBidi" w:hAnsiTheme="majorBidi" w:cstheme="majorBidi"/>
          <w:sz w:val="20"/>
          <w:szCs w:val="20"/>
          <w:rtl/>
        </w:rPr>
      </w:pPr>
      <w:r w:rsidRPr="00A32DF1">
        <w:rPr>
          <w:rFonts w:asciiTheme="majorBidi" w:hAnsiTheme="majorBidi" w:cstheme="majorBidi"/>
          <w:sz w:val="20"/>
          <w:szCs w:val="20"/>
          <w:vertAlign w:val="superscript"/>
        </w:rPr>
        <w:t>RI</w:t>
      </w:r>
      <w:r w:rsidRPr="00A32DF1">
        <w:rPr>
          <w:rFonts w:asciiTheme="majorBidi" w:hAnsiTheme="majorBidi" w:cstheme="majorBidi"/>
          <w:sz w:val="20"/>
          <w:szCs w:val="20"/>
        </w:rPr>
        <w:t xml:space="preserve"> Retention index.</w:t>
      </w:r>
    </w:p>
    <w:p w:rsidR="00DA32C8" w:rsidRPr="00A32DF1" w:rsidRDefault="00DA32C8" w:rsidP="00DA32C8">
      <w:pPr>
        <w:bidi/>
        <w:jc w:val="right"/>
        <w:rPr>
          <w:rFonts w:asciiTheme="majorBidi" w:hAnsiTheme="majorBidi" w:cstheme="majorBidi"/>
          <w:sz w:val="20"/>
          <w:szCs w:val="20"/>
        </w:rPr>
      </w:pPr>
      <w:r w:rsidRPr="00A32DF1">
        <w:rPr>
          <w:rFonts w:asciiTheme="majorBidi" w:hAnsiTheme="majorBidi" w:cstheme="majorBidi"/>
          <w:sz w:val="20"/>
          <w:szCs w:val="20"/>
          <w:vertAlign w:val="superscript"/>
        </w:rPr>
        <w:t>a</w:t>
      </w:r>
      <w:r w:rsidRPr="00A32DF1">
        <w:rPr>
          <w:rFonts w:asciiTheme="majorBidi" w:hAnsiTheme="majorBidi" w:cstheme="majorBidi"/>
          <w:sz w:val="20"/>
          <w:szCs w:val="20"/>
        </w:rPr>
        <w:t xml:space="preserve"> Retention indices of each component were collected from the literature for column HP-5MS.</w:t>
      </w:r>
    </w:p>
    <w:p w:rsidR="00DA32C8" w:rsidRPr="00A32DF1" w:rsidRDefault="00DA32C8" w:rsidP="00DA32C8">
      <w:pPr>
        <w:spacing w:line="480" w:lineRule="auto"/>
        <w:rPr>
          <w:rFonts w:asciiTheme="majorBidi" w:hAnsiTheme="majorBidi" w:cstheme="majorBidi"/>
          <w:sz w:val="20"/>
          <w:szCs w:val="20"/>
        </w:rPr>
      </w:pPr>
      <w:r w:rsidRPr="00A32DF1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A32DF1">
        <w:rPr>
          <w:rFonts w:asciiTheme="majorBidi" w:hAnsiTheme="majorBidi" w:cstheme="majorBidi"/>
          <w:sz w:val="20"/>
          <w:szCs w:val="20"/>
        </w:rPr>
        <w:t xml:space="preserve"> As identified by GC–MS software; names according to NIST mass spectral library, and by comparing their retention indices.</w:t>
      </w:r>
    </w:p>
    <w:p w:rsidR="00DA32C8" w:rsidRPr="00A32DF1" w:rsidRDefault="00DA32C8" w:rsidP="00DA32C8">
      <w:pPr>
        <w:spacing w:line="480" w:lineRule="auto"/>
        <w:rPr>
          <w:rFonts w:asciiTheme="majorBidi" w:hAnsiTheme="majorBidi" w:cstheme="majorBidi"/>
          <w:sz w:val="20"/>
          <w:szCs w:val="20"/>
        </w:rPr>
      </w:pPr>
      <w:r w:rsidRPr="00A32DF1">
        <w:rPr>
          <w:rFonts w:asciiTheme="majorBidi" w:hAnsiTheme="majorBidi" w:cstheme="majorBidi"/>
          <w:sz w:val="20"/>
          <w:szCs w:val="20"/>
          <w:vertAlign w:val="superscript"/>
        </w:rPr>
        <w:t>b</w:t>
      </w:r>
      <w:r w:rsidRPr="00A32DF1">
        <w:rPr>
          <w:rFonts w:asciiTheme="majorBidi" w:hAnsiTheme="majorBidi" w:cstheme="majorBidi"/>
          <w:sz w:val="20"/>
          <w:szCs w:val="20"/>
        </w:rPr>
        <w:t xml:space="preserve"> As identified by GC–MS software; names according to NIST mass spectral library, and by comparing their retention indices.</w:t>
      </w: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</w:p>
    <w:p w:rsidR="00DA32C8" w:rsidRDefault="00DA32C8" w:rsidP="00DA32C8">
      <w:pPr>
        <w:bidi/>
        <w:jc w:val="right"/>
        <w:rPr>
          <w:rFonts w:asciiTheme="majorBidi" w:hAnsiTheme="majorBidi" w:cstheme="majorBidi"/>
          <w:sz w:val="20"/>
          <w:szCs w:val="20"/>
        </w:rPr>
      </w:pPr>
      <w:r w:rsidRPr="005C10D1">
        <w:rPr>
          <w:rFonts w:asciiTheme="majorBidi" w:hAnsiTheme="majorBidi" w:cstheme="majorBidi"/>
          <w:b/>
          <w:bCs/>
          <w:sz w:val="20"/>
          <w:szCs w:val="20"/>
        </w:rPr>
        <w:t>Table 5</w:t>
      </w:r>
      <w:r w:rsidRPr="005C10D1">
        <w:rPr>
          <w:rFonts w:asciiTheme="majorBidi" w:hAnsiTheme="majorBidi" w:cstheme="majorBidi"/>
          <w:sz w:val="20"/>
          <w:szCs w:val="20"/>
        </w:rPr>
        <w:t xml:space="preserve"> </w:t>
      </w:r>
    </w:p>
    <w:p w:rsidR="00DA32C8" w:rsidRPr="005C10D1" w:rsidRDefault="00DA32C8" w:rsidP="00DA32C8">
      <w:pPr>
        <w:bidi/>
        <w:jc w:val="right"/>
        <w:rPr>
          <w:rFonts w:asciiTheme="majorBidi" w:hAnsiTheme="majorBidi" w:cstheme="majorBidi"/>
          <w:sz w:val="20"/>
          <w:szCs w:val="20"/>
        </w:rPr>
      </w:pPr>
      <w:r w:rsidRPr="005C10D1">
        <w:rPr>
          <w:rFonts w:asciiTheme="majorBidi" w:hAnsiTheme="majorBidi" w:cstheme="majorBidi"/>
          <w:sz w:val="20"/>
          <w:szCs w:val="20"/>
        </w:rPr>
        <w:t xml:space="preserve">Classification of the volatile compounds of the shoot cultures of </w:t>
      </w:r>
      <w:r w:rsidRPr="005C10D1">
        <w:rPr>
          <w:rFonts w:asciiTheme="majorBidi" w:hAnsiTheme="majorBidi" w:cstheme="majorBidi"/>
          <w:i/>
          <w:iCs/>
          <w:sz w:val="20"/>
          <w:szCs w:val="20"/>
        </w:rPr>
        <w:t>M. longifolia</w:t>
      </w:r>
      <w:r w:rsidRPr="005C10D1">
        <w:rPr>
          <w:rFonts w:asciiTheme="majorBidi" w:hAnsiTheme="majorBidi" w:cstheme="majorBidi"/>
          <w:sz w:val="20"/>
          <w:szCs w:val="20"/>
        </w:rPr>
        <w:t xml:space="preserve"> under rGO and Mg/rGO NCs treatments</w:t>
      </w:r>
    </w:p>
    <w:tbl>
      <w:tblPr>
        <w:tblStyle w:val="TableGrid12"/>
        <w:bidiVisual/>
        <w:tblW w:w="11303" w:type="dxa"/>
        <w:jc w:val="righ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63"/>
        <w:gridCol w:w="1063"/>
        <w:gridCol w:w="1064"/>
        <w:gridCol w:w="1064"/>
        <w:gridCol w:w="1063"/>
        <w:gridCol w:w="1064"/>
        <w:gridCol w:w="893"/>
        <w:gridCol w:w="4029"/>
      </w:tblGrid>
      <w:tr w:rsidR="00DA32C8" w:rsidRPr="005C10D1" w:rsidTr="00570A62">
        <w:trPr>
          <w:trHeight w:val="359"/>
          <w:jc w:val="right"/>
        </w:trPr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70AD47" w:themeFill="accent6"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70AD47" w:themeFill="accent6"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70AD47" w:themeFill="accent6"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70AD47" w:themeFill="accent6"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  <w:rtl/>
              </w:rPr>
            </w:pP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70AD47" w:themeFill="accent6"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noProof/>
                <w:sz w:val="20"/>
                <w:szCs w:val="20"/>
                <w:lang w:bidi="ar-SA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583C39D9" wp14:editId="19840EF4">
                      <wp:simplePos x="0" y="0"/>
                      <wp:positionH relativeFrom="page">
                        <wp:posOffset>421004</wp:posOffset>
                      </wp:positionH>
                      <wp:positionV relativeFrom="paragraph">
                        <wp:posOffset>5715</wp:posOffset>
                      </wp:positionV>
                      <wp:extent cx="3343275" cy="294005"/>
                      <wp:effectExtent l="0" t="0" r="0" b="0"/>
                      <wp:wrapNone/>
                      <wp:docPr id="3" name="Rectangl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343275" cy="29400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>
                                <a:schemeClr val="accent6"/>
                              </a:fontRef>
                            </wps:style>
                            <wps:txbx>
                              <w:txbxContent>
                                <w:p w:rsidR="00DA32C8" w:rsidRPr="00471DCA" w:rsidRDefault="00DA32C8" w:rsidP="00DA32C8">
                                  <w:pPr>
                                    <w:rPr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rtl/>
                                    </w:rPr>
                                  </w:pPr>
                                  <w:r w:rsidRPr="00471DCA">
                                    <w:rPr>
                                      <w:rFonts w:asciiTheme="majorBidi" w:hAnsiTheme="majorBidi" w:cs="B Nazanin"/>
                                      <w:b/>
                                      <w:bCs/>
                                      <w:color w:val="000000" w:themeColor="text1"/>
                                      <w:sz w:val="20"/>
                                      <w:szCs w:val="20"/>
                                      <w:lang w:val="en"/>
                                    </w:rPr>
                                    <w:t>Percentage of compounds in treatments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83C39D9" id="Rectangle 3" o:spid="_x0000_s1027" style="position:absolute;margin-left:33.15pt;margin-top:.45pt;width:263.25pt;height:23.1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" filled="f" stroked="f">
                      <v:textbox>
                        <w:txbxContent>
                          <w:p w:rsidR="00DA32C8" w:rsidRPr="00471DCA" w:rsidRDefault="00DA32C8" w:rsidP="00DA32C8">
                            <w:pPr>
                              <w:rPr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rtl/>
                              </w:rPr>
                            </w:pPr>
                            <w:r w:rsidRPr="00471DCA">
                              <w:rPr>
                                <w:rFonts w:asciiTheme="majorBidi" w:hAnsiTheme="majorBidi" w:cs="B Nazanin"/>
                                <w:b/>
                                <w:bCs/>
                                <w:color w:val="000000" w:themeColor="text1"/>
                                <w:sz w:val="20"/>
                                <w:szCs w:val="20"/>
                                <w:lang w:val="en"/>
                              </w:rPr>
                              <w:t>Percentage of compounds in treatments</w:t>
                            </w:r>
                          </w:p>
                        </w:txbxContent>
                      </v:textbox>
                      <w10:wrap anchorx="page"/>
                    </v:rect>
                  </w:pict>
                </mc:Fallback>
              </mc:AlternateContent>
            </w:r>
          </w:p>
        </w:tc>
        <w:tc>
          <w:tcPr>
            <w:tcW w:w="4029" w:type="dxa"/>
            <w:vMerge w:val="restart"/>
            <w:tcBorders>
              <w:top w:val="single" w:sz="4" w:space="0" w:color="auto"/>
            </w:tcBorders>
            <w:shd w:val="clear" w:color="auto" w:fill="70AD47" w:themeFill="accent6"/>
            <w:noWrap/>
            <w:vAlign w:val="center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Constituent</w:t>
            </w:r>
          </w:p>
        </w:tc>
      </w:tr>
      <w:tr w:rsidR="00DA32C8" w:rsidRPr="005C10D1" w:rsidTr="00570A62">
        <w:trPr>
          <w:trHeight w:val="359"/>
          <w:jc w:val="right"/>
        </w:trPr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3399"/>
          </w:tcPr>
          <w:p w:rsidR="00DA32C8" w:rsidRPr="005C10D1" w:rsidRDefault="00DA32C8" w:rsidP="00570A62">
            <w:pPr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Mg/RGO   100 mg/L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3399"/>
          </w:tcPr>
          <w:p w:rsidR="00DA32C8" w:rsidRPr="005C10D1" w:rsidRDefault="00DA32C8" w:rsidP="00570A62">
            <w:pPr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Mg/RGO   50 mg/L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FF3399"/>
          </w:tcPr>
          <w:p w:rsidR="00DA32C8" w:rsidRPr="005C10D1" w:rsidRDefault="00DA32C8" w:rsidP="00570A62">
            <w:pPr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Mg/RGO   25 mg/L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RGO   100 mg/L</w:t>
            </w:r>
          </w:p>
        </w:tc>
        <w:tc>
          <w:tcPr>
            <w:tcW w:w="1063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RGO    50 mg/L</w:t>
            </w:r>
          </w:p>
        </w:tc>
        <w:tc>
          <w:tcPr>
            <w:tcW w:w="1064" w:type="dxa"/>
            <w:tcBorders>
              <w:top w:val="single" w:sz="4" w:space="0" w:color="auto"/>
              <w:bottom w:val="single" w:sz="4" w:space="0" w:color="auto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jc w:val="left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RGO    25 mg/L</w:t>
            </w:r>
          </w:p>
        </w:tc>
        <w:tc>
          <w:tcPr>
            <w:tcW w:w="893" w:type="dxa"/>
            <w:tcBorders>
              <w:top w:val="single" w:sz="4" w:space="0" w:color="auto"/>
              <w:bottom w:val="single" w:sz="4" w:space="0" w:color="auto"/>
            </w:tcBorders>
            <w:shd w:val="clear" w:color="auto" w:fill="FFC000"/>
            <w:noWrap/>
            <w:hideMark/>
          </w:tcPr>
          <w:p w:rsidR="00DA32C8" w:rsidRPr="005C10D1" w:rsidRDefault="00DA32C8" w:rsidP="00570A62">
            <w:pPr>
              <w:jc w:val="right"/>
              <w:rPr>
                <w:rFonts w:asciiTheme="majorBidi" w:hAnsiTheme="majorBidi" w:cstheme="majorBidi"/>
                <w:b/>
                <w:bCs/>
                <w:sz w:val="20"/>
                <w:szCs w:val="20"/>
                <w:rtl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4029" w:type="dxa"/>
            <w:vMerge/>
            <w:tcBorders>
              <w:bottom w:val="single" w:sz="4" w:space="0" w:color="auto"/>
            </w:tcBorders>
            <w:shd w:val="clear" w:color="auto" w:fill="70AD47" w:themeFill="accent6"/>
            <w:noWrap/>
            <w:vAlign w:val="bottom"/>
            <w:hideMark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0.19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0.28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Alkaloid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3.23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8.20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24.53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  <w:rtl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>Aliphatic hydrocarbons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  <w:rtl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</w:pPr>
            <w:r w:rsidRPr="00DB183F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Substituted </w:t>
            </w: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aliphatic hydrocarbon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0.31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>Aromatic hydrocarbons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0.45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</w:pPr>
            <w:r w:rsidRPr="00DB183F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>Substituted</w:t>
            </w: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 xml:space="preserve"> aromatic hydrocarbons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0.39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0.34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>Hydrocarbon</w:t>
            </w: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diterpenes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0.40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5.65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Oxygenated diterpenes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3.40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13.55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Fatty acids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107083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107083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DB183F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>Substituted</w:t>
            </w: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 xml:space="preserve"> </w:t>
            </w: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fatty acids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0.36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Oxygenated fatty acids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Heterocyclic compound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40.28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>Hydrocarbon</w:t>
            </w: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 xml:space="preserve"> monoterpenes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68.98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47.22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84.78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5.26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57.95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Oxygenated monoterpenes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24.04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42.97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18.67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6.40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60.76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27.40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20.42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>Phenolic compounds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1.34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15.37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0.51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2.13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 xml:space="preserve">Hydrocarbon </w:t>
            </w: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sesquiterpenes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1.52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4.24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0.46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8.03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Oxygenated sesquiterpenes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lastRenderedPageBreak/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107083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107083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hAnsiTheme="majorBidi" w:cstheme="majorBidi"/>
                <w:b/>
                <w:bCs/>
                <w:lang w:val="en"/>
              </w:rPr>
              <w:t>Steroids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nil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0.75</w:t>
            </w:r>
          </w:p>
        </w:tc>
        <w:tc>
          <w:tcPr>
            <w:tcW w:w="893" w:type="dxa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nil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>Hydrocarbon triterpenes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33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10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</w:rPr>
              <w:t>30.13</w:t>
            </w:r>
          </w:p>
        </w:tc>
        <w:tc>
          <w:tcPr>
            <w:tcW w:w="106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8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C000"/>
            <w:noWrap/>
          </w:tcPr>
          <w:p w:rsidR="00DA32C8" w:rsidRPr="00791486" w:rsidRDefault="00DA32C8" w:rsidP="00570A62">
            <w:pPr>
              <w:spacing w:line="360" w:lineRule="auto"/>
              <w:jc w:val="center"/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</w:pPr>
            <w:r w:rsidRPr="00791486">
              <w:rPr>
                <w:rFonts w:asciiTheme="majorBidi" w:eastAsia="Times New Roman" w:hAnsiTheme="majorBidi" w:cstheme="majorBidi"/>
                <w:b/>
                <w:bCs/>
                <w:color w:val="000000"/>
                <w:sz w:val="20"/>
                <w:szCs w:val="20"/>
                <w:vertAlign w:val="superscript"/>
              </w:rPr>
              <w:t>_</w:t>
            </w:r>
          </w:p>
        </w:tc>
        <w:tc>
          <w:tcPr>
            <w:tcW w:w="402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line="360" w:lineRule="auto"/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Oxygenated</w:t>
            </w: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  <w:lang w:val="en"/>
              </w:rPr>
              <w:t xml:space="preserve"> triterpenes</w:t>
            </w:r>
          </w:p>
        </w:tc>
      </w:tr>
      <w:tr w:rsidR="00DA32C8" w:rsidRPr="005C10D1" w:rsidTr="00570A6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59"/>
          <w:jc w:val="right"/>
        </w:trPr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93.02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92.20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3399"/>
          </w:tcPr>
          <w:p w:rsidR="00DA32C8" w:rsidRPr="005C10D1" w:rsidRDefault="00DA32C8" w:rsidP="00570A6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97.81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</w:tcPr>
          <w:p w:rsidR="00DA32C8" w:rsidRPr="005C10D1" w:rsidRDefault="00DA32C8" w:rsidP="00570A6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92.76</w:t>
            </w:r>
          </w:p>
        </w:tc>
        <w:tc>
          <w:tcPr>
            <w:tcW w:w="106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96.15</w:t>
            </w:r>
          </w:p>
        </w:tc>
        <w:tc>
          <w:tcPr>
            <w:tcW w:w="10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9CC2E5" w:themeFill="accent1" w:themeFillTint="99"/>
            <w:noWrap/>
          </w:tcPr>
          <w:p w:rsidR="00DA32C8" w:rsidRPr="005C10D1" w:rsidRDefault="00DA32C8" w:rsidP="00570A6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84.15</w:t>
            </w:r>
          </w:p>
        </w:tc>
        <w:tc>
          <w:tcPr>
            <w:tcW w:w="8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C000"/>
            <w:noWrap/>
          </w:tcPr>
          <w:p w:rsidR="00DA32C8" w:rsidRPr="005C10D1" w:rsidRDefault="00DA32C8" w:rsidP="00570A62">
            <w:pPr>
              <w:jc w:val="center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 w:rsidRPr="005C10D1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78.82</w:t>
            </w:r>
          </w:p>
        </w:tc>
        <w:tc>
          <w:tcPr>
            <w:tcW w:w="402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70AD47" w:themeFill="accent6"/>
            <w:noWrap/>
          </w:tcPr>
          <w:p w:rsidR="00DA32C8" w:rsidRPr="005C10D1" w:rsidRDefault="00DA32C8" w:rsidP="00570A62">
            <w:pPr>
              <w:spacing w:after="160" w:line="360" w:lineRule="auto"/>
              <w:jc w:val="left"/>
              <w:rPr>
                <w:rFonts w:asciiTheme="majorBidi" w:eastAsia="Times New Roman" w:hAnsiTheme="majorBidi" w:cstheme="majorBidi"/>
                <w:b/>
                <w:bCs/>
                <w:color w:val="000000"/>
              </w:rPr>
            </w:pPr>
            <w:r w:rsidRPr="005C10D1">
              <w:rPr>
                <w:rFonts w:asciiTheme="majorBidi" w:eastAsia="Times New Roman" w:hAnsiTheme="majorBidi" w:cstheme="majorBidi"/>
                <w:b/>
                <w:bCs/>
                <w:color w:val="000000"/>
              </w:rPr>
              <w:t>Total Identification</w:t>
            </w:r>
          </w:p>
        </w:tc>
      </w:tr>
    </w:tbl>
    <w:p w:rsidR="00000F57" w:rsidRDefault="00DA32C8"/>
    <w:sectPr w:rsidR="00000F57" w:rsidSect="00DA32C8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dvOTb83ee1dd.B">
    <w:altName w:val="Times New Roman"/>
    <w:panose1 w:val="00000000000000000000"/>
    <w:charset w:val="00"/>
    <w:family w:val="roman"/>
    <w:notTrueType/>
    <w:pitch w:val="default"/>
  </w:font>
  <w:font w:name="AdvOT863180fb">
    <w:altName w:val="Times New Roman"/>
    <w:panose1 w:val="00000000000000000000"/>
    <w:charset w:val="00"/>
    <w:family w:val="roman"/>
    <w:notTrueType/>
    <w:pitch w:val="default"/>
  </w:font>
  <w:font w:name="AdvTT5235d5a9+fb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 Nazanin">
    <w:altName w:val="B Nazanin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EA54A1"/>
    <w:multiLevelType w:val="hybridMultilevel"/>
    <w:tmpl w:val="59B256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D5408A0"/>
    <w:multiLevelType w:val="hybridMultilevel"/>
    <w:tmpl w:val="4440C3A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BC55C2"/>
    <w:multiLevelType w:val="hybridMultilevel"/>
    <w:tmpl w:val="80B626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9DC3EC1"/>
    <w:multiLevelType w:val="hybridMultilevel"/>
    <w:tmpl w:val="7DBAB402"/>
    <w:lvl w:ilvl="0" w:tplc="293AF910">
      <w:start w:val="1"/>
      <w:numFmt w:val="decimal"/>
      <w:lvlText w:val="[%1]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626972"/>
    <w:multiLevelType w:val="hybridMultilevel"/>
    <w:tmpl w:val="F22C2B9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9DE1193"/>
    <w:multiLevelType w:val="multilevel"/>
    <w:tmpl w:val="2F6CB602"/>
    <w:lvl w:ilvl="0">
      <w:start w:val="1"/>
      <w:numFmt w:val="decimal"/>
      <w:lvlText w:val="%1."/>
      <w:lvlJc w:val="left"/>
      <w:pPr>
        <w:ind w:left="792" w:hanging="360"/>
      </w:pPr>
      <w:rPr>
        <w:rFonts w:ascii="Times New Roman" w:hAnsi="Times New Roman" w:cstheme="minorBidi" w:hint="default"/>
        <w:b/>
      </w:rPr>
    </w:lvl>
    <w:lvl w:ilvl="1">
      <w:start w:val="1"/>
      <w:numFmt w:val="decimal"/>
      <w:isLgl/>
      <w:lvlText w:val="%1.%2."/>
      <w:lvlJc w:val="left"/>
      <w:pPr>
        <w:ind w:left="114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28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16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95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3888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536" w:hanging="1800"/>
      </w:pPr>
      <w:rPr>
        <w:rFonts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288"/>
    <w:rsid w:val="0007695B"/>
    <w:rsid w:val="005615C6"/>
    <w:rsid w:val="007D4061"/>
    <w:rsid w:val="008B4EED"/>
    <w:rsid w:val="008D7288"/>
    <w:rsid w:val="00DA32C8"/>
    <w:rsid w:val="00EF5283"/>
    <w:rsid w:val="00F830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D3099"/>
  <w15:chartTrackingRefBased/>
  <w15:docId w15:val="{BCD5A780-B266-47F1-AB6D-1C6FA18C8C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DA32C8"/>
    <w:pPr>
      <w:spacing w:after="0" w:line="240" w:lineRule="auto"/>
      <w:jc w:val="both"/>
    </w:pPr>
    <w:rPr>
      <w:rFonts w:eastAsiaTheme="minorEastAsia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DA32C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5">
    <w:name w:val="Table Grid5"/>
    <w:basedOn w:val="TableNormal"/>
    <w:next w:val="TableGrid"/>
    <w:uiPriority w:val="59"/>
    <w:rsid w:val="00DA32C8"/>
    <w:pPr>
      <w:spacing w:after="0" w:line="240" w:lineRule="auto"/>
      <w:jc w:val="both"/>
    </w:pPr>
    <w:rPr>
      <w:rFonts w:eastAsiaTheme="minorEastAsia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DA32C8"/>
    <w:pPr>
      <w:spacing w:after="0" w:line="240" w:lineRule="auto"/>
      <w:jc w:val="both"/>
    </w:pPr>
    <w:rPr>
      <w:rFonts w:eastAsiaTheme="minorEastAsia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DA32C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bidi="fa-IR"/>
    </w:rPr>
  </w:style>
  <w:style w:type="character" w:styleId="Hyperlink">
    <w:name w:val="Hyperlink"/>
    <w:basedOn w:val="DefaultParagraphFont"/>
    <w:uiPriority w:val="99"/>
    <w:unhideWhenUsed/>
    <w:rsid w:val="00DA32C8"/>
    <w:rPr>
      <w:color w:val="0563C1" w:themeColor="hyperlink"/>
      <w:u w:val="single"/>
    </w:rPr>
  </w:style>
  <w:style w:type="character" w:customStyle="1" w:styleId="shorttext">
    <w:name w:val="short_text"/>
    <w:basedOn w:val="DefaultParagraphFont"/>
    <w:rsid w:val="00DA32C8"/>
  </w:style>
  <w:style w:type="table" w:customStyle="1" w:styleId="TableGrid12">
    <w:name w:val="Table Grid12"/>
    <w:basedOn w:val="TableNormal"/>
    <w:next w:val="TableGrid"/>
    <w:uiPriority w:val="39"/>
    <w:rsid w:val="00DA32C8"/>
    <w:pPr>
      <w:spacing w:after="0" w:line="240" w:lineRule="auto"/>
      <w:jc w:val="both"/>
    </w:pPr>
    <w:rPr>
      <w:rFonts w:eastAsiaTheme="minorEastAsia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DA32C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32C8"/>
    <w:pPr>
      <w:spacing w:line="240" w:lineRule="auto"/>
      <w:ind w:firstLine="720"/>
      <w:jc w:val="both"/>
    </w:pPr>
    <w:rPr>
      <w:sz w:val="20"/>
      <w:szCs w:val="20"/>
      <w:lang w:bidi="fa-IR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32C8"/>
    <w:rPr>
      <w:sz w:val="20"/>
      <w:szCs w:val="20"/>
      <w:lang w:bidi="fa-IR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A32C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A32C8"/>
    <w:rPr>
      <w:b/>
      <w:bCs/>
      <w:sz w:val="20"/>
      <w:szCs w:val="20"/>
      <w:lang w:bidi="fa-I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32C8"/>
    <w:pPr>
      <w:spacing w:after="0" w:line="240" w:lineRule="auto"/>
      <w:ind w:firstLine="720"/>
      <w:jc w:val="both"/>
    </w:pPr>
    <w:rPr>
      <w:rFonts w:ascii="Segoe UI" w:hAnsi="Segoe UI" w:cs="Segoe UI"/>
      <w:sz w:val="18"/>
      <w:szCs w:val="18"/>
      <w:lang w:bidi="fa-IR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32C8"/>
    <w:rPr>
      <w:rFonts w:ascii="Segoe UI" w:hAnsi="Segoe UI" w:cs="Segoe UI"/>
      <w:sz w:val="18"/>
      <w:szCs w:val="18"/>
      <w:lang w:bidi="fa-IR"/>
    </w:rPr>
  </w:style>
  <w:style w:type="character" w:customStyle="1" w:styleId="fontstyle01">
    <w:name w:val="fontstyle01"/>
    <w:basedOn w:val="DefaultParagraphFont"/>
    <w:rsid w:val="00DA32C8"/>
    <w:rPr>
      <w:rFonts w:ascii="AdvOTb83ee1dd.B" w:hAnsi="AdvOTb83ee1dd.B" w:hint="default"/>
      <w:b w:val="0"/>
      <w:bCs w:val="0"/>
      <w:i w:val="0"/>
      <w:iCs w:val="0"/>
      <w:color w:val="000000"/>
      <w:sz w:val="14"/>
      <w:szCs w:val="14"/>
    </w:rPr>
  </w:style>
  <w:style w:type="character" w:customStyle="1" w:styleId="fontstyle21">
    <w:name w:val="fontstyle21"/>
    <w:basedOn w:val="DefaultParagraphFont"/>
    <w:rsid w:val="00DA32C8"/>
    <w:rPr>
      <w:rFonts w:ascii="AdvOT863180fb" w:hAnsi="AdvOT863180fb" w:hint="default"/>
      <w:b w:val="0"/>
      <w:bCs w:val="0"/>
      <w:i w:val="0"/>
      <w:iCs w:val="0"/>
      <w:color w:val="000000"/>
      <w:sz w:val="14"/>
      <w:szCs w:val="14"/>
    </w:rPr>
  </w:style>
  <w:style w:type="paragraph" w:styleId="Header">
    <w:name w:val="header"/>
    <w:basedOn w:val="Normal"/>
    <w:link w:val="HeaderChar"/>
    <w:uiPriority w:val="99"/>
    <w:unhideWhenUsed/>
    <w:rsid w:val="00DA32C8"/>
    <w:pPr>
      <w:tabs>
        <w:tab w:val="center" w:pos="4513"/>
        <w:tab w:val="right" w:pos="9026"/>
      </w:tabs>
      <w:spacing w:after="0" w:line="240" w:lineRule="auto"/>
      <w:ind w:firstLine="720"/>
      <w:jc w:val="both"/>
    </w:pPr>
    <w:rPr>
      <w:lang w:bidi="fa-IR"/>
    </w:rPr>
  </w:style>
  <w:style w:type="character" w:customStyle="1" w:styleId="HeaderChar">
    <w:name w:val="Header Char"/>
    <w:basedOn w:val="DefaultParagraphFont"/>
    <w:link w:val="Header"/>
    <w:uiPriority w:val="99"/>
    <w:rsid w:val="00DA32C8"/>
    <w:rPr>
      <w:lang w:bidi="fa-IR"/>
    </w:rPr>
  </w:style>
  <w:style w:type="paragraph" w:styleId="Footer">
    <w:name w:val="footer"/>
    <w:basedOn w:val="Normal"/>
    <w:link w:val="FooterChar"/>
    <w:uiPriority w:val="99"/>
    <w:unhideWhenUsed/>
    <w:rsid w:val="00DA32C8"/>
    <w:pPr>
      <w:tabs>
        <w:tab w:val="center" w:pos="4513"/>
        <w:tab w:val="right" w:pos="9026"/>
      </w:tabs>
      <w:spacing w:after="0" w:line="240" w:lineRule="auto"/>
      <w:ind w:firstLine="720"/>
      <w:jc w:val="both"/>
    </w:pPr>
    <w:rPr>
      <w:lang w:bidi="fa-IR"/>
    </w:rPr>
  </w:style>
  <w:style w:type="character" w:customStyle="1" w:styleId="FooterChar">
    <w:name w:val="Footer Char"/>
    <w:basedOn w:val="DefaultParagraphFont"/>
    <w:link w:val="Footer"/>
    <w:uiPriority w:val="99"/>
    <w:rsid w:val="00DA32C8"/>
    <w:rPr>
      <w:lang w:bidi="fa-IR"/>
    </w:rPr>
  </w:style>
  <w:style w:type="character" w:customStyle="1" w:styleId="fontstyle31">
    <w:name w:val="fontstyle31"/>
    <w:basedOn w:val="DefaultParagraphFont"/>
    <w:rsid w:val="00DA32C8"/>
    <w:rPr>
      <w:rFonts w:ascii="AdvTT5235d5a9+fb" w:hAnsi="AdvTT5235d5a9+fb" w:hint="default"/>
      <w:b w:val="0"/>
      <w:bCs w:val="0"/>
      <w:i w:val="0"/>
      <w:iCs w:val="0"/>
      <w:color w:val="242021"/>
      <w:sz w:val="14"/>
      <w:szCs w:val="14"/>
    </w:rPr>
  </w:style>
  <w:style w:type="table" w:customStyle="1" w:styleId="TableGrid2">
    <w:name w:val="Table Grid2"/>
    <w:basedOn w:val="TableNormal"/>
    <w:next w:val="TableGrid"/>
    <w:uiPriority w:val="59"/>
    <w:rsid w:val="00DA32C8"/>
    <w:pPr>
      <w:spacing w:after="0" w:line="240" w:lineRule="auto"/>
      <w:jc w:val="both"/>
    </w:pPr>
    <w:rPr>
      <w:rFonts w:eastAsiaTheme="minorEastAsia"/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DA32C8"/>
  </w:style>
  <w:style w:type="table" w:customStyle="1" w:styleId="TableGrid4">
    <w:name w:val="Table Grid4"/>
    <w:basedOn w:val="TableNormal"/>
    <w:next w:val="TableGrid"/>
    <w:uiPriority w:val="39"/>
    <w:rsid w:val="00DA32C8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DA32C8"/>
  </w:style>
  <w:style w:type="table" w:customStyle="1" w:styleId="TableGrid6">
    <w:name w:val="Table Grid6"/>
    <w:basedOn w:val="TableNormal"/>
    <w:next w:val="TableGrid"/>
    <w:uiPriority w:val="39"/>
    <w:rsid w:val="00DA32C8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3">
    <w:name w:val="No List3"/>
    <w:next w:val="NoList"/>
    <w:uiPriority w:val="99"/>
    <w:semiHidden/>
    <w:unhideWhenUsed/>
    <w:rsid w:val="00DA32C8"/>
  </w:style>
  <w:style w:type="table" w:customStyle="1" w:styleId="TableGrid7">
    <w:name w:val="Table Grid7"/>
    <w:basedOn w:val="TableNormal"/>
    <w:next w:val="TableGrid"/>
    <w:uiPriority w:val="39"/>
    <w:rsid w:val="00DA32C8"/>
    <w:pPr>
      <w:spacing w:after="0" w:line="240" w:lineRule="auto"/>
    </w:pPr>
    <w:rPr>
      <w:lang w:bidi="fa-I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DA32C8"/>
    <w:pPr>
      <w:spacing w:line="360" w:lineRule="auto"/>
      <w:ind w:left="720" w:firstLine="720"/>
      <w:contextualSpacing/>
      <w:jc w:val="both"/>
    </w:pPr>
    <w:rPr>
      <w:lang w:bidi="fa-IR"/>
    </w:rPr>
  </w:style>
  <w:style w:type="paragraph" w:customStyle="1" w:styleId="EndNoteBibliography">
    <w:name w:val="EndNote Bibliography"/>
    <w:basedOn w:val="Normal"/>
    <w:link w:val="EndNoteBibliographyChar"/>
    <w:rsid w:val="00DA32C8"/>
    <w:pPr>
      <w:bidi/>
      <w:spacing w:line="360" w:lineRule="auto"/>
    </w:pPr>
    <w:rPr>
      <w:rFonts w:ascii="Times New Roman" w:hAnsi="Times New Roman" w:cs="Times New Roman"/>
      <w:noProof/>
      <w:sz w:val="24"/>
      <w:lang w:bidi="fa-IR"/>
    </w:rPr>
  </w:style>
  <w:style w:type="character" w:customStyle="1" w:styleId="EndNoteBibliographyChar">
    <w:name w:val="EndNote Bibliography Char"/>
    <w:basedOn w:val="DefaultParagraphFont"/>
    <w:link w:val="EndNoteBibliography"/>
    <w:rsid w:val="00DA32C8"/>
    <w:rPr>
      <w:rFonts w:ascii="Times New Roman" w:hAnsi="Times New Roman" w:cs="Times New Roman"/>
      <w:noProof/>
      <w:sz w:val="24"/>
      <w:lang w:bidi="fa-IR"/>
    </w:rPr>
  </w:style>
  <w:style w:type="paragraph" w:customStyle="1" w:styleId="EndNoteBibliographyTitle">
    <w:name w:val="EndNote Bibliography Title"/>
    <w:basedOn w:val="Normal"/>
    <w:link w:val="EndNoteBibliographyTitleChar"/>
    <w:rsid w:val="00DA32C8"/>
    <w:pPr>
      <w:spacing w:after="0" w:line="360" w:lineRule="auto"/>
      <w:ind w:firstLine="720"/>
      <w:jc w:val="center"/>
    </w:pPr>
    <w:rPr>
      <w:rFonts w:ascii="Times New Roman" w:hAnsi="Times New Roman" w:cs="Times New Roman"/>
      <w:noProof/>
      <w:sz w:val="24"/>
      <w:lang w:bidi="fa-IR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DA32C8"/>
    <w:rPr>
      <w:rFonts w:ascii="Times New Roman" w:hAnsi="Times New Roman" w:cs="Times New Roman"/>
      <w:noProof/>
      <w:sz w:val="24"/>
      <w:lang w:bidi="fa-IR"/>
    </w:rPr>
  </w:style>
  <w:style w:type="paragraph" w:styleId="BodyTextIndent">
    <w:name w:val="Body Text Indent"/>
    <w:basedOn w:val="Normal"/>
    <w:link w:val="BodyTextIndentChar"/>
    <w:uiPriority w:val="99"/>
    <w:unhideWhenUsed/>
    <w:rsid w:val="00DA32C8"/>
    <w:pPr>
      <w:widowControl w:val="0"/>
      <w:spacing w:after="120" w:line="276" w:lineRule="auto"/>
      <w:ind w:left="283" w:firstLine="432"/>
      <w:jc w:val="lowKashida"/>
    </w:pPr>
    <w:rPr>
      <w:rFonts w:ascii="Times New Roman" w:eastAsia="Calibri" w:hAnsi="Times New Roman" w:cs="Arial"/>
      <w:sz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DA32C8"/>
    <w:rPr>
      <w:rFonts w:ascii="Times New Roman" w:eastAsia="Calibri" w:hAnsi="Times New Roman" w:cs="Arial"/>
      <w:sz w:val="28"/>
    </w:rPr>
  </w:style>
  <w:style w:type="character" w:styleId="LineNumber">
    <w:name w:val="line number"/>
    <w:basedOn w:val="DefaultParagraphFont"/>
    <w:uiPriority w:val="99"/>
    <w:semiHidden/>
    <w:unhideWhenUsed/>
    <w:rsid w:val="00DA32C8"/>
  </w:style>
  <w:style w:type="character" w:styleId="Strong">
    <w:name w:val="Strong"/>
    <w:basedOn w:val="DefaultParagraphFont"/>
    <w:uiPriority w:val="22"/>
    <w:qFormat/>
    <w:rsid w:val="00DA32C8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2086</Words>
  <Characters>11896</Characters>
  <Application>Microsoft Office Word</Application>
  <DocSecurity>0</DocSecurity>
  <Lines>99</Lines>
  <Paragraphs>27</Paragraphs>
  <ScaleCrop>false</ScaleCrop>
  <Company>Springer Nature IT</Company>
  <LinksUpToDate>false</LinksUpToDate>
  <CharactersWithSpaces>13955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3</cp:revision>
  <dcterms:created xsi:type="dcterms:W3CDTF">2021-05-27T09:03:00Z</dcterms:created>
  <dcterms:modified xsi:type="dcterms:W3CDTF">2021-05-27T09:14:00Z</dcterms:modified>
</cp:coreProperties>
</file>