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EACBD" w14:textId="12173CE4" w:rsidR="002C5A76" w:rsidRPr="002C5A76" w:rsidRDefault="002C5A76" w:rsidP="00061E68">
      <w:pPr>
        <w:rPr>
          <w:rFonts w:ascii="Helvetica" w:hAnsi="Helvetica"/>
          <w:b/>
          <w:bCs/>
        </w:rPr>
      </w:pPr>
      <w:bookmarkStart w:id="0" w:name="Row_1_Climate_policy_and_governance_"/>
      <w:r w:rsidRPr="00061E68">
        <w:rPr>
          <w:b/>
          <w:bCs/>
          <w:u w:val="single"/>
        </w:rPr>
        <w:t>Climate policy portfolios that accelerate emission reductions</w:t>
      </w:r>
      <w:bookmarkEnd w:id="0"/>
      <w:r>
        <w:rPr>
          <w:rFonts w:ascii="Helvetica" w:hAnsi="Helvetica"/>
          <w:bCs/>
        </w:rPr>
        <w:br/>
      </w:r>
      <w:r w:rsidRPr="002C5A76">
        <w:rPr>
          <w:rFonts w:ascii="Helvetica" w:hAnsi="Helvetica"/>
          <w:i/>
          <w:iCs/>
        </w:rPr>
        <w:t>8 July 2024</w:t>
      </w:r>
    </w:p>
    <w:p w14:paraId="1CD6F467" w14:textId="77777777" w:rsidR="002C5A76" w:rsidRDefault="002C5A76" w:rsidP="008733D7">
      <w:pPr>
        <w:rPr>
          <w:rFonts w:ascii="Helvetica" w:hAnsi="Helvetica" w:cs="Helvetica"/>
          <w:b/>
          <w:bCs/>
          <w:sz w:val="24"/>
          <w:szCs w:val="24"/>
        </w:rPr>
      </w:pPr>
    </w:p>
    <w:p w14:paraId="48437337" w14:textId="75D58EDF" w:rsidR="00C6612A" w:rsidRDefault="00C6612A" w:rsidP="008733D7">
      <w:pPr>
        <w:rPr>
          <w:rFonts w:ascii="Helvetica" w:hAnsi="Helvetica" w:cs="Helvetica"/>
          <w:b/>
          <w:bCs/>
          <w:sz w:val="24"/>
          <w:szCs w:val="24"/>
        </w:rPr>
      </w:pPr>
      <w:r w:rsidRPr="0084280D">
        <w:rPr>
          <w:rFonts w:ascii="Helvetica" w:hAnsi="Helvetica" w:cs="Helvetica"/>
          <w:b/>
          <w:bCs/>
          <w:sz w:val="24"/>
          <w:szCs w:val="24"/>
        </w:rPr>
        <w:t xml:space="preserve">SUPPLEMENTARY </w:t>
      </w:r>
      <w:r w:rsidR="002D093E" w:rsidRPr="0084280D">
        <w:rPr>
          <w:rFonts w:ascii="Helvetica" w:hAnsi="Helvetica" w:cs="Helvetica"/>
          <w:b/>
          <w:bCs/>
          <w:sz w:val="24"/>
          <w:szCs w:val="24"/>
        </w:rPr>
        <w:t xml:space="preserve">INFORMATION </w:t>
      </w:r>
      <w:r w:rsidR="009B69B9" w:rsidRPr="0084280D">
        <w:rPr>
          <w:rFonts w:ascii="Helvetica" w:hAnsi="Helvetica" w:cs="Helvetica"/>
          <w:b/>
          <w:bCs/>
          <w:sz w:val="24"/>
          <w:szCs w:val="24"/>
        </w:rPr>
        <w:t>1</w:t>
      </w:r>
      <w:r w:rsidR="006F3225" w:rsidRPr="0084280D">
        <w:rPr>
          <w:rFonts w:ascii="Helvetica" w:hAnsi="Helvetica" w:cs="Helvetica"/>
          <w:b/>
          <w:bCs/>
          <w:sz w:val="24"/>
          <w:szCs w:val="24"/>
        </w:rPr>
        <w:t xml:space="preserve"> (SI1)</w:t>
      </w:r>
      <w:r w:rsidRPr="0084280D">
        <w:rPr>
          <w:rFonts w:ascii="Helvetica" w:hAnsi="Helvetica" w:cs="Helvetica"/>
          <w:b/>
          <w:bCs/>
          <w:sz w:val="24"/>
          <w:szCs w:val="24"/>
        </w:rPr>
        <w:t xml:space="preserve">: </w:t>
      </w:r>
      <w:r w:rsidR="009B69B9" w:rsidRPr="0084280D">
        <w:rPr>
          <w:rFonts w:ascii="Helvetica" w:hAnsi="Helvetica" w:cs="Helvetica"/>
          <w:b/>
          <w:bCs/>
          <w:sz w:val="24"/>
          <w:szCs w:val="24"/>
        </w:rPr>
        <w:t>DATA &amp;</w:t>
      </w:r>
      <w:r w:rsidRPr="0084280D">
        <w:rPr>
          <w:rFonts w:ascii="Helvetica" w:hAnsi="Helvetica" w:cs="Helvetica"/>
          <w:b/>
          <w:bCs/>
          <w:sz w:val="24"/>
          <w:szCs w:val="24"/>
        </w:rPr>
        <w:t xml:space="preserve"> MODELS</w:t>
      </w:r>
    </w:p>
    <w:p w14:paraId="53691FFC" w14:textId="77777777" w:rsidR="00061E68" w:rsidRPr="0084280D" w:rsidRDefault="00061E68" w:rsidP="008733D7">
      <w:pPr>
        <w:rPr>
          <w:rFonts w:ascii="Helvetica" w:hAnsi="Helvetica" w:cs="Helvetica"/>
          <w:b/>
          <w:bCs/>
          <w:sz w:val="24"/>
          <w:szCs w:val="24"/>
        </w:rPr>
      </w:pPr>
    </w:p>
    <w:p w14:paraId="1DB440DD" w14:textId="650D1FD4" w:rsidR="00061E68" w:rsidRPr="00061E68" w:rsidRDefault="00DF4488">
      <w:pPr>
        <w:pStyle w:val="Verzeichnis1"/>
        <w:tabs>
          <w:tab w:val="left" w:pos="440"/>
          <w:tab w:val="right" w:pos="9016"/>
        </w:tabs>
        <w:rPr>
          <w:rFonts w:ascii="Helvetica" w:eastAsiaTheme="minorEastAsia" w:hAnsi="Helvetica" w:cstheme="minorBidi"/>
          <w:b w:val="0"/>
          <w:bCs w:val="0"/>
          <w:i w:val="0"/>
          <w:iCs w:val="0"/>
          <w:noProof/>
          <w:kern w:val="2"/>
          <w:lang w:eastAsia="en-GB"/>
          <w14:ligatures w14:val="standardContextual"/>
        </w:rPr>
      </w:pPr>
      <w:r w:rsidRPr="00061E68">
        <w:rPr>
          <w:rFonts w:ascii="Helvetica" w:eastAsia="Times New Roman" w:hAnsi="Helvetica" w:cs="Helvetica"/>
          <w:b w:val="0"/>
          <w:bCs w:val="0"/>
          <w:i w:val="0"/>
          <w:iCs w:val="0"/>
          <w:caps/>
          <w:lang w:val="en-US"/>
        </w:rPr>
        <w:fldChar w:fldCharType="begin"/>
      </w:r>
      <w:r w:rsidRPr="00061E68">
        <w:rPr>
          <w:rFonts w:ascii="Helvetica" w:eastAsia="Times New Roman" w:hAnsi="Helvetica" w:cs="Helvetica"/>
          <w:b w:val="0"/>
          <w:bCs w:val="0"/>
          <w:i w:val="0"/>
          <w:iCs w:val="0"/>
          <w:caps/>
          <w:lang w:val="en-US"/>
        </w:rPr>
        <w:instrText xml:space="preserve"> TOC \o "1-3" \u </w:instrText>
      </w:r>
      <w:r w:rsidRPr="00061E68">
        <w:rPr>
          <w:rFonts w:ascii="Helvetica" w:eastAsia="Times New Roman" w:hAnsi="Helvetica" w:cs="Helvetica"/>
          <w:b w:val="0"/>
          <w:bCs w:val="0"/>
          <w:i w:val="0"/>
          <w:iCs w:val="0"/>
          <w:caps/>
          <w:lang w:val="en-US"/>
        </w:rPr>
        <w:fldChar w:fldCharType="separate"/>
      </w:r>
      <w:r w:rsidR="00061E68" w:rsidRPr="00061E68">
        <w:rPr>
          <w:rFonts w:ascii="Helvetica" w:hAnsi="Helvetica" w:cs="Arial"/>
          <w:noProof/>
        </w:rPr>
        <w:t>1</w:t>
      </w:r>
      <w:r w:rsidR="00061E68" w:rsidRPr="00061E68">
        <w:rPr>
          <w:rFonts w:ascii="Helvetica" w:eastAsiaTheme="minorEastAsia" w:hAnsi="Helvetica" w:cstheme="minorBidi"/>
          <w:b w:val="0"/>
          <w:bCs w:val="0"/>
          <w:i w:val="0"/>
          <w:iCs w:val="0"/>
          <w:noProof/>
          <w:kern w:val="2"/>
          <w:lang w:eastAsia="en-GB"/>
          <w14:ligatures w14:val="standardContextual"/>
        </w:rPr>
        <w:tab/>
      </w:r>
      <w:r w:rsidR="00061E68" w:rsidRPr="00061E68">
        <w:rPr>
          <w:rFonts w:ascii="Helvetica" w:hAnsi="Helvetica" w:cs="Arial"/>
          <w:noProof/>
        </w:rPr>
        <w:t>Variables, data &amp; descriptive statistics</w:t>
      </w:r>
      <w:r w:rsidR="00061E68" w:rsidRPr="00061E68">
        <w:rPr>
          <w:rFonts w:ascii="Helvetica" w:hAnsi="Helvetica"/>
          <w:noProof/>
        </w:rPr>
        <w:tab/>
      </w:r>
      <w:r w:rsidR="00061E68" w:rsidRPr="00061E68">
        <w:rPr>
          <w:rFonts w:ascii="Helvetica" w:hAnsi="Helvetica"/>
          <w:noProof/>
        </w:rPr>
        <w:fldChar w:fldCharType="begin"/>
      </w:r>
      <w:r w:rsidR="00061E68" w:rsidRPr="00061E68">
        <w:rPr>
          <w:rFonts w:ascii="Helvetica" w:hAnsi="Helvetica"/>
          <w:noProof/>
        </w:rPr>
        <w:instrText xml:space="preserve"> PAGEREF _Toc171323419 \h </w:instrText>
      </w:r>
      <w:r w:rsidR="00061E68" w:rsidRPr="00061E68">
        <w:rPr>
          <w:rFonts w:ascii="Helvetica" w:hAnsi="Helvetica"/>
          <w:noProof/>
        </w:rPr>
      </w:r>
      <w:r w:rsidR="00061E68" w:rsidRPr="00061E68">
        <w:rPr>
          <w:rFonts w:ascii="Helvetica" w:hAnsi="Helvetica"/>
          <w:noProof/>
        </w:rPr>
        <w:fldChar w:fldCharType="separate"/>
      </w:r>
      <w:r w:rsidR="00061E68" w:rsidRPr="00061E68">
        <w:rPr>
          <w:rFonts w:ascii="Helvetica" w:hAnsi="Helvetica"/>
          <w:noProof/>
        </w:rPr>
        <w:t>2</w:t>
      </w:r>
      <w:r w:rsidR="00061E68" w:rsidRPr="00061E68">
        <w:rPr>
          <w:rFonts w:ascii="Helvetica" w:hAnsi="Helvetica"/>
          <w:noProof/>
        </w:rPr>
        <w:fldChar w:fldCharType="end"/>
      </w:r>
    </w:p>
    <w:p w14:paraId="27292086" w14:textId="7E282231"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1.1</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Fossil CO</w:t>
      </w:r>
      <w:r w:rsidRPr="00061E68">
        <w:rPr>
          <w:rFonts w:ascii="Helvetica" w:hAnsi="Helvetica"/>
          <w:noProof/>
          <w:vertAlign w:val="subscript"/>
        </w:rPr>
        <w:t>2</w:t>
      </w:r>
      <w:r w:rsidRPr="00061E68">
        <w:rPr>
          <w:rFonts w:ascii="Helvetica" w:hAnsi="Helvetica"/>
          <w:noProof/>
        </w:rPr>
        <w:t xml:space="preserve"> emissions and emission intensities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_Toc171323420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2</w:t>
      </w:r>
      <w:r w:rsidRPr="00061E68">
        <w:rPr>
          <w:rFonts w:ascii="Helvetica" w:hAnsi="Helvetica"/>
          <w:noProof/>
        </w:rPr>
        <w:fldChar w:fldCharType="end"/>
      </w:r>
    </w:p>
    <w:p w14:paraId="6FD17E08" w14:textId="3E7A4E48"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1.2</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Climate policy portfolio and (inter-)governmental organisation variables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_Toc171323421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2</w:t>
      </w:r>
      <w:r w:rsidRPr="00061E68">
        <w:rPr>
          <w:rFonts w:ascii="Helvetica" w:hAnsi="Helvetica"/>
          <w:noProof/>
        </w:rPr>
        <w:fldChar w:fldCharType="end"/>
      </w:r>
    </w:p>
    <w:p w14:paraId="52DCF270" w14:textId="0CBA9D2C"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1.3</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Measuring climate policy density: IEA PMD vs CCLW datasets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_Toc171323422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4</w:t>
      </w:r>
      <w:r w:rsidRPr="00061E68">
        <w:rPr>
          <w:rFonts w:ascii="Helvetica" w:hAnsi="Helvetica"/>
          <w:noProof/>
        </w:rPr>
        <w:fldChar w:fldCharType="end"/>
      </w:r>
    </w:p>
    <w:p w14:paraId="014DA45C" w14:textId="64EEDF96"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1.4</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Policy density</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_Toc171323423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4</w:t>
      </w:r>
      <w:r w:rsidRPr="00061E68">
        <w:rPr>
          <w:rFonts w:ascii="Helvetica" w:hAnsi="Helvetica"/>
          <w:noProof/>
        </w:rPr>
        <w:fldChar w:fldCharType="end"/>
      </w:r>
    </w:p>
    <w:p w14:paraId="1AA6FF97" w14:textId="770236E0" w:rsidR="00061E68" w:rsidRPr="00061E68" w:rsidRDefault="00061E68">
      <w:pPr>
        <w:pStyle w:val="Verzeichnis1"/>
        <w:tabs>
          <w:tab w:val="left" w:pos="440"/>
          <w:tab w:val="right" w:pos="9016"/>
        </w:tabs>
        <w:rPr>
          <w:rFonts w:ascii="Helvetica" w:eastAsiaTheme="minorEastAsia" w:hAnsi="Helvetica" w:cstheme="minorBidi"/>
          <w:b w:val="0"/>
          <w:bCs w:val="0"/>
          <w:i w:val="0"/>
          <w:iCs w:val="0"/>
          <w:noProof/>
          <w:kern w:val="2"/>
          <w:lang w:eastAsia="en-GB"/>
          <w14:ligatures w14:val="standardContextual"/>
        </w:rPr>
      </w:pPr>
      <w:r w:rsidRPr="00061E68">
        <w:rPr>
          <w:rFonts w:ascii="Helvetica" w:hAnsi="Helvetica" w:cs="Arial"/>
          <w:noProof/>
        </w:rPr>
        <w:t>2</w:t>
      </w:r>
      <w:r w:rsidRPr="00061E68">
        <w:rPr>
          <w:rFonts w:ascii="Helvetica" w:eastAsiaTheme="minorEastAsia" w:hAnsi="Helvetica" w:cstheme="minorBidi"/>
          <w:b w:val="0"/>
          <w:bCs w:val="0"/>
          <w:i w:val="0"/>
          <w:iCs w:val="0"/>
          <w:noProof/>
          <w:kern w:val="2"/>
          <w:lang w:eastAsia="en-GB"/>
          <w14:ligatures w14:val="standardContextual"/>
        </w:rPr>
        <w:tab/>
      </w:r>
      <w:r w:rsidRPr="00061E68">
        <w:rPr>
          <w:rFonts w:ascii="Helvetica" w:hAnsi="Helvetica" w:cs="Arial"/>
          <w:noProof/>
        </w:rPr>
        <w:t>Policy density models: robustness checks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_Toc171323424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15</w:t>
      </w:r>
      <w:r w:rsidRPr="00061E68">
        <w:rPr>
          <w:rFonts w:ascii="Helvetica" w:hAnsi="Helvetica"/>
          <w:noProof/>
        </w:rPr>
        <w:fldChar w:fldCharType="end"/>
      </w:r>
    </w:p>
    <w:p w14:paraId="13A8171B" w14:textId="3348A33B"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2.1</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Pre-2000 policies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_Toc171323425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15</w:t>
      </w:r>
      <w:r w:rsidRPr="00061E68">
        <w:rPr>
          <w:rFonts w:ascii="Helvetica" w:hAnsi="Helvetica"/>
          <w:noProof/>
        </w:rPr>
        <w:fldChar w:fldCharType="end"/>
      </w:r>
    </w:p>
    <w:p w14:paraId="328B1E38" w14:textId="44B5B132"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2.2</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Excluding China</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_Toc171323426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15</w:t>
      </w:r>
      <w:r w:rsidRPr="00061E68">
        <w:rPr>
          <w:rFonts w:ascii="Helvetica" w:hAnsi="Helvetica"/>
          <w:noProof/>
        </w:rPr>
        <w:fldChar w:fldCharType="end"/>
      </w:r>
    </w:p>
    <w:p w14:paraId="1E131D67" w14:textId="07EE4F7F" w:rsidR="00061E68" w:rsidRPr="00061E68" w:rsidRDefault="00061E68">
      <w:pPr>
        <w:pStyle w:val="Verzeichnis2"/>
        <w:tabs>
          <w:tab w:val="left" w:pos="880"/>
          <w:tab w:val="right" w:pos="9016"/>
        </w:tabs>
        <w:rPr>
          <w:rFonts w:ascii="Helvetica" w:eastAsiaTheme="minorEastAsia" w:hAnsi="Helvetica" w:cstheme="minorBidi"/>
          <w:b w:val="0"/>
          <w:bCs w:val="0"/>
          <w:noProof/>
          <w:kern w:val="2"/>
          <w:sz w:val="24"/>
          <w:szCs w:val="24"/>
          <w:lang w:eastAsia="en-GB"/>
          <w14:ligatures w14:val="standardContextual"/>
        </w:rPr>
      </w:pPr>
      <w:r w:rsidRPr="00061E68">
        <w:rPr>
          <w:rFonts w:ascii="Helvetica" w:hAnsi="Helvetica"/>
          <w:noProof/>
        </w:rPr>
        <w:t>2.3</w:t>
      </w:r>
      <w:r w:rsidRPr="00061E68">
        <w:rPr>
          <w:rFonts w:ascii="Helvetica" w:eastAsiaTheme="minorEastAsia" w:hAnsi="Helvetica" w:cstheme="minorBidi"/>
          <w:b w:val="0"/>
          <w:bCs w:val="0"/>
          <w:noProof/>
          <w:kern w:val="2"/>
          <w:sz w:val="24"/>
          <w:szCs w:val="24"/>
          <w:lang w:eastAsia="en-GB"/>
          <w14:ligatures w14:val="standardContextual"/>
        </w:rPr>
        <w:tab/>
      </w:r>
      <w:r w:rsidRPr="00061E68">
        <w:rPr>
          <w:rFonts w:ascii="Helvetica" w:hAnsi="Helvetica"/>
          <w:noProof/>
        </w:rPr>
        <w:t>One year lagged policy density</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_Toc171323427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15</w:t>
      </w:r>
      <w:r w:rsidRPr="00061E68">
        <w:rPr>
          <w:rFonts w:ascii="Helvetica" w:hAnsi="Helvetica"/>
          <w:noProof/>
        </w:rPr>
        <w:fldChar w:fldCharType="end"/>
      </w:r>
    </w:p>
    <w:p w14:paraId="5E5BCC73" w14:textId="0934C13C" w:rsidR="00061E68" w:rsidRPr="00061E68" w:rsidRDefault="00061E68">
      <w:pPr>
        <w:pStyle w:val="Verzeichnis1"/>
        <w:tabs>
          <w:tab w:val="left" w:pos="440"/>
          <w:tab w:val="right" w:pos="9016"/>
        </w:tabs>
        <w:rPr>
          <w:rFonts w:ascii="Helvetica" w:eastAsiaTheme="minorEastAsia" w:hAnsi="Helvetica" w:cstheme="minorBidi"/>
          <w:b w:val="0"/>
          <w:bCs w:val="0"/>
          <w:i w:val="0"/>
          <w:iCs w:val="0"/>
          <w:noProof/>
          <w:kern w:val="2"/>
          <w:lang w:eastAsia="en-GB"/>
          <w14:ligatures w14:val="standardContextual"/>
        </w:rPr>
      </w:pPr>
      <w:r w:rsidRPr="00061E68">
        <w:rPr>
          <w:rFonts w:ascii="Helvetica" w:hAnsi="Helvetica"/>
          <w:noProof/>
          <w:lang w:val="en-US"/>
        </w:rPr>
        <w:t>3</w:t>
      </w:r>
      <w:r w:rsidRPr="00061E68">
        <w:rPr>
          <w:rFonts w:ascii="Helvetica" w:eastAsiaTheme="minorEastAsia" w:hAnsi="Helvetica" w:cstheme="minorBidi"/>
          <w:b w:val="0"/>
          <w:bCs w:val="0"/>
          <w:i w:val="0"/>
          <w:iCs w:val="0"/>
          <w:noProof/>
          <w:kern w:val="2"/>
          <w:lang w:eastAsia="en-GB"/>
          <w14:ligatures w14:val="standardContextual"/>
        </w:rPr>
        <w:tab/>
      </w:r>
      <w:r w:rsidRPr="00061E68">
        <w:rPr>
          <w:rFonts w:ascii="Helvetica" w:eastAsia="Times New Roman" w:hAnsi="Helvetica" w:cs="Arial"/>
          <w:noProof/>
          <w:lang w:val="en-US"/>
        </w:rPr>
        <w:t>Interaction effects with long-term targets and (inter-)governmental organisations: interpreting coefficients</w:t>
      </w:r>
      <w:r w:rsidRPr="00061E68">
        <w:rPr>
          <w:rFonts w:ascii="Helvetica" w:hAnsi="Helvetica"/>
          <w:noProof/>
        </w:rPr>
        <w:tab/>
      </w:r>
      <w:r w:rsidRPr="00061E68">
        <w:rPr>
          <w:rFonts w:ascii="Helvetica" w:hAnsi="Helvetica"/>
          <w:noProof/>
        </w:rPr>
        <w:fldChar w:fldCharType="begin"/>
      </w:r>
      <w:r w:rsidRPr="00061E68">
        <w:rPr>
          <w:rFonts w:ascii="Helvetica" w:hAnsi="Helvetica"/>
          <w:noProof/>
        </w:rPr>
        <w:instrText xml:space="preserve"> PAGEREF _Toc171323428 \h </w:instrText>
      </w:r>
      <w:r w:rsidRPr="00061E68">
        <w:rPr>
          <w:rFonts w:ascii="Helvetica" w:hAnsi="Helvetica"/>
          <w:noProof/>
        </w:rPr>
      </w:r>
      <w:r w:rsidRPr="00061E68">
        <w:rPr>
          <w:rFonts w:ascii="Helvetica" w:hAnsi="Helvetica"/>
          <w:noProof/>
        </w:rPr>
        <w:fldChar w:fldCharType="separate"/>
      </w:r>
      <w:r w:rsidRPr="00061E68">
        <w:rPr>
          <w:rFonts w:ascii="Helvetica" w:hAnsi="Helvetica"/>
          <w:noProof/>
        </w:rPr>
        <w:t>15</w:t>
      </w:r>
      <w:r w:rsidRPr="00061E68">
        <w:rPr>
          <w:rFonts w:ascii="Helvetica" w:hAnsi="Helvetica"/>
          <w:noProof/>
        </w:rPr>
        <w:fldChar w:fldCharType="end"/>
      </w:r>
    </w:p>
    <w:p w14:paraId="7330FC92" w14:textId="02BF39AD" w:rsidR="00A2444D" w:rsidRPr="0084280D" w:rsidRDefault="00DF4488" w:rsidP="004C5256">
      <w:pPr>
        <w:rPr>
          <w:rFonts w:ascii="Helvetica" w:eastAsia="Times New Roman" w:hAnsi="Helvetica" w:cs="Helvetica"/>
          <w:b/>
          <w:bCs/>
          <w:lang w:val="en-US"/>
        </w:rPr>
      </w:pPr>
      <w:r w:rsidRPr="00061E68">
        <w:rPr>
          <w:rFonts w:ascii="Helvetica" w:eastAsia="Times New Roman" w:hAnsi="Helvetica" w:cs="Helvetica"/>
          <w:b/>
          <w:bCs/>
          <w:i/>
          <w:iCs/>
          <w:caps/>
          <w:sz w:val="24"/>
          <w:szCs w:val="24"/>
          <w:lang w:val="en-US"/>
        </w:rPr>
        <w:fldChar w:fldCharType="end"/>
      </w:r>
    </w:p>
    <w:p w14:paraId="447A6CF1" w14:textId="77777777" w:rsidR="00A2444D" w:rsidRPr="0084280D" w:rsidRDefault="00A2444D">
      <w:pPr>
        <w:rPr>
          <w:rFonts w:ascii="Helvetica" w:eastAsia="Times New Roman" w:hAnsi="Helvetica" w:cs="Helvetica"/>
          <w:b/>
          <w:bCs/>
          <w:lang w:val="en-US"/>
        </w:rPr>
      </w:pPr>
      <w:r w:rsidRPr="0084280D">
        <w:rPr>
          <w:rFonts w:ascii="Helvetica" w:eastAsia="Times New Roman" w:hAnsi="Helvetica" w:cs="Helvetica"/>
          <w:b/>
          <w:bCs/>
          <w:lang w:val="en-US"/>
        </w:rPr>
        <w:br w:type="page"/>
      </w:r>
    </w:p>
    <w:p w14:paraId="4675BDFD" w14:textId="2C843B07" w:rsidR="006F0C20" w:rsidRPr="00A04EF0" w:rsidRDefault="00C50E6B" w:rsidP="008733D7">
      <w:pPr>
        <w:pStyle w:val="berschrift1"/>
        <w:rPr>
          <w:rFonts w:ascii="Helvetica" w:hAnsi="Helvetica" w:cs="Arial"/>
        </w:rPr>
      </w:pPr>
      <w:bookmarkStart w:id="1" w:name="_Toc171323419"/>
      <w:r w:rsidRPr="00A04EF0">
        <w:rPr>
          <w:rFonts w:ascii="Helvetica" w:hAnsi="Helvetica" w:cs="Arial"/>
        </w:rPr>
        <w:lastRenderedPageBreak/>
        <w:t>Variables, d</w:t>
      </w:r>
      <w:r w:rsidR="00FD0828" w:rsidRPr="00A04EF0">
        <w:rPr>
          <w:rFonts w:ascii="Helvetica" w:hAnsi="Helvetica" w:cs="Arial"/>
        </w:rPr>
        <w:t xml:space="preserve">ata &amp; </w:t>
      </w:r>
      <w:r w:rsidRPr="00A04EF0">
        <w:rPr>
          <w:rFonts w:ascii="Helvetica" w:hAnsi="Helvetica" w:cs="Arial"/>
        </w:rPr>
        <w:t>d</w:t>
      </w:r>
      <w:r w:rsidR="006F0C20" w:rsidRPr="00A04EF0">
        <w:rPr>
          <w:rFonts w:ascii="Helvetica" w:hAnsi="Helvetica" w:cs="Arial"/>
        </w:rPr>
        <w:t>escriptive statistics</w:t>
      </w:r>
      <w:bookmarkEnd w:id="1"/>
    </w:p>
    <w:p w14:paraId="39BAA904" w14:textId="7D653307" w:rsidR="00B86DF1" w:rsidRPr="00A04EF0" w:rsidRDefault="00B86DF1" w:rsidP="00B86DF1">
      <w:pPr>
        <w:rPr>
          <w:rFonts w:ascii="Helvetica" w:hAnsi="Helvetica"/>
        </w:rPr>
      </w:pPr>
      <w:r w:rsidRPr="00A04EF0">
        <w:rPr>
          <w:rFonts w:ascii="Helvetica" w:hAnsi="Helvetica"/>
        </w:rPr>
        <w:t xml:space="preserve">Table </w:t>
      </w:r>
      <w:r w:rsidR="00166B27">
        <w:rPr>
          <w:rFonts w:ascii="Helvetica" w:hAnsi="Helvetica"/>
        </w:rPr>
        <w:t>S1</w:t>
      </w:r>
      <w:r w:rsidRPr="00A04EF0">
        <w:rPr>
          <w:rFonts w:ascii="Helvetica" w:hAnsi="Helvetica"/>
        </w:rPr>
        <w:t xml:space="preserve"> summarises variables and data sources. Subsequent sections provide explanations and descriptive statistics.</w:t>
      </w:r>
    </w:p>
    <w:p w14:paraId="58282204" w14:textId="04C254FB" w:rsidR="00B86DF1" w:rsidRPr="00A04EF0" w:rsidRDefault="00B86DF1" w:rsidP="00A04EF0">
      <w:pPr>
        <w:pStyle w:val="Beschriftung"/>
        <w:rPr>
          <w:rFonts w:ascii="Helvetica" w:hAnsi="Helvetica"/>
        </w:rPr>
      </w:pPr>
      <w:r w:rsidRPr="00A04EF0">
        <w:rPr>
          <w:rFonts w:ascii="Helvetica" w:hAnsi="Helvetica"/>
        </w:rPr>
        <w:t>Table</w:t>
      </w:r>
      <w:r w:rsidR="001F71A5">
        <w:rPr>
          <w:rFonts w:ascii="Helvetica" w:hAnsi="Helvetica"/>
        </w:rPr>
        <w:t xml:space="preserve"> S1</w:t>
      </w:r>
      <w:r w:rsidRPr="00A04EF0">
        <w:rPr>
          <w:rFonts w:ascii="Helvetica" w:hAnsi="Helvetica"/>
        </w:rPr>
        <w:t xml:space="preserve">. </w:t>
      </w:r>
      <w:r w:rsidRPr="00A04EF0">
        <w:rPr>
          <w:rFonts w:ascii="Helvetica" w:hAnsi="Helvetica"/>
          <w:szCs w:val="22"/>
        </w:rPr>
        <w:t>Summary of Data Sources</w:t>
      </w:r>
      <w:r w:rsidR="002C5A76">
        <w:rPr>
          <w:rFonts w:ascii="Helvetica" w:hAnsi="Helvetica"/>
          <w:szCs w:val="22"/>
        </w:rPr>
        <w:t>.</w:t>
      </w:r>
    </w:p>
    <w:tbl>
      <w:tblPr>
        <w:tblStyle w:val="Tabellenraster"/>
        <w:tblW w:w="8784" w:type="dxa"/>
        <w:tblLook w:val="04A0" w:firstRow="1" w:lastRow="0" w:firstColumn="1" w:lastColumn="0" w:noHBand="0" w:noVBand="1"/>
      </w:tblPr>
      <w:tblGrid>
        <w:gridCol w:w="4815"/>
        <w:gridCol w:w="3969"/>
      </w:tblGrid>
      <w:tr w:rsidR="00B86DF1" w:rsidRPr="00944DBF" w14:paraId="6876852C" w14:textId="77777777" w:rsidTr="00A04EF0">
        <w:trPr>
          <w:trHeight w:val="242"/>
        </w:trPr>
        <w:tc>
          <w:tcPr>
            <w:tcW w:w="4815" w:type="dxa"/>
            <w:shd w:val="clear" w:color="auto" w:fill="D9D9D9" w:themeFill="background1" w:themeFillShade="D9"/>
            <w:noWrap/>
            <w:vAlign w:val="center"/>
            <w:hideMark/>
          </w:tcPr>
          <w:p w14:paraId="0E7D6992" w14:textId="77777777" w:rsidR="00B86DF1" w:rsidRPr="00944DBF" w:rsidRDefault="00B86DF1" w:rsidP="00B86DF1">
            <w:pPr>
              <w:rPr>
                <w:rFonts w:ascii="Helvetica" w:hAnsi="Helvetica" w:cs="Arial"/>
                <w:b/>
                <w:bCs/>
                <w:color w:val="000000"/>
                <w:sz w:val="18"/>
                <w:szCs w:val="18"/>
              </w:rPr>
            </w:pPr>
            <w:r w:rsidRPr="00944DBF">
              <w:rPr>
                <w:rFonts w:ascii="Helvetica" w:hAnsi="Helvetica" w:cs="Arial"/>
                <w:b/>
                <w:bCs/>
                <w:color w:val="000000"/>
                <w:sz w:val="18"/>
                <w:szCs w:val="18"/>
              </w:rPr>
              <w:t>Dependent variable</w:t>
            </w:r>
          </w:p>
        </w:tc>
        <w:tc>
          <w:tcPr>
            <w:tcW w:w="3969" w:type="dxa"/>
            <w:shd w:val="clear" w:color="auto" w:fill="D9D9D9" w:themeFill="background1" w:themeFillShade="D9"/>
            <w:noWrap/>
            <w:vAlign w:val="center"/>
          </w:tcPr>
          <w:p w14:paraId="7C47C5A7" w14:textId="77777777" w:rsidR="00B86DF1" w:rsidRPr="00944DBF" w:rsidRDefault="00B86DF1" w:rsidP="00A04EF0">
            <w:pPr>
              <w:rPr>
                <w:rFonts w:ascii="Helvetica" w:hAnsi="Helvetica" w:cs="Arial"/>
                <w:color w:val="000000"/>
                <w:sz w:val="18"/>
                <w:szCs w:val="18"/>
              </w:rPr>
            </w:pPr>
          </w:p>
        </w:tc>
      </w:tr>
      <w:tr w:rsidR="00B86DF1" w:rsidRPr="00944DBF" w14:paraId="6834754F" w14:textId="77777777" w:rsidTr="00A04EF0">
        <w:trPr>
          <w:trHeight w:val="242"/>
        </w:trPr>
        <w:tc>
          <w:tcPr>
            <w:tcW w:w="4815" w:type="dxa"/>
            <w:noWrap/>
            <w:vAlign w:val="center"/>
            <w:hideMark/>
          </w:tcPr>
          <w:p w14:paraId="25DFE7FD"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CO</w:t>
            </w:r>
            <w:r w:rsidRPr="00944DBF">
              <w:rPr>
                <w:rFonts w:ascii="Helvetica" w:hAnsi="Helvetica" w:cs="Arial"/>
                <w:color w:val="000000"/>
                <w:sz w:val="18"/>
                <w:szCs w:val="18"/>
                <w:vertAlign w:val="subscript"/>
              </w:rPr>
              <w:t>2</w:t>
            </w:r>
            <w:r w:rsidRPr="00944DBF">
              <w:rPr>
                <w:rFonts w:ascii="Helvetica" w:hAnsi="Helvetica" w:cs="Arial"/>
                <w:color w:val="000000"/>
                <w:sz w:val="18"/>
                <w:szCs w:val="18"/>
              </w:rPr>
              <w:t xml:space="preserve"> emissions intensity (kgCO</w:t>
            </w:r>
            <w:r w:rsidRPr="00944DBF">
              <w:rPr>
                <w:rFonts w:ascii="Helvetica" w:hAnsi="Helvetica" w:cs="Arial"/>
                <w:color w:val="000000"/>
                <w:sz w:val="18"/>
                <w:szCs w:val="18"/>
                <w:vertAlign w:val="subscript"/>
              </w:rPr>
              <w:t>2</w:t>
            </w:r>
            <w:r w:rsidRPr="00944DBF">
              <w:rPr>
                <w:rFonts w:ascii="Helvetica" w:hAnsi="Helvetica" w:cs="Arial"/>
                <w:color w:val="000000"/>
                <w:sz w:val="18"/>
                <w:szCs w:val="18"/>
              </w:rPr>
              <w:t xml:space="preserve"> per 2015 USD PPP)</w:t>
            </w:r>
          </w:p>
        </w:tc>
        <w:tc>
          <w:tcPr>
            <w:tcW w:w="3969" w:type="dxa"/>
            <w:noWrap/>
            <w:vAlign w:val="center"/>
          </w:tcPr>
          <w:p w14:paraId="19D3AA2E"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IEA CO</w:t>
            </w:r>
            <w:r w:rsidRPr="00944DBF">
              <w:rPr>
                <w:rFonts w:ascii="Helvetica" w:hAnsi="Helvetica" w:cs="Arial"/>
                <w:color w:val="000000"/>
                <w:sz w:val="18"/>
                <w:szCs w:val="18"/>
                <w:vertAlign w:val="subscript"/>
              </w:rPr>
              <w:t xml:space="preserve">2 </w:t>
            </w:r>
            <w:r w:rsidRPr="00944DBF">
              <w:rPr>
                <w:rFonts w:ascii="Helvetica" w:hAnsi="Helvetica" w:cs="Arial"/>
                <w:color w:val="000000"/>
                <w:sz w:val="18"/>
                <w:szCs w:val="18"/>
              </w:rPr>
              <w:t xml:space="preserve">Emissions </w:t>
            </w:r>
            <w:proofErr w:type="gramStart"/>
            <w:r w:rsidRPr="00944DBF">
              <w:rPr>
                <w:rFonts w:ascii="Helvetica" w:hAnsi="Helvetica" w:cs="Arial"/>
                <w:color w:val="000000"/>
                <w:sz w:val="18"/>
                <w:szCs w:val="18"/>
              </w:rPr>
              <w:t>From</w:t>
            </w:r>
            <w:proofErr w:type="gramEnd"/>
            <w:r w:rsidRPr="00944DBF">
              <w:rPr>
                <w:rFonts w:ascii="Helvetica" w:hAnsi="Helvetica" w:cs="Arial"/>
                <w:color w:val="000000"/>
                <w:sz w:val="18"/>
                <w:szCs w:val="18"/>
              </w:rPr>
              <w:t xml:space="preserve"> Fuel Combustion Database</w:t>
            </w:r>
          </w:p>
        </w:tc>
      </w:tr>
      <w:tr w:rsidR="00B86DF1" w:rsidRPr="00944DBF" w14:paraId="0521E7F1" w14:textId="77777777" w:rsidTr="00A04EF0">
        <w:trPr>
          <w:trHeight w:val="242"/>
        </w:trPr>
        <w:tc>
          <w:tcPr>
            <w:tcW w:w="4815" w:type="dxa"/>
            <w:shd w:val="clear" w:color="auto" w:fill="D9D9D9" w:themeFill="background1" w:themeFillShade="D9"/>
            <w:noWrap/>
            <w:vAlign w:val="center"/>
            <w:hideMark/>
          </w:tcPr>
          <w:p w14:paraId="3F85464B" w14:textId="77777777" w:rsidR="00B86DF1" w:rsidRPr="00944DBF" w:rsidRDefault="00B86DF1" w:rsidP="00B86DF1">
            <w:pPr>
              <w:rPr>
                <w:rFonts w:ascii="Helvetica" w:hAnsi="Helvetica" w:cs="Arial"/>
                <w:b/>
                <w:bCs/>
                <w:color w:val="000000"/>
                <w:sz w:val="18"/>
                <w:szCs w:val="18"/>
              </w:rPr>
            </w:pPr>
            <w:r w:rsidRPr="00944DBF">
              <w:rPr>
                <w:rFonts w:ascii="Helvetica" w:hAnsi="Helvetica" w:cs="Arial"/>
                <w:b/>
                <w:bCs/>
                <w:color w:val="000000"/>
                <w:sz w:val="18"/>
                <w:szCs w:val="18"/>
              </w:rPr>
              <w:t>Independent variables</w:t>
            </w:r>
          </w:p>
        </w:tc>
        <w:tc>
          <w:tcPr>
            <w:tcW w:w="3969" w:type="dxa"/>
            <w:shd w:val="clear" w:color="auto" w:fill="D9D9D9" w:themeFill="background1" w:themeFillShade="D9"/>
            <w:noWrap/>
            <w:vAlign w:val="center"/>
          </w:tcPr>
          <w:p w14:paraId="76E688FA" w14:textId="77777777" w:rsidR="00B86DF1" w:rsidRPr="00944DBF" w:rsidRDefault="00B86DF1" w:rsidP="00A04EF0">
            <w:pPr>
              <w:rPr>
                <w:rFonts w:ascii="Helvetica" w:hAnsi="Helvetica" w:cs="Arial"/>
                <w:b/>
                <w:bCs/>
                <w:color w:val="000000"/>
                <w:sz w:val="18"/>
                <w:szCs w:val="18"/>
              </w:rPr>
            </w:pPr>
          </w:p>
        </w:tc>
      </w:tr>
      <w:tr w:rsidR="00B86DF1" w:rsidRPr="00944DBF" w14:paraId="087E8EDA" w14:textId="77777777" w:rsidTr="00A04EF0">
        <w:trPr>
          <w:trHeight w:val="242"/>
        </w:trPr>
        <w:tc>
          <w:tcPr>
            <w:tcW w:w="4815" w:type="dxa"/>
            <w:noWrap/>
            <w:vAlign w:val="center"/>
            <w:hideMark/>
          </w:tcPr>
          <w:p w14:paraId="00CBCB77"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Cumulative policy density</w:t>
            </w:r>
          </w:p>
        </w:tc>
        <w:tc>
          <w:tcPr>
            <w:tcW w:w="3969" w:type="dxa"/>
            <w:noWrap/>
            <w:vAlign w:val="center"/>
          </w:tcPr>
          <w:p w14:paraId="25494F93"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IEA Policies and Measures Database (PMD)</w:t>
            </w:r>
          </w:p>
        </w:tc>
      </w:tr>
      <w:tr w:rsidR="00661014" w:rsidRPr="00944DBF" w14:paraId="5988C31D" w14:textId="77777777" w:rsidTr="001C1620">
        <w:trPr>
          <w:trHeight w:val="242"/>
        </w:trPr>
        <w:tc>
          <w:tcPr>
            <w:tcW w:w="4815" w:type="dxa"/>
            <w:noWrap/>
            <w:vAlign w:val="center"/>
            <w:hideMark/>
          </w:tcPr>
          <w:p w14:paraId="76359BC7" w14:textId="77777777" w:rsidR="00661014" w:rsidRPr="00944DBF" w:rsidRDefault="00661014" w:rsidP="001C1620">
            <w:pPr>
              <w:rPr>
                <w:rFonts w:ascii="Helvetica" w:hAnsi="Helvetica" w:cs="Arial"/>
                <w:color w:val="000000"/>
                <w:sz w:val="18"/>
                <w:szCs w:val="18"/>
              </w:rPr>
            </w:pPr>
            <w:r w:rsidRPr="00944DBF">
              <w:rPr>
                <w:rFonts w:ascii="Helvetica" w:hAnsi="Helvetica" w:cs="Arial"/>
                <w:color w:val="000000"/>
                <w:sz w:val="18"/>
                <w:szCs w:val="18"/>
              </w:rPr>
              <w:t xml:space="preserve">Policy instrument type diversity (HH index* 3 types) </w:t>
            </w:r>
          </w:p>
        </w:tc>
        <w:tc>
          <w:tcPr>
            <w:tcW w:w="3969" w:type="dxa"/>
            <w:vMerge w:val="restart"/>
            <w:noWrap/>
            <w:vAlign w:val="center"/>
          </w:tcPr>
          <w:p w14:paraId="01A607E0" w14:textId="77777777" w:rsidR="00661014" w:rsidRPr="00944DBF" w:rsidRDefault="00661014" w:rsidP="001C1620">
            <w:pPr>
              <w:rPr>
                <w:rFonts w:ascii="Helvetica" w:hAnsi="Helvetica" w:cs="Arial"/>
                <w:color w:val="000000"/>
                <w:sz w:val="18"/>
                <w:szCs w:val="18"/>
              </w:rPr>
            </w:pPr>
            <w:r w:rsidRPr="00944DBF">
              <w:rPr>
                <w:rFonts w:ascii="Helvetica" w:hAnsi="Helvetica" w:cs="Arial"/>
                <w:color w:val="000000"/>
                <w:sz w:val="18"/>
                <w:szCs w:val="18"/>
              </w:rPr>
              <w:t>IEA PMD + own coding</w:t>
            </w:r>
          </w:p>
        </w:tc>
      </w:tr>
      <w:tr w:rsidR="00661014" w:rsidRPr="00944DBF" w14:paraId="51F4249A" w14:textId="77777777" w:rsidTr="001C1620">
        <w:trPr>
          <w:trHeight w:val="242"/>
        </w:trPr>
        <w:tc>
          <w:tcPr>
            <w:tcW w:w="4815" w:type="dxa"/>
            <w:noWrap/>
            <w:vAlign w:val="center"/>
          </w:tcPr>
          <w:p w14:paraId="6EB205DA" w14:textId="77777777" w:rsidR="00661014" w:rsidRPr="00944DBF" w:rsidRDefault="00661014" w:rsidP="001C1620">
            <w:pPr>
              <w:rPr>
                <w:rFonts w:ascii="Helvetica" w:hAnsi="Helvetica" w:cs="Arial"/>
                <w:color w:val="000000"/>
                <w:sz w:val="18"/>
                <w:szCs w:val="18"/>
              </w:rPr>
            </w:pPr>
            <w:r w:rsidRPr="00944DBF">
              <w:rPr>
                <w:rFonts w:ascii="Helvetica" w:hAnsi="Helvetica" w:cs="Arial"/>
                <w:color w:val="000000"/>
                <w:sz w:val="18"/>
                <w:szCs w:val="18"/>
              </w:rPr>
              <w:t>Policy instrument type diversity (HH index* 8 types)</w:t>
            </w:r>
          </w:p>
        </w:tc>
        <w:tc>
          <w:tcPr>
            <w:tcW w:w="3969" w:type="dxa"/>
            <w:vMerge/>
            <w:noWrap/>
            <w:vAlign w:val="center"/>
          </w:tcPr>
          <w:p w14:paraId="3E976B17" w14:textId="77777777" w:rsidR="00661014" w:rsidRPr="00944DBF" w:rsidRDefault="00661014" w:rsidP="001C1620">
            <w:pPr>
              <w:rPr>
                <w:rFonts w:ascii="Helvetica" w:hAnsi="Helvetica" w:cs="Arial"/>
                <w:color w:val="000000"/>
                <w:sz w:val="18"/>
                <w:szCs w:val="18"/>
              </w:rPr>
            </w:pPr>
          </w:p>
        </w:tc>
      </w:tr>
      <w:tr w:rsidR="00B86DF1" w:rsidRPr="00944DBF" w14:paraId="0FE4E40B" w14:textId="77777777" w:rsidTr="00BE70A8">
        <w:trPr>
          <w:trHeight w:val="242"/>
        </w:trPr>
        <w:tc>
          <w:tcPr>
            <w:tcW w:w="4815" w:type="dxa"/>
            <w:noWrap/>
            <w:vAlign w:val="center"/>
          </w:tcPr>
          <w:p w14:paraId="78E51CA7" w14:textId="77777777" w:rsidR="00B86DF1" w:rsidRPr="00944DBF" w:rsidRDefault="00B86DF1" w:rsidP="00BE70A8">
            <w:pPr>
              <w:rPr>
                <w:rFonts w:ascii="Helvetica" w:hAnsi="Helvetica" w:cs="Arial"/>
                <w:color w:val="000000"/>
                <w:sz w:val="18"/>
                <w:szCs w:val="18"/>
              </w:rPr>
            </w:pPr>
            <w:r w:rsidRPr="00944DBF">
              <w:rPr>
                <w:rFonts w:ascii="Helvetica" w:hAnsi="Helvetica" w:cs="Arial"/>
                <w:color w:val="000000"/>
                <w:sz w:val="18"/>
                <w:szCs w:val="18"/>
              </w:rPr>
              <w:t>Policy sectoral coverage diversity (HH index*)</w:t>
            </w:r>
          </w:p>
        </w:tc>
        <w:tc>
          <w:tcPr>
            <w:tcW w:w="3969" w:type="dxa"/>
            <w:vMerge w:val="restart"/>
            <w:noWrap/>
            <w:vAlign w:val="center"/>
          </w:tcPr>
          <w:p w14:paraId="088921DE" w14:textId="77777777" w:rsidR="00B86DF1" w:rsidRPr="00944DBF" w:rsidRDefault="00B86DF1" w:rsidP="00BE70A8">
            <w:pPr>
              <w:rPr>
                <w:rFonts w:ascii="Helvetica" w:hAnsi="Helvetica" w:cs="Arial"/>
                <w:color w:val="000000"/>
                <w:sz w:val="18"/>
                <w:szCs w:val="18"/>
              </w:rPr>
            </w:pPr>
            <w:r w:rsidRPr="00944DBF">
              <w:rPr>
                <w:rFonts w:ascii="Helvetica" w:hAnsi="Helvetica" w:cs="Arial"/>
                <w:color w:val="000000"/>
                <w:sz w:val="18"/>
                <w:szCs w:val="18"/>
              </w:rPr>
              <w:t>IEA PMD + own coding</w:t>
            </w:r>
          </w:p>
        </w:tc>
      </w:tr>
      <w:tr w:rsidR="00B86DF1" w:rsidRPr="00944DBF" w14:paraId="1E8F96FF" w14:textId="77777777" w:rsidTr="00BE70A8">
        <w:trPr>
          <w:trHeight w:val="242"/>
        </w:trPr>
        <w:tc>
          <w:tcPr>
            <w:tcW w:w="4815" w:type="dxa"/>
            <w:noWrap/>
            <w:vAlign w:val="center"/>
          </w:tcPr>
          <w:p w14:paraId="5B0D3BC8" w14:textId="77777777" w:rsidR="00B86DF1" w:rsidRPr="00944DBF" w:rsidRDefault="00B86DF1" w:rsidP="00BE70A8">
            <w:pPr>
              <w:rPr>
                <w:rFonts w:ascii="Helvetica" w:hAnsi="Helvetica" w:cs="Arial"/>
                <w:color w:val="000000"/>
                <w:sz w:val="18"/>
                <w:szCs w:val="18"/>
              </w:rPr>
            </w:pPr>
            <w:r w:rsidRPr="00944DBF">
              <w:rPr>
                <w:rFonts w:ascii="Helvetica" w:hAnsi="Helvetica" w:cs="Arial"/>
                <w:color w:val="000000"/>
                <w:sz w:val="18"/>
                <w:szCs w:val="18"/>
              </w:rPr>
              <w:t>Policy sectoral coverage diversity weighted (HH index**)</w:t>
            </w:r>
          </w:p>
        </w:tc>
        <w:tc>
          <w:tcPr>
            <w:tcW w:w="3969" w:type="dxa"/>
            <w:vMerge/>
            <w:noWrap/>
            <w:vAlign w:val="center"/>
          </w:tcPr>
          <w:p w14:paraId="25BB53EE" w14:textId="77777777" w:rsidR="00B86DF1" w:rsidRPr="00944DBF" w:rsidRDefault="00B86DF1" w:rsidP="00BE70A8">
            <w:pPr>
              <w:rPr>
                <w:rFonts w:ascii="Helvetica" w:hAnsi="Helvetica" w:cs="Arial"/>
                <w:color w:val="000000"/>
                <w:sz w:val="18"/>
                <w:szCs w:val="18"/>
              </w:rPr>
            </w:pPr>
          </w:p>
        </w:tc>
      </w:tr>
      <w:tr w:rsidR="00B86DF1" w:rsidRPr="00944DBF" w14:paraId="3DF2E915" w14:textId="77777777" w:rsidTr="00A04EF0">
        <w:trPr>
          <w:trHeight w:val="377"/>
        </w:trPr>
        <w:tc>
          <w:tcPr>
            <w:tcW w:w="4815" w:type="dxa"/>
            <w:noWrap/>
            <w:vAlign w:val="center"/>
            <w:hideMark/>
          </w:tcPr>
          <w:p w14:paraId="3A49A2DB" w14:textId="60788BA1"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 xml:space="preserve">Absolute 1990 </w:t>
            </w:r>
            <w:r w:rsidR="00661014">
              <w:rPr>
                <w:rFonts w:ascii="Helvetica" w:hAnsi="Helvetica" w:cs="Arial"/>
                <w:color w:val="000000"/>
                <w:sz w:val="18"/>
                <w:szCs w:val="18"/>
              </w:rPr>
              <w:t xml:space="preserve">emission-reduction </w:t>
            </w:r>
            <w:r w:rsidRPr="00944DBF">
              <w:rPr>
                <w:rFonts w:ascii="Helvetica" w:hAnsi="Helvetica" w:cs="Arial"/>
                <w:color w:val="000000"/>
                <w:sz w:val="18"/>
                <w:szCs w:val="18"/>
              </w:rPr>
              <w:t>target (dummy variable)</w:t>
            </w:r>
          </w:p>
        </w:tc>
        <w:tc>
          <w:tcPr>
            <w:tcW w:w="3969" w:type="dxa"/>
            <w:vMerge w:val="restart"/>
            <w:noWrap/>
            <w:vAlign w:val="center"/>
          </w:tcPr>
          <w:p w14:paraId="35F97464" w14:textId="149113D3"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various inc. UNFCCC (Kyoto Protocol &amp; Copenhagen Accord annexes, Paris Agreement INDCs &amp; NDCs), Climate Action Tracker</w:t>
            </w:r>
            <w:r w:rsidR="00FF1AA7">
              <w:rPr>
                <w:rFonts w:ascii="Helvetica" w:hAnsi="Helvetica" w:cs="Arial"/>
                <w:color w:val="000000"/>
                <w:sz w:val="18"/>
                <w:szCs w:val="18"/>
              </w:rPr>
              <w:t>, Net Zero Tracker</w:t>
            </w:r>
          </w:p>
        </w:tc>
      </w:tr>
      <w:tr w:rsidR="00B86DF1" w:rsidRPr="00944DBF" w14:paraId="24D74836" w14:textId="77777777" w:rsidTr="00A04EF0">
        <w:trPr>
          <w:trHeight w:val="242"/>
        </w:trPr>
        <w:tc>
          <w:tcPr>
            <w:tcW w:w="4815" w:type="dxa"/>
            <w:noWrap/>
            <w:vAlign w:val="center"/>
            <w:hideMark/>
          </w:tcPr>
          <w:p w14:paraId="2AE4B2C8" w14:textId="52D3C8A1"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 xml:space="preserve">Relative </w:t>
            </w:r>
            <w:r w:rsidR="00661014">
              <w:rPr>
                <w:rFonts w:ascii="Helvetica" w:hAnsi="Helvetica" w:cs="Arial"/>
                <w:color w:val="000000"/>
                <w:sz w:val="18"/>
                <w:szCs w:val="18"/>
              </w:rPr>
              <w:t xml:space="preserve">emission-reduction </w:t>
            </w:r>
            <w:r w:rsidRPr="00944DBF">
              <w:rPr>
                <w:rFonts w:ascii="Helvetica" w:hAnsi="Helvetica" w:cs="Arial"/>
                <w:color w:val="000000"/>
                <w:sz w:val="18"/>
                <w:szCs w:val="18"/>
              </w:rPr>
              <w:t>target (dummy variable)</w:t>
            </w:r>
          </w:p>
        </w:tc>
        <w:tc>
          <w:tcPr>
            <w:tcW w:w="3969" w:type="dxa"/>
            <w:vMerge/>
            <w:noWrap/>
            <w:vAlign w:val="center"/>
          </w:tcPr>
          <w:p w14:paraId="22AB6891" w14:textId="77777777" w:rsidR="00B86DF1" w:rsidRPr="00944DBF" w:rsidRDefault="00B86DF1" w:rsidP="00A04EF0">
            <w:pPr>
              <w:rPr>
                <w:rFonts w:ascii="Helvetica" w:hAnsi="Helvetica" w:cs="Arial"/>
                <w:color w:val="000000"/>
                <w:sz w:val="18"/>
                <w:szCs w:val="18"/>
              </w:rPr>
            </w:pPr>
          </w:p>
        </w:tc>
      </w:tr>
      <w:tr w:rsidR="00B86DF1" w:rsidRPr="00944DBF" w14:paraId="0A5A6AC8" w14:textId="77777777" w:rsidTr="00BE70A8">
        <w:trPr>
          <w:trHeight w:val="242"/>
        </w:trPr>
        <w:tc>
          <w:tcPr>
            <w:tcW w:w="4815" w:type="dxa"/>
            <w:noWrap/>
            <w:vAlign w:val="center"/>
            <w:hideMark/>
          </w:tcPr>
          <w:p w14:paraId="773EF123" w14:textId="77777777" w:rsidR="00B86DF1" w:rsidRPr="00944DBF" w:rsidRDefault="00B86DF1" w:rsidP="00BE70A8">
            <w:pPr>
              <w:rPr>
                <w:rFonts w:ascii="Helvetica" w:hAnsi="Helvetica" w:cs="Arial"/>
                <w:color w:val="000000"/>
                <w:sz w:val="18"/>
                <w:szCs w:val="18"/>
              </w:rPr>
            </w:pPr>
            <w:r w:rsidRPr="00944DBF">
              <w:rPr>
                <w:rFonts w:ascii="Helvetica" w:hAnsi="Helvetica" w:cs="Arial"/>
                <w:color w:val="000000"/>
                <w:sz w:val="18"/>
                <w:szCs w:val="18"/>
              </w:rPr>
              <w:t>Energy ministry (dummy variable)</w:t>
            </w:r>
          </w:p>
        </w:tc>
        <w:tc>
          <w:tcPr>
            <w:tcW w:w="3969" w:type="dxa"/>
            <w:noWrap/>
            <w:vAlign w:val="center"/>
          </w:tcPr>
          <w:p w14:paraId="44B5B7D6" w14:textId="692BBD79" w:rsidR="00B86DF1" w:rsidRPr="00A04EF0" w:rsidRDefault="00F226B1" w:rsidP="00BE70A8">
            <w:pPr>
              <w:rPr>
                <w:rFonts w:ascii="Helvetica" w:hAnsi="Helvetica" w:cs="Arial"/>
                <w:iCs/>
                <w:color w:val="000000"/>
                <w:sz w:val="18"/>
                <w:szCs w:val="18"/>
                <w:highlight w:val="magenta"/>
              </w:rPr>
            </w:pPr>
            <w:r>
              <w:rPr>
                <w:rFonts w:ascii="Helvetica" w:hAnsi="Helvetica" w:cs="Arial"/>
                <w:iCs/>
                <w:color w:val="000000"/>
                <w:sz w:val="18"/>
                <w:szCs w:val="18"/>
              </w:rPr>
              <w:fldChar w:fldCharType="begin"/>
            </w:r>
            <w:r>
              <w:rPr>
                <w:rFonts w:ascii="Helvetica" w:hAnsi="Helvetica" w:cs="Arial"/>
                <w:iCs/>
                <w:color w:val="000000"/>
                <w:sz w:val="18"/>
                <w:szCs w:val="18"/>
              </w:rPr>
              <w:instrText xml:space="preserve"> ADDIN EN.CITE &lt;EndNote&gt;&lt;Cite AuthorYear="1"&gt;&lt;Author&gt;Tosun&lt;/Author&gt;&lt;Year&gt;2018&lt;/Year&gt;&lt;RecNum&gt;7274&lt;/RecNum&gt;&lt;DisplayText&gt;Tosun (2018)&lt;/DisplayText&gt;&lt;record&gt;&lt;rec-number&gt;7274&lt;/rec-number&gt;&lt;foreign-keys&gt;&lt;key app="EN" db-id="pzwxerf5sf52xoef20m52s5jxpa0wpaspvpd" timestamp="1716912520"&gt;7274&lt;/key&gt;&lt;/foreign-keys&gt;&lt;ref-type name="Journal Article"&gt;17&lt;/ref-type&gt;&lt;contributors&gt;&lt;authors&gt;&lt;author&gt;Tosun, Jale&lt;/author&gt;&lt;/authors&gt;&lt;/contributors&gt;&lt;titles&gt;&lt;title&gt;Investigating Ministry Names for Comparative Policy Analysis: Lessons from Energy Governance&lt;/title&gt;&lt;secondary-title&gt;Journal of Comparative Policy Analysis: Research and Practice&lt;/secondary-title&gt;&lt;/titles&gt;&lt;periodical&gt;&lt;full-title&gt;Journal of Comparative Policy Analysis: Research and Practice&lt;/full-title&gt;&lt;/periodical&gt;&lt;pages&gt;324-335&lt;/pages&gt;&lt;volume&gt;20&lt;/volume&gt;&lt;number&gt;3&lt;/number&gt;&lt;dates&gt;&lt;year&gt;2018&lt;/year&gt;&lt;pub-dates&gt;&lt;date&gt;2018/05/27&lt;/date&gt;&lt;/pub-dates&gt;&lt;/dates&gt;&lt;publisher&gt;Routledge&lt;/publisher&gt;&lt;isbn&gt;1387-6988&lt;/isbn&gt;&lt;urls&gt;&lt;related-urls&gt;&lt;url&gt;https://doi.org/10.1080/13876988.2018.1467430&lt;/url&gt;&lt;/related-urls&gt;&lt;/urls&gt;&lt;electronic-resource-num&gt;10.1080/13876988.2018.1467430&lt;/electronic-resource-num&gt;&lt;/record&gt;&lt;/Cite&gt;&lt;/EndNote&gt;</w:instrText>
            </w:r>
            <w:r>
              <w:rPr>
                <w:rFonts w:ascii="Helvetica" w:hAnsi="Helvetica" w:cs="Arial"/>
                <w:iCs/>
                <w:color w:val="000000"/>
                <w:sz w:val="18"/>
                <w:szCs w:val="18"/>
              </w:rPr>
              <w:fldChar w:fldCharType="separate"/>
            </w:r>
            <w:r>
              <w:rPr>
                <w:rFonts w:ascii="Helvetica" w:hAnsi="Helvetica" w:cs="Arial"/>
                <w:iCs/>
                <w:noProof/>
                <w:color w:val="000000"/>
                <w:sz w:val="18"/>
                <w:szCs w:val="18"/>
              </w:rPr>
              <w:t>Tosun (2018)</w:t>
            </w:r>
            <w:r>
              <w:rPr>
                <w:rFonts w:ascii="Helvetica" w:hAnsi="Helvetica" w:cs="Arial"/>
                <w:iCs/>
                <w:color w:val="000000"/>
                <w:sz w:val="18"/>
                <w:szCs w:val="18"/>
              </w:rPr>
              <w:fldChar w:fldCharType="end"/>
            </w:r>
          </w:p>
        </w:tc>
      </w:tr>
      <w:tr w:rsidR="00573CDE" w:rsidRPr="00944DBF" w14:paraId="584B3ECB" w14:textId="77777777" w:rsidTr="00BE70A8">
        <w:trPr>
          <w:trHeight w:val="242"/>
        </w:trPr>
        <w:tc>
          <w:tcPr>
            <w:tcW w:w="4815" w:type="dxa"/>
            <w:noWrap/>
            <w:vAlign w:val="center"/>
          </w:tcPr>
          <w:p w14:paraId="7A1932D2" w14:textId="4B513FAE" w:rsidR="00573CDE" w:rsidRDefault="00573CDE" w:rsidP="00BE70A8">
            <w:pPr>
              <w:rPr>
                <w:rFonts w:ascii="Helvetica" w:hAnsi="Helvetica" w:cs="Arial"/>
                <w:color w:val="000000"/>
                <w:sz w:val="18"/>
                <w:szCs w:val="18"/>
              </w:rPr>
            </w:pPr>
            <w:r>
              <w:rPr>
                <w:rFonts w:ascii="Helvetica" w:hAnsi="Helvetica" w:cs="Arial"/>
                <w:color w:val="000000"/>
                <w:sz w:val="18"/>
                <w:szCs w:val="18"/>
              </w:rPr>
              <w:t>Independent advisory body</w:t>
            </w:r>
            <w:r w:rsidR="002366B8">
              <w:rPr>
                <w:rFonts w:ascii="Helvetica" w:hAnsi="Helvetica" w:cs="Arial"/>
                <w:color w:val="000000"/>
                <w:sz w:val="18"/>
                <w:szCs w:val="18"/>
              </w:rPr>
              <w:t xml:space="preserve"> (dummy variable)</w:t>
            </w:r>
          </w:p>
        </w:tc>
        <w:tc>
          <w:tcPr>
            <w:tcW w:w="3969" w:type="dxa"/>
            <w:noWrap/>
            <w:vAlign w:val="center"/>
          </w:tcPr>
          <w:p w14:paraId="33BF9887" w14:textId="7A29C3C3" w:rsidR="00573CDE" w:rsidRDefault="002C5A76">
            <w:pPr>
              <w:rPr>
                <w:rFonts w:ascii="Helvetica" w:hAnsi="Helvetica" w:cs="Arial"/>
                <w:iCs/>
                <w:color w:val="000000"/>
                <w:sz w:val="18"/>
                <w:szCs w:val="18"/>
              </w:rPr>
            </w:pPr>
            <w:r>
              <w:rPr>
                <w:rFonts w:ascii="Helvetica" w:hAnsi="Helvetica" w:cs="Arial"/>
                <w:iCs/>
                <w:color w:val="000000"/>
                <w:sz w:val="18"/>
                <w:szCs w:val="18"/>
              </w:rPr>
              <w:t xml:space="preserve">various inc. </w:t>
            </w:r>
            <w:r>
              <w:rPr>
                <w:rFonts w:ascii="Helvetica" w:hAnsi="Helvetica" w:cs="Arial"/>
                <w:iCs/>
                <w:color w:val="000000"/>
                <w:sz w:val="18"/>
                <w:szCs w:val="18"/>
              </w:rPr>
              <w:fldChar w:fldCharType="begin">
                <w:fldData xml:space="preserve">PEVuZE5vdGU+PENpdGUgQXV0aG9yWWVhcj0iMSI+PEF1dGhvcj5FdmFuczwvQXV0aG9yPjxZZWFy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==
</w:fldData>
              </w:fldChar>
            </w:r>
            <w:r>
              <w:rPr>
                <w:rFonts w:ascii="Helvetica" w:hAnsi="Helvetica" w:cs="Arial"/>
                <w:iCs/>
                <w:color w:val="000000"/>
                <w:sz w:val="18"/>
                <w:szCs w:val="18"/>
              </w:rPr>
              <w:instrText xml:space="preserve"> ADDIN EN.CITE </w:instrText>
            </w:r>
            <w:r>
              <w:rPr>
                <w:rFonts w:ascii="Helvetica" w:hAnsi="Helvetica" w:cs="Arial"/>
                <w:iCs/>
                <w:color w:val="000000"/>
                <w:sz w:val="18"/>
                <w:szCs w:val="18"/>
              </w:rPr>
              <w:fldChar w:fldCharType="begin">
                <w:fldData xml:space="preserve">PEVuZE5vdGU+PENpdGUgQXV0aG9yWWVhcj0iMSI+PEF1dGhvcj5FdmFuczwvQXV0aG9yPjxZZWFy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==
</w:fldData>
              </w:fldChar>
            </w:r>
            <w:r>
              <w:rPr>
                <w:rFonts w:ascii="Helvetica" w:hAnsi="Helvetica" w:cs="Arial"/>
                <w:iCs/>
                <w:color w:val="000000"/>
                <w:sz w:val="18"/>
                <w:szCs w:val="18"/>
              </w:rPr>
              <w:instrText xml:space="preserve"> ADDIN EN.CITE.DATA </w:instrText>
            </w:r>
            <w:r>
              <w:rPr>
                <w:rFonts w:ascii="Helvetica" w:hAnsi="Helvetica" w:cs="Arial"/>
                <w:iCs/>
                <w:color w:val="000000"/>
                <w:sz w:val="18"/>
                <w:szCs w:val="18"/>
              </w:rPr>
            </w:r>
            <w:r>
              <w:rPr>
                <w:rFonts w:ascii="Helvetica" w:hAnsi="Helvetica" w:cs="Arial"/>
                <w:iCs/>
                <w:color w:val="000000"/>
                <w:sz w:val="18"/>
                <w:szCs w:val="18"/>
              </w:rPr>
              <w:fldChar w:fldCharType="end"/>
            </w:r>
            <w:r>
              <w:rPr>
                <w:rFonts w:ascii="Helvetica" w:hAnsi="Helvetica" w:cs="Arial"/>
                <w:iCs/>
                <w:color w:val="000000"/>
                <w:sz w:val="18"/>
                <w:szCs w:val="18"/>
              </w:rPr>
            </w:r>
            <w:r>
              <w:rPr>
                <w:rFonts w:ascii="Helvetica" w:hAnsi="Helvetica" w:cs="Arial"/>
                <w:iCs/>
                <w:color w:val="000000"/>
                <w:sz w:val="18"/>
                <w:szCs w:val="18"/>
              </w:rPr>
              <w:fldChar w:fldCharType="separate"/>
            </w:r>
            <w:r>
              <w:rPr>
                <w:rFonts w:ascii="Helvetica" w:hAnsi="Helvetica" w:cs="Arial"/>
                <w:iCs/>
                <w:noProof/>
                <w:color w:val="000000"/>
                <w:sz w:val="18"/>
                <w:szCs w:val="18"/>
              </w:rPr>
              <w:t>Weaver, Lötjönen et al. (2019), Averchenkova, Fankhauser et al. (2021), Evans and Duwe (2021)</w:t>
            </w:r>
            <w:r>
              <w:rPr>
                <w:rFonts w:ascii="Helvetica" w:hAnsi="Helvetica" w:cs="Arial"/>
                <w:iCs/>
                <w:color w:val="000000"/>
                <w:sz w:val="18"/>
                <w:szCs w:val="18"/>
              </w:rPr>
              <w:fldChar w:fldCharType="end"/>
            </w:r>
          </w:p>
        </w:tc>
      </w:tr>
      <w:tr w:rsidR="00B86DF1" w:rsidRPr="00944DBF" w14:paraId="6B962FDD" w14:textId="77777777" w:rsidTr="00BE70A8">
        <w:trPr>
          <w:trHeight w:val="242"/>
        </w:trPr>
        <w:tc>
          <w:tcPr>
            <w:tcW w:w="4815" w:type="dxa"/>
            <w:noWrap/>
            <w:vAlign w:val="center"/>
            <w:hideMark/>
          </w:tcPr>
          <w:p w14:paraId="49BF2C8F" w14:textId="5494CEE4" w:rsidR="00B86DF1" w:rsidRPr="00944DBF" w:rsidRDefault="00661014" w:rsidP="00BE70A8">
            <w:pPr>
              <w:rPr>
                <w:rFonts w:ascii="Helvetica" w:hAnsi="Helvetica" w:cs="Arial"/>
                <w:color w:val="000000"/>
                <w:sz w:val="18"/>
                <w:szCs w:val="18"/>
              </w:rPr>
            </w:pPr>
            <w:r>
              <w:rPr>
                <w:rFonts w:ascii="Helvetica" w:hAnsi="Helvetica" w:cs="Arial"/>
                <w:color w:val="000000"/>
                <w:sz w:val="18"/>
                <w:szCs w:val="18"/>
              </w:rPr>
              <w:t xml:space="preserve">Membership of </w:t>
            </w:r>
            <w:r w:rsidR="00B86DF1" w:rsidRPr="00944DBF">
              <w:rPr>
                <w:rFonts w:ascii="Helvetica" w:hAnsi="Helvetica" w:cs="Arial"/>
                <w:color w:val="000000"/>
                <w:sz w:val="18"/>
                <w:szCs w:val="18"/>
              </w:rPr>
              <w:t>Clean Energy Ministerial (dummy variable)</w:t>
            </w:r>
          </w:p>
        </w:tc>
        <w:tc>
          <w:tcPr>
            <w:tcW w:w="3969" w:type="dxa"/>
            <w:noWrap/>
            <w:vAlign w:val="center"/>
          </w:tcPr>
          <w:p w14:paraId="461D42BD" w14:textId="5476612A" w:rsidR="00B86DF1" w:rsidRPr="001742E4" w:rsidRDefault="00904D60">
            <w:pPr>
              <w:rPr>
                <w:rFonts w:ascii="Helvetica" w:hAnsi="Helvetica" w:cs="Arial"/>
                <w:color w:val="000000"/>
                <w:sz w:val="18"/>
                <w:szCs w:val="18"/>
                <w:highlight w:val="magenta"/>
              </w:rPr>
            </w:pPr>
            <w:r>
              <w:rPr>
                <w:rFonts w:ascii="Helvetica" w:hAnsi="Helvetica" w:cs="Arial"/>
                <w:iCs/>
                <w:color w:val="000000"/>
                <w:sz w:val="18"/>
                <w:szCs w:val="18"/>
              </w:rPr>
              <w:fldChar w:fldCharType="begin"/>
            </w:r>
            <w:r w:rsidR="00F226B1">
              <w:rPr>
                <w:rFonts w:ascii="Helvetica" w:hAnsi="Helvetica" w:cs="Arial"/>
                <w:iCs/>
                <w:color w:val="000000"/>
                <w:sz w:val="18"/>
                <w:szCs w:val="18"/>
              </w:rPr>
              <w:instrText xml:space="preserve"> ADDIN EN.CITE &lt;EndNote&gt;&lt;Cite AuthorYear="1"&gt;&lt;Author&gt;Tosun&lt;/Author&gt;&lt;Year&gt;2022&lt;/Year&gt;&lt;RecNum&gt;7275&lt;/RecNum&gt;&lt;DisplayText&gt;Tosun and Mišić (2022)&lt;/DisplayText&gt;&lt;record&gt;&lt;rec-number&gt;7275&lt;/rec-number&gt;&lt;foreign-keys&gt;&lt;key app="EN" db-id="pzwxerf5sf52xoef20m52s5jxpa0wpaspvpd" timestamp="1716912565"&gt;7275&lt;/key&gt;&lt;/foreign-keys&gt;&lt;ref-type name="Journal Article"&gt;17&lt;/ref-type&gt;&lt;contributors&gt;&lt;authors&gt;&lt;author&gt;Tosun, Jale&lt;/author&gt;&lt;author&gt;Mišić, Mile&lt;/author&gt;&lt;/authors&gt;&lt;/contributors&gt;&lt;titles&gt;&lt;title&gt;Post-Communist Countries’ Participation in Global Forums on Climate Action&lt;/title&gt;&lt;secondary-title&gt;Problems of Post-Communism&lt;/secondary-title&gt;&lt;/titles&gt;&lt;periodical&gt;&lt;full-title&gt;Problems of Post-Communism&lt;/full-title&gt;&lt;/periodical&gt;&lt;pages&gt;380-395&lt;/pages&gt;&lt;volume&gt;69&lt;/volume&gt;&lt;number&gt;4-5&lt;/number&gt;&lt;dates&gt;&lt;year&gt;2022&lt;/year&gt;&lt;pub-dates&gt;&lt;date&gt;2022/09/03&lt;/date&gt;&lt;/pub-dates&gt;&lt;/dates&gt;&lt;publisher&gt;Routledge&lt;/publisher&gt;&lt;isbn&gt;1075-8216&lt;/isbn&gt;&lt;urls&gt;&lt;related-urls&gt;&lt;url&gt;https://doi.org/10.1080/10758216.2021.1994423&lt;/url&gt;&lt;/related-urls&gt;&lt;/urls&gt;&lt;electronic-resource-num&gt;10.1080/10758216.2021.1994423&lt;/electronic-resource-num&gt;&lt;/record&gt;&lt;/Cite&gt;&lt;/EndNote&gt;</w:instrText>
            </w:r>
            <w:r>
              <w:rPr>
                <w:rFonts w:ascii="Helvetica" w:hAnsi="Helvetica" w:cs="Arial"/>
                <w:iCs/>
                <w:color w:val="000000"/>
                <w:sz w:val="18"/>
                <w:szCs w:val="18"/>
              </w:rPr>
              <w:fldChar w:fldCharType="separate"/>
            </w:r>
            <w:r w:rsidR="00F226B1">
              <w:rPr>
                <w:rFonts w:ascii="Helvetica" w:hAnsi="Helvetica" w:cs="Arial"/>
                <w:iCs/>
                <w:noProof/>
                <w:color w:val="000000"/>
                <w:sz w:val="18"/>
                <w:szCs w:val="18"/>
              </w:rPr>
              <w:t>Tosun and Mišić (2022)</w:t>
            </w:r>
            <w:r>
              <w:rPr>
                <w:rFonts w:ascii="Helvetica" w:hAnsi="Helvetica" w:cs="Arial"/>
                <w:iCs/>
                <w:color w:val="000000"/>
                <w:sz w:val="18"/>
                <w:szCs w:val="18"/>
              </w:rPr>
              <w:fldChar w:fldCharType="end"/>
            </w:r>
          </w:p>
        </w:tc>
      </w:tr>
      <w:tr w:rsidR="00B86DF1" w:rsidRPr="00944DBF" w14:paraId="41AC433B" w14:textId="77777777" w:rsidTr="00A04EF0">
        <w:trPr>
          <w:trHeight w:val="242"/>
        </w:trPr>
        <w:tc>
          <w:tcPr>
            <w:tcW w:w="4815" w:type="dxa"/>
            <w:shd w:val="clear" w:color="auto" w:fill="D9D9D9" w:themeFill="background1" w:themeFillShade="D9"/>
            <w:noWrap/>
            <w:vAlign w:val="center"/>
            <w:hideMark/>
          </w:tcPr>
          <w:p w14:paraId="71FA08AB" w14:textId="77777777" w:rsidR="00B86DF1" w:rsidRPr="00944DBF" w:rsidRDefault="00B86DF1" w:rsidP="00B86DF1">
            <w:pPr>
              <w:rPr>
                <w:rFonts w:ascii="Helvetica" w:hAnsi="Helvetica" w:cs="Arial"/>
                <w:b/>
                <w:bCs/>
                <w:color w:val="000000"/>
                <w:sz w:val="18"/>
                <w:szCs w:val="18"/>
              </w:rPr>
            </w:pPr>
            <w:r w:rsidRPr="00944DBF">
              <w:rPr>
                <w:rFonts w:ascii="Helvetica" w:hAnsi="Helvetica" w:cs="Arial"/>
                <w:b/>
                <w:bCs/>
                <w:color w:val="000000"/>
                <w:sz w:val="18"/>
                <w:szCs w:val="18"/>
              </w:rPr>
              <w:t>Control variables</w:t>
            </w:r>
          </w:p>
        </w:tc>
        <w:tc>
          <w:tcPr>
            <w:tcW w:w="3969" w:type="dxa"/>
            <w:shd w:val="clear" w:color="auto" w:fill="D9D9D9" w:themeFill="background1" w:themeFillShade="D9"/>
            <w:noWrap/>
            <w:vAlign w:val="center"/>
          </w:tcPr>
          <w:p w14:paraId="202B8C26" w14:textId="77777777" w:rsidR="00B86DF1" w:rsidRPr="00944DBF" w:rsidRDefault="00B86DF1" w:rsidP="00A04EF0">
            <w:pPr>
              <w:rPr>
                <w:rFonts w:ascii="Helvetica" w:hAnsi="Helvetica" w:cs="Arial"/>
                <w:b/>
                <w:bCs/>
                <w:color w:val="000000"/>
                <w:sz w:val="18"/>
                <w:szCs w:val="18"/>
              </w:rPr>
            </w:pPr>
          </w:p>
        </w:tc>
      </w:tr>
      <w:tr w:rsidR="00B86DF1" w:rsidRPr="00944DBF" w14:paraId="35A2E747" w14:textId="77777777" w:rsidTr="00A04EF0">
        <w:trPr>
          <w:trHeight w:val="242"/>
        </w:trPr>
        <w:tc>
          <w:tcPr>
            <w:tcW w:w="4815" w:type="dxa"/>
            <w:noWrap/>
            <w:vAlign w:val="center"/>
            <w:hideMark/>
          </w:tcPr>
          <w:p w14:paraId="089BF578"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Rule of law (World Bank indicator)</w:t>
            </w:r>
          </w:p>
        </w:tc>
        <w:tc>
          <w:tcPr>
            <w:tcW w:w="3969" w:type="dxa"/>
            <w:noWrap/>
            <w:vAlign w:val="center"/>
          </w:tcPr>
          <w:p w14:paraId="6224B790" w14:textId="6E5774E7"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World Bank</w:t>
            </w:r>
            <w:r w:rsidR="00155B27">
              <w:rPr>
                <w:rFonts w:ascii="Helvetica" w:hAnsi="Helvetica" w:cs="Arial"/>
                <w:color w:val="000000"/>
                <w:sz w:val="18"/>
                <w:szCs w:val="18"/>
              </w:rPr>
              <w:t>,</w:t>
            </w:r>
            <w:r w:rsidR="00167F61">
              <w:rPr>
                <w:rFonts w:ascii="Helvetica" w:hAnsi="Helvetica" w:cs="Arial"/>
                <w:color w:val="000000"/>
                <w:sz w:val="18"/>
                <w:szCs w:val="18"/>
              </w:rPr>
              <w:t xml:space="preserve"> Worldwide Governance Indicators</w:t>
            </w:r>
            <w:r w:rsidRPr="00944DBF">
              <w:rPr>
                <w:rFonts w:ascii="Helvetica" w:hAnsi="Helvetica" w:cs="Arial"/>
                <w:color w:val="000000"/>
                <w:sz w:val="18"/>
                <w:szCs w:val="18"/>
              </w:rPr>
              <w:t xml:space="preserve"> </w:t>
            </w:r>
          </w:p>
        </w:tc>
      </w:tr>
      <w:tr w:rsidR="00B86DF1" w:rsidRPr="00944DBF" w14:paraId="55336C4B" w14:textId="77777777" w:rsidTr="00A04EF0">
        <w:trPr>
          <w:trHeight w:val="242"/>
        </w:trPr>
        <w:tc>
          <w:tcPr>
            <w:tcW w:w="4815" w:type="dxa"/>
            <w:noWrap/>
            <w:vAlign w:val="center"/>
            <w:hideMark/>
          </w:tcPr>
          <w:p w14:paraId="458F7213"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 xml:space="preserve">Hodrick-Prescott GDP filter </w:t>
            </w:r>
          </w:p>
        </w:tc>
        <w:tc>
          <w:tcPr>
            <w:tcW w:w="3969" w:type="dxa"/>
            <w:noWrap/>
            <w:vAlign w:val="center"/>
          </w:tcPr>
          <w:p w14:paraId="2B18103B" w14:textId="0E5C67F1" w:rsidR="00B86DF1" w:rsidRPr="00944DBF" w:rsidRDefault="00167F61" w:rsidP="00A04EF0">
            <w:pPr>
              <w:rPr>
                <w:rFonts w:ascii="Helvetica" w:hAnsi="Helvetica" w:cs="Arial"/>
                <w:color w:val="000000"/>
                <w:sz w:val="18"/>
                <w:szCs w:val="18"/>
              </w:rPr>
            </w:pPr>
            <w:r>
              <w:rPr>
                <w:rFonts w:ascii="Helvetica" w:hAnsi="Helvetica" w:cs="Arial"/>
                <w:color w:val="000000"/>
                <w:sz w:val="18"/>
                <w:szCs w:val="18"/>
              </w:rPr>
              <w:t xml:space="preserve">Own estimation using </w:t>
            </w:r>
            <w:r w:rsidR="00B86DF1" w:rsidRPr="00944DBF">
              <w:rPr>
                <w:rFonts w:ascii="Helvetica" w:hAnsi="Helvetica" w:cs="Arial"/>
                <w:color w:val="000000"/>
                <w:sz w:val="18"/>
                <w:szCs w:val="18"/>
              </w:rPr>
              <w:t>World Bank</w:t>
            </w:r>
            <w:r w:rsidR="00155B27">
              <w:rPr>
                <w:rFonts w:ascii="Helvetica" w:hAnsi="Helvetica" w:cs="Arial"/>
                <w:color w:val="000000"/>
                <w:sz w:val="18"/>
                <w:szCs w:val="18"/>
              </w:rPr>
              <w:t>,</w:t>
            </w:r>
            <w:r w:rsidRPr="00944DBF">
              <w:rPr>
                <w:rFonts w:ascii="Helvetica" w:hAnsi="Helvetica" w:cs="Arial"/>
                <w:color w:val="000000"/>
                <w:sz w:val="18"/>
                <w:szCs w:val="18"/>
              </w:rPr>
              <w:t xml:space="preserve"> </w:t>
            </w:r>
            <w:r w:rsidRPr="00342DD5">
              <w:rPr>
                <w:rFonts w:ascii="Helvetica" w:hAnsi="Helvetica" w:cs="Arial"/>
                <w:color w:val="000000"/>
                <w:sz w:val="18"/>
                <w:szCs w:val="18"/>
              </w:rPr>
              <w:t>World De</w:t>
            </w:r>
            <w:r>
              <w:rPr>
                <w:rFonts w:ascii="Helvetica" w:hAnsi="Helvetica" w:cs="Arial"/>
                <w:color w:val="000000"/>
                <w:sz w:val="18"/>
                <w:szCs w:val="18"/>
              </w:rPr>
              <w:t>velopment Indicators</w:t>
            </w:r>
          </w:p>
        </w:tc>
      </w:tr>
      <w:tr w:rsidR="00B86DF1" w:rsidRPr="00944DBF" w14:paraId="7667B931" w14:textId="77777777" w:rsidTr="00A04EF0">
        <w:trPr>
          <w:trHeight w:val="242"/>
        </w:trPr>
        <w:tc>
          <w:tcPr>
            <w:tcW w:w="4815" w:type="dxa"/>
            <w:noWrap/>
            <w:vAlign w:val="center"/>
            <w:hideMark/>
          </w:tcPr>
          <w:p w14:paraId="30CE5050"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GDP per capita, PPP (constant 2017 international USD)</w:t>
            </w:r>
          </w:p>
        </w:tc>
        <w:tc>
          <w:tcPr>
            <w:tcW w:w="3969" w:type="dxa"/>
            <w:noWrap/>
            <w:vAlign w:val="center"/>
          </w:tcPr>
          <w:p w14:paraId="75EBE972" w14:textId="1114797A"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World Bank</w:t>
            </w:r>
            <w:r w:rsidR="00167F61">
              <w:rPr>
                <w:rFonts w:ascii="Helvetica" w:hAnsi="Helvetica" w:cs="Arial"/>
                <w:color w:val="000000"/>
                <w:sz w:val="18"/>
                <w:szCs w:val="18"/>
              </w:rPr>
              <w:t>,</w:t>
            </w:r>
            <w:r w:rsidRPr="00944DBF">
              <w:rPr>
                <w:rFonts w:ascii="Helvetica" w:hAnsi="Helvetica" w:cs="Arial"/>
                <w:color w:val="000000"/>
                <w:sz w:val="18"/>
                <w:szCs w:val="18"/>
              </w:rPr>
              <w:t xml:space="preserve"> </w:t>
            </w:r>
            <w:r w:rsidR="00167F61" w:rsidRPr="00A04EF0">
              <w:rPr>
                <w:rFonts w:ascii="Helvetica" w:hAnsi="Helvetica" w:cs="Arial"/>
                <w:color w:val="000000"/>
                <w:sz w:val="18"/>
                <w:szCs w:val="18"/>
              </w:rPr>
              <w:t>World De</w:t>
            </w:r>
            <w:r w:rsidR="00167F61">
              <w:rPr>
                <w:rFonts w:ascii="Helvetica" w:hAnsi="Helvetica" w:cs="Arial"/>
                <w:color w:val="000000"/>
                <w:sz w:val="18"/>
                <w:szCs w:val="18"/>
              </w:rPr>
              <w:t>velopment Indicators</w:t>
            </w:r>
          </w:p>
        </w:tc>
      </w:tr>
      <w:tr w:rsidR="00B86DF1" w:rsidRPr="00944DBF" w14:paraId="29923CB5" w14:textId="77777777" w:rsidTr="00A04EF0">
        <w:trPr>
          <w:trHeight w:val="242"/>
        </w:trPr>
        <w:tc>
          <w:tcPr>
            <w:tcW w:w="4815" w:type="dxa"/>
            <w:noWrap/>
            <w:vAlign w:val="center"/>
            <w:hideMark/>
          </w:tcPr>
          <w:p w14:paraId="04387388"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Imports of goods and services (% of GDP)</w:t>
            </w:r>
          </w:p>
        </w:tc>
        <w:tc>
          <w:tcPr>
            <w:tcW w:w="3969" w:type="dxa"/>
            <w:noWrap/>
            <w:vAlign w:val="center"/>
          </w:tcPr>
          <w:p w14:paraId="04B4DD16" w14:textId="5FE7E7CF"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World Bank</w:t>
            </w:r>
            <w:r w:rsidR="00167F61">
              <w:rPr>
                <w:rFonts w:ascii="Helvetica" w:hAnsi="Helvetica" w:cs="Arial"/>
                <w:color w:val="000000"/>
                <w:sz w:val="18"/>
                <w:szCs w:val="18"/>
              </w:rPr>
              <w:t>,</w:t>
            </w:r>
            <w:r w:rsidR="00167F61" w:rsidRPr="00944DBF">
              <w:rPr>
                <w:rFonts w:ascii="Helvetica" w:hAnsi="Helvetica" w:cs="Arial"/>
                <w:color w:val="000000"/>
                <w:sz w:val="18"/>
                <w:szCs w:val="18"/>
              </w:rPr>
              <w:t xml:space="preserve"> </w:t>
            </w:r>
            <w:r w:rsidR="00167F61" w:rsidRPr="00342DD5">
              <w:rPr>
                <w:rFonts w:ascii="Helvetica" w:hAnsi="Helvetica" w:cs="Arial"/>
                <w:color w:val="000000"/>
                <w:sz w:val="18"/>
                <w:szCs w:val="18"/>
              </w:rPr>
              <w:t>World De</w:t>
            </w:r>
            <w:r w:rsidR="00167F61">
              <w:rPr>
                <w:rFonts w:ascii="Helvetica" w:hAnsi="Helvetica" w:cs="Arial"/>
                <w:color w:val="000000"/>
                <w:sz w:val="18"/>
                <w:szCs w:val="18"/>
              </w:rPr>
              <w:t>velopment Indicators</w:t>
            </w:r>
          </w:p>
        </w:tc>
      </w:tr>
      <w:tr w:rsidR="00B86DF1" w:rsidRPr="00944DBF" w14:paraId="43C1361C" w14:textId="77777777" w:rsidTr="00A04EF0">
        <w:trPr>
          <w:trHeight w:val="242"/>
        </w:trPr>
        <w:tc>
          <w:tcPr>
            <w:tcW w:w="4815" w:type="dxa"/>
            <w:noWrap/>
            <w:vAlign w:val="center"/>
            <w:hideMark/>
          </w:tcPr>
          <w:p w14:paraId="6A2FA991"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Services, value added (% of GDP)</w:t>
            </w:r>
          </w:p>
        </w:tc>
        <w:tc>
          <w:tcPr>
            <w:tcW w:w="3969" w:type="dxa"/>
            <w:noWrap/>
            <w:vAlign w:val="center"/>
          </w:tcPr>
          <w:p w14:paraId="41891A42" w14:textId="1FDD02B5"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World Bank</w:t>
            </w:r>
            <w:r w:rsidR="00167F61">
              <w:rPr>
                <w:rFonts w:ascii="Helvetica" w:hAnsi="Helvetica" w:cs="Arial"/>
                <w:color w:val="000000"/>
                <w:sz w:val="18"/>
                <w:szCs w:val="18"/>
              </w:rPr>
              <w:t>,</w:t>
            </w:r>
            <w:r w:rsidR="00167F61" w:rsidRPr="00944DBF">
              <w:rPr>
                <w:rFonts w:ascii="Helvetica" w:hAnsi="Helvetica" w:cs="Arial"/>
                <w:color w:val="000000"/>
                <w:sz w:val="18"/>
                <w:szCs w:val="18"/>
              </w:rPr>
              <w:t xml:space="preserve"> </w:t>
            </w:r>
            <w:r w:rsidR="00167F61" w:rsidRPr="00342DD5">
              <w:rPr>
                <w:rFonts w:ascii="Helvetica" w:hAnsi="Helvetica" w:cs="Arial"/>
                <w:color w:val="000000"/>
                <w:sz w:val="18"/>
                <w:szCs w:val="18"/>
              </w:rPr>
              <w:t>World De</w:t>
            </w:r>
            <w:r w:rsidR="00167F61">
              <w:rPr>
                <w:rFonts w:ascii="Helvetica" w:hAnsi="Helvetica" w:cs="Arial"/>
                <w:color w:val="000000"/>
                <w:sz w:val="18"/>
                <w:szCs w:val="18"/>
              </w:rPr>
              <w:t>velopment Indicators</w:t>
            </w:r>
          </w:p>
        </w:tc>
      </w:tr>
      <w:tr w:rsidR="00B86DF1" w:rsidRPr="00944DBF" w14:paraId="609BC3B6" w14:textId="77777777" w:rsidTr="00A04EF0">
        <w:trPr>
          <w:trHeight w:val="242"/>
        </w:trPr>
        <w:tc>
          <w:tcPr>
            <w:tcW w:w="4815" w:type="dxa"/>
            <w:noWrap/>
            <w:vAlign w:val="center"/>
            <w:hideMark/>
          </w:tcPr>
          <w:p w14:paraId="6645ABBB" w14:textId="77777777" w:rsidR="00B86DF1" w:rsidRPr="00944DBF" w:rsidRDefault="00B86DF1" w:rsidP="00B86DF1">
            <w:pPr>
              <w:rPr>
                <w:rFonts w:ascii="Helvetica" w:hAnsi="Helvetica" w:cs="Arial"/>
                <w:color w:val="000000"/>
                <w:sz w:val="18"/>
                <w:szCs w:val="18"/>
              </w:rPr>
            </w:pPr>
            <w:r w:rsidRPr="00944DBF">
              <w:rPr>
                <w:rFonts w:ascii="Helvetica" w:hAnsi="Helvetica" w:cs="Arial"/>
                <w:color w:val="000000"/>
                <w:sz w:val="18"/>
                <w:szCs w:val="18"/>
              </w:rPr>
              <w:t>Temperature variation (annual difference from long-term average 1990-2019)</w:t>
            </w:r>
          </w:p>
        </w:tc>
        <w:tc>
          <w:tcPr>
            <w:tcW w:w="3969" w:type="dxa"/>
            <w:noWrap/>
            <w:vAlign w:val="center"/>
          </w:tcPr>
          <w:p w14:paraId="19DA23CA" w14:textId="0EFF80B0" w:rsidR="00B86DF1" w:rsidRPr="00944DBF" w:rsidRDefault="00B86DF1" w:rsidP="00A04EF0">
            <w:pPr>
              <w:rPr>
                <w:rFonts w:ascii="Helvetica" w:hAnsi="Helvetica" w:cs="Arial"/>
                <w:color w:val="000000"/>
                <w:sz w:val="18"/>
                <w:szCs w:val="18"/>
              </w:rPr>
            </w:pPr>
            <w:r w:rsidRPr="00944DBF">
              <w:rPr>
                <w:rFonts w:ascii="Helvetica" w:hAnsi="Helvetica" w:cs="Arial"/>
                <w:color w:val="000000"/>
                <w:sz w:val="18"/>
                <w:szCs w:val="18"/>
              </w:rPr>
              <w:t>World Bank</w:t>
            </w:r>
            <w:r w:rsidR="0044575B">
              <w:rPr>
                <w:rFonts w:ascii="Helvetica" w:hAnsi="Helvetica" w:cs="Arial"/>
                <w:color w:val="000000"/>
                <w:sz w:val="18"/>
                <w:szCs w:val="18"/>
              </w:rPr>
              <w:t>,</w:t>
            </w:r>
            <w:r w:rsidRPr="00944DBF">
              <w:rPr>
                <w:rFonts w:ascii="Helvetica" w:hAnsi="Helvetica" w:cs="Arial"/>
                <w:color w:val="000000"/>
                <w:sz w:val="18"/>
                <w:szCs w:val="18"/>
              </w:rPr>
              <w:t xml:space="preserve"> </w:t>
            </w:r>
            <w:r w:rsidR="0044575B" w:rsidRPr="00A04EF0">
              <w:rPr>
                <w:rFonts w:ascii="Helvetica" w:hAnsi="Helvetica" w:cs="Arial"/>
                <w:color w:val="000000"/>
                <w:sz w:val="18"/>
                <w:szCs w:val="18"/>
              </w:rPr>
              <w:t>Climate Change Knowledge Portal</w:t>
            </w:r>
          </w:p>
        </w:tc>
      </w:tr>
    </w:tbl>
    <w:p w14:paraId="103A472C" w14:textId="77777777" w:rsidR="00B86DF1" w:rsidRPr="00A04EF0" w:rsidRDefault="00B86DF1" w:rsidP="00A04EF0">
      <w:pPr>
        <w:rPr>
          <w:rFonts w:ascii="Helvetica" w:hAnsi="Helvetica"/>
        </w:rPr>
      </w:pPr>
    </w:p>
    <w:p w14:paraId="12D1AAFF" w14:textId="77777777" w:rsidR="00FD0828" w:rsidRPr="00A04EF0" w:rsidRDefault="00FD0828" w:rsidP="00FD0828">
      <w:pPr>
        <w:pStyle w:val="berschrift2"/>
        <w:rPr>
          <w:rFonts w:ascii="Helvetica" w:hAnsi="Helvetica"/>
        </w:rPr>
      </w:pPr>
      <w:bookmarkStart w:id="2" w:name="_Toc171323420"/>
      <w:r w:rsidRPr="00A04EF0">
        <w:rPr>
          <w:rFonts w:ascii="Helvetica" w:hAnsi="Helvetica"/>
        </w:rPr>
        <w:t>Fossil CO</w:t>
      </w:r>
      <w:r w:rsidRPr="00A04EF0">
        <w:rPr>
          <w:rFonts w:ascii="Helvetica" w:hAnsi="Helvetica"/>
          <w:vertAlign w:val="subscript"/>
        </w:rPr>
        <w:t>2</w:t>
      </w:r>
      <w:r w:rsidRPr="00A04EF0">
        <w:rPr>
          <w:rFonts w:ascii="Helvetica" w:hAnsi="Helvetica"/>
        </w:rPr>
        <w:t xml:space="preserve"> emissions and emission intensities</w:t>
      </w:r>
      <w:bookmarkEnd w:id="2"/>
    </w:p>
    <w:p w14:paraId="745B0FF6" w14:textId="3F16E05D" w:rsidR="00FD0828" w:rsidRPr="00A04EF0" w:rsidRDefault="00FD0828" w:rsidP="00FD0828">
      <w:pPr>
        <w:spacing w:line="250" w:lineRule="auto"/>
        <w:rPr>
          <w:rFonts w:ascii="Helvetica" w:hAnsi="Helvetica"/>
        </w:rPr>
      </w:pPr>
      <w:r w:rsidRPr="00A04EF0">
        <w:rPr>
          <w:rFonts w:ascii="Helvetica" w:hAnsi="Helvetica"/>
        </w:rPr>
        <w:t xml:space="preserve">Overall, fossil </w:t>
      </w:r>
      <w:r w:rsidRPr="00A04EF0">
        <w:rPr>
          <w:rFonts w:ascii="Helvetica" w:hAnsi="Helvetica"/>
          <w:color w:val="000000" w:themeColor="text1"/>
        </w:rPr>
        <w:t>CO</w:t>
      </w:r>
      <w:r w:rsidRPr="00A04EF0">
        <w:rPr>
          <w:rFonts w:ascii="Helvetica" w:hAnsi="Helvetica"/>
          <w:color w:val="000000" w:themeColor="text1"/>
          <w:vertAlign w:val="subscript"/>
        </w:rPr>
        <w:t>2</w:t>
      </w:r>
      <w:r w:rsidRPr="00A04EF0">
        <w:rPr>
          <w:rFonts w:ascii="Helvetica" w:hAnsi="Helvetica"/>
          <w:color w:val="000000" w:themeColor="text1"/>
        </w:rPr>
        <w:t xml:space="preserve"> </w:t>
      </w:r>
      <w:r w:rsidRPr="00A04EF0">
        <w:rPr>
          <w:rFonts w:ascii="Helvetica" w:hAnsi="Helvetica"/>
        </w:rPr>
        <w:t xml:space="preserve">emissions for the BRIICS countries have been trending upwards from 2000 to roughly 2015, after which growth rates have slowed </w:t>
      </w:r>
      <w:r w:rsidR="006D4E58">
        <w:rPr>
          <w:rFonts w:ascii="Helvetica" w:hAnsi="Helvetica"/>
        </w:rPr>
        <w:t>[Figure</w:t>
      </w:r>
      <w:r w:rsidR="00A86228">
        <w:rPr>
          <w:rFonts w:ascii="Helvetica" w:hAnsi="Helvetica"/>
        </w:rPr>
        <w:t>s</w:t>
      </w:r>
      <w:r w:rsidR="006D4E58">
        <w:rPr>
          <w:rFonts w:ascii="Helvetica" w:hAnsi="Helvetica"/>
        </w:rPr>
        <w:t xml:space="preserve"> S</w:t>
      </w:r>
      <w:r w:rsidR="00462B87">
        <w:rPr>
          <w:rFonts w:ascii="Helvetica" w:hAnsi="Helvetica"/>
        </w:rPr>
        <w:t>1</w:t>
      </w:r>
      <w:r w:rsidR="00A86228">
        <w:rPr>
          <w:rFonts w:ascii="Helvetica" w:hAnsi="Helvetica"/>
        </w:rPr>
        <w:t xml:space="preserve"> A-C</w:t>
      </w:r>
      <w:r w:rsidR="006D4E58">
        <w:rPr>
          <w:rFonts w:ascii="Helvetica" w:hAnsi="Helvetica"/>
        </w:rPr>
        <w:t>]</w:t>
      </w:r>
      <w:r w:rsidRPr="00A04EF0">
        <w:rPr>
          <w:rFonts w:ascii="Helvetica" w:hAnsi="Helvetica"/>
        </w:rPr>
        <w:t xml:space="preserve">. In contrast, European Union (EU) countries (with Poland as an exception), along with the UK and USA, have seen downward trends in fossil </w:t>
      </w:r>
      <w:r w:rsidRPr="00A04EF0">
        <w:rPr>
          <w:rFonts w:ascii="Helvetica" w:hAnsi="Helvetica"/>
          <w:color w:val="000000" w:themeColor="text1"/>
        </w:rPr>
        <w:t>CO</w:t>
      </w:r>
      <w:r w:rsidRPr="00A04EF0">
        <w:rPr>
          <w:rFonts w:ascii="Helvetica" w:hAnsi="Helvetica"/>
          <w:color w:val="000000" w:themeColor="text1"/>
          <w:vertAlign w:val="subscript"/>
        </w:rPr>
        <w:t>2</w:t>
      </w:r>
      <w:r w:rsidRPr="00A04EF0">
        <w:rPr>
          <w:rFonts w:ascii="Helvetica" w:hAnsi="Helvetica"/>
        </w:rPr>
        <w:t xml:space="preserve"> emissions, particularly over the last decade. Among the rest of the OECD countries, Colombia, Korea, and Turkey have all seen clear upward trends.</w:t>
      </w:r>
    </w:p>
    <w:p w14:paraId="62515C5C" w14:textId="36C381AE" w:rsidR="00FD0828" w:rsidRPr="00A04EF0" w:rsidRDefault="00FD0828" w:rsidP="00FD0828">
      <w:pPr>
        <w:spacing w:line="250" w:lineRule="auto"/>
        <w:rPr>
          <w:rFonts w:ascii="Helvetica" w:hAnsi="Helvetica"/>
        </w:rPr>
      </w:pPr>
      <w:r w:rsidRPr="00A04EF0">
        <w:rPr>
          <w:rFonts w:ascii="Helvetica" w:hAnsi="Helvetica"/>
          <w:color w:val="000000" w:themeColor="text1"/>
        </w:rPr>
        <w:t xml:space="preserve">For the dependent variable in our analysis, we </w:t>
      </w:r>
      <w:r w:rsidR="00CA184E">
        <w:rPr>
          <w:rFonts w:ascii="Helvetica" w:hAnsi="Helvetica"/>
          <w:color w:val="000000" w:themeColor="text1"/>
        </w:rPr>
        <w:t>use</w:t>
      </w:r>
      <w:r w:rsidRPr="00A04EF0">
        <w:rPr>
          <w:rFonts w:ascii="Helvetica" w:hAnsi="Helvetica"/>
          <w:color w:val="000000" w:themeColor="text1"/>
        </w:rPr>
        <w:t xml:space="preserve"> emission intensity </w:t>
      </w:r>
      <w:r w:rsidR="00CA184E">
        <w:rPr>
          <w:rFonts w:ascii="Helvetica" w:hAnsi="Helvetica"/>
          <w:color w:val="000000" w:themeColor="text1"/>
        </w:rPr>
        <w:t>(kgCO</w:t>
      </w:r>
      <w:r w:rsidR="00CA184E" w:rsidRPr="00A04EF0">
        <w:rPr>
          <w:rFonts w:ascii="Helvetica" w:hAnsi="Helvetica"/>
          <w:color w:val="000000" w:themeColor="text1"/>
          <w:vertAlign w:val="subscript"/>
        </w:rPr>
        <w:t>2</w:t>
      </w:r>
      <w:r w:rsidR="00CA184E">
        <w:rPr>
          <w:rFonts w:ascii="Helvetica" w:hAnsi="Helvetica"/>
          <w:color w:val="000000" w:themeColor="text1"/>
        </w:rPr>
        <w:t xml:space="preserve"> per unit of </w:t>
      </w:r>
      <w:r w:rsidRPr="00A04EF0">
        <w:rPr>
          <w:rFonts w:ascii="Helvetica" w:hAnsi="Helvetica"/>
          <w:color w:val="000000" w:themeColor="text1"/>
        </w:rPr>
        <w:t>GDP</w:t>
      </w:r>
      <w:r w:rsidR="00CA184E">
        <w:rPr>
          <w:rFonts w:ascii="Helvetica" w:hAnsi="Helvetica"/>
          <w:color w:val="000000" w:themeColor="text1"/>
        </w:rPr>
        <w:t>)</w:t>
      </w:r>
      <w:r w:rsidRPr="00A04EF0">
        <w:rPr>
          <w:rFonts w:ascii="Helvetica" w:hAnsi="Helvetica"/>
          <w:color w:val="000000" w:themeColor="text1"/>
        </w:rPr>
        <w:t xml:space="preserve"> rather than absolute emissions in order to account for the large variation in country size and levels of economic activity in our sample </w:t>
      </w:r>
      <w:r w:rsidRPr="00A04EF0">
        <w:rPr>
          <w:rFonts w:ascii="Helvetica" w:hAnsi="Helvetica"/>
          <w:color w:val="000000" w:themeColor="text1"/>
        </w:rPr>
        <w:fldChar w:fldCharType="begin"/>
      </w:r>
      <w:r w:rsidRPr="00A04EF0">
        <w:rPr>
          <w:rFonts w:ascii="Helvetica" w:hAnsi="Helvetica"/>
          <w:color w:val="000000" w:themeColor="text1"/>
        </w:rPr>
        <w:instrText xml:space="preserve"> ADDIN EN.CITE &lt;EndNote&gt;&lt;Cite&gt;&lt;Author&gt;Eskander&lt;/Author&gt;&lt;Year&gt;2020&lt;/Year&gt;&lt;RecNum&gt;6077&lt;/RecNum&gt;&lt;DisplayText&gt;(Eskander and Fankhauser 2020)&lt;/DisplayText&gt;&lt;record&gt;&lt;rec-number&gt;6077&lt;/rec-number&gt;&lt;foreign-keys&gt;&lt;key app="EN" db-id="pzwxerf5sf52xoef20m52s5jxpa0wpaspvpd" timestamp="1598101149"&gt;6077&lt;/key&gt;&lt;/foreign-keys&gt;&lt;ref-type name="Journal Article"&gt;17&lt;/ref-type&gt;&lt;contributors&gt;&lt;authors&gt;&lt;author&gt;Eskander, Shaikh M. S. U.&lt;/author&gt;&lt;author&gt;Fankhauser, Sam&lt;/author&gt;&lt;/authors&gt;&lt;/contributors&gt;&lt;titles&gt;&lt;title&gt;Reduction in greenhouse gas emissions from national climate legislation&lt;/title&gt;&lt;secondary-title&gt;Nature Climate Change&lt;/secondary-title&gt;&lt;/titles&gt;&lt;periodical&gt;&lt;full-title&gt;Nature Climate Change&lt;/full-title&gt;&lt;/periodical&gt;&lt;pages&gt;750-756&lt;/pages&gt;&lt;volume&gt;10&lt;/volume&gt;&lt;number&gt;8&lt;/number&gt;&lt;dates&gt;&lt;year&gt;2020&lt;/year&gt;&lt;pub-dates&gt;&lt;date&gt;2020/08/01&lt;/date&gt;&lt;/pub-dates&gt;&lt;/dates&gt;&lt;isbn&gt;1758-6798&lt;/isbn&gt;&lt;urls&gt;&lt;related-urls&gt;&lt;url&gt;https://doi.org/10.1038/s41558-020-0831-z&lt;/url&gt;&lt;/related-urls&gt;&lt;/urls&gt;&lt;electronic-resource-num&gt;10.1038/s41558-020-0831-z&lt;/electronic-resource-num&gt;&lt;/record&gt;&lt;/Cite&gt;&lt;/EndNote&gt;</w:instrText>
      </w:r>
      <w:r w:rsidRPr="00A04EF0">
        <w:rPr>
          <w:rFonts w:ascii="Helvetica" w:hAnsi="Helvetica"/>
          <w:color w:val="000000" w:themeColor="text1"/>
        </w:rPr>
        <w:fldChar w:fldCharType="separate"/>
      </w:r>
      <w:r w:rsidRPr="00A04EF0">
        <w:rPr>
          <w:rFonts w:ascii="Helvetica" w:hAnsi="Helvetica"/>
          <w:noProof/>
          <w:color w:val="000000" w:themeColor="text1"/>
        </w:rPr>
        <w:t>(Eskander and Fankhauser 2020)</w:t>
      </w:r>
      <w:r w:rsidRPr="00A04EF0">
        <w:rPr>
          <w:rFonts w:ascii="Helvetica" w:hAnsi="Helvetica"/>
          <w:color w:val="000000" w:themeColor="text1"/>
        </w:rPr>
        <w:fldChar w:fldCharType="end"/>
      </w:r>
      <w:r w:rsidRPr="00A04EF0">
        <w:rPr>
          <w:rFonts w:ascii="Helvetica" w:hAnsi="Helvetica"/>
          <w:color w:val="000000" w:themeColor="text1"/>
        </w:rPr>
        <w:t xml:space="preserve">. </w:t>
      </w:r>
      <w:r w:rsidRPr="00A04EF0">
        <w:rPr>
          <w:rFonts w:ascii="Helvetica" w:hAnsi="Helvetica"/>
        </w:rPr>
        <w:t>After controlling for GDP, almost all countries in our sample experience declining trends in emission intensity over the last two decades</w:t>
      </w:r>
      <w:r w:rsidR="000404AE">
        <w:rPr>
          <w:rFonts w:ascii="Helvetica" w:hAnsi="Helvetica"/>
        </w:rPr>
        <w:t xml:space="preserve"> [Figure</w:t>
      </w:r>
      <w:r w:rsidR="00C46BEF">
        <w:rPr>
          <w:rFonts w:ascii="Helvetica" w:hAnsi="Helvetica"/>
        </w:rPr>
        <w:t>s</w:t>
      </w:r>
      <w:r w:rsidR="000404AE">
        <w:rPr>
          <w:rFonts w:ascii="Helvetica" w:hAnsi="Helvetica"/>
        </w:rPr>
        <w:t xml:space="preserve"> S2</w:t>
      </w:r>
      <w:r w:rsidR="00C46BEF">
        <w:rPr>
          <w:rFonts w:ascii="Helvetica" w:hAnsi="Helvetica"/>
        </w:rPr>
        <w:t xml:space="preserve"> A-C</w:t>
      </w:r>
      <w:r w:rsidR="00DA525F">
        <w:rPr>
          <w:rFonts w:ascii="Helvetica" w:hAnsi="Helvetica"/>
        </w:rPr>
        <w:t>]</w:t>
      </w:r>
      <w:r w:rsidRPr="00A04EF0">
        <w:rPr>
          <w:rFonts w:ascii="Helvetica" w:hAnsi="Helvetica"/>
        </w:rPr>
        <w:t>.</w:t>
      </w:r>
    </w:p>
    <w:p w14:paraId="2B8609DD" w14:textId="687DCE9D" w:rsidR="00E767E5" w:rsidRPr="00A04EF0" w:rsidRDefault="00E767E5" w:rsidP="00A04EF0">
      <w:pPr>
        <w:pStyle w:val="berschrift2"/>
        <w:rPr>
          <w:rFonts w:ascii="Helvetica" w:hAnsi="Helvetica"/>
        </w:rPr>
      </w:pPr>
      <w:bookmarkStart w:id="3" w:name="_Toc171323421"/>
      <w:r w:rsidRPr="00A04EF0">
        <w:rPr>
          <w:rFonts w:ascii="Helvetica" w:hAnsi="Helvetica"/>
        </w:rPr>
        <w:t xml:space="preserve">Climate policy </w:t>
      </w:r>
      <w:r w:rsidR="00337570">
        <w:rPr>
          <w:rFonts w:ascii="Helvetica" w:hAnsi="Helvetica"/>
        </w:rPr>
        <w:t xml:space="preserve">portfolio </w:t>
      </w:r>
      <w:r w:rsidR="00C242CB">
        <w:rPr>
          <w:rFonts w:ascii="Helvetica" w:hAnsi="Helvetica"/>
        </w:rPr>
        <w:t>and (inter-)</w:t>
      </w:r>
      <w:r w:rsidR="00BD2847">
        <w:rPr>
          <w:rFonts w:ascii="Helvetica" w:hAnsi="Helvetica"/>
        </w:rPr>
        <w:t xml:space="preserve">governmental organisation </w:t>
      </w:r>
      <w:r w:rsidR="00337570">
        <w:rPr>
          <w:rFonts w:ascii="Helvetica" w:hAnsi="Helvetica"/>
        </w:rPr>
        <w:t>variables</w:t>
      </w:r>
      <w:bookmarkEnd w:id="3"/>
    </w:p>
    <w:p w14:paraId="6A4DA817" w14:textId="2B99D19F" w:rsidR="00B86DF1" w:rsidRPr="00A04EF0" w:rsidRDefault="00B86DF1" w:rsidP="00B86DF1">
      <w:pPr>
        <w:pStyle w:val="Beschriftung"/>
        <w:rPr>
          <w:rFonts w:ascii="Helvetica" w:hAnsi="Helvetica"/>
          <w:i w:val="0"/>
          <w:iCs w:val="0"/>
        </w:rPr>
      </w:pPr>
      <w:r w:rsidRPr="00A04EF0">
        <w:rPr>
          <w:rFonts w:ascii="Helvetica" w:hAnsi="Helvetica"/>
          <w:i w:val="0"/>
          <w:iCs w:val="0"/>
        </w:rPr>
        <w:t xml:space="preserve">Our climate policy </w:t>
      </w:r>
      <w:r w:rsidR="00CA184E">
        <w:rPr>
          <w:rFonts w:ascii="Helvetica" w:hAnsi="Helvetica"/>
          <w:i w:val="0"/>
          <w:iCs w:val="0"/>
        </w:rPr>
        <w:t xml:space="preserve">portfolio </w:t>
      </w:r>
      <w:r w:rsidRPr="00A04EF0">
        <w:rPr>
          <w:rFonts w:ascii="Helvetica" w:hAnsi="Helvetica"/>
          <w:i w:val="0"/>
          <w:iCs w:val="0"/>
        </w:rPr>
        <w:t xml:space="preserve">variables measure </w:t>
      </w:r>
      <w:r w:rsidR="00903D51">
        <w:rPr>
          <w:rFonts w:ascii="Helvetica" w:hAnsi="Helvetica"/>
          <w:i w:val="0"/>
          <w:iCs w:val="0"/>
        </w:rPr>
        <w:t xml:space="preserve">policy </w:t>
      </w:r>
      <w:r w:rsidRPr="00A04EF0">
        <w:rPr>
          <w:rFonts w:ascii="Helvetica" w:hAnsi="Helvetica"/>
          <w:i w:val="0"/>
          <w:iCs w:val="0"/>
        </w:rPr>
        <w:t>density (cumulative numbers), sectoral coverage, instrument type,</w:t>
      </w:r>
      <w:r w:rsidR="005E7501">
        <w:rPr>
          <w:rFonts w:ascii="Helvetica" w:hAnsi="Helvetica"/>
          <w:i w:val="0"/>
          <w:iCs w:val="0"/>
        </w:rPr>
        <w:t xml:space="preserve"> and</w:t>
      </w:r>
      <w:r w:rsidRPr="00A04EF0">
        <w:rPr>
          <w:rFonts w:ascii="Helvetica" w:hAnsi="Helvetica"/>
          <w:i w:val="0"/>
          <w:iCs w:val="0"/>
        </w:rPr>
        <w:t xml:space="preserve"> long-term emission</w:t>
      </w:r>
      <w:r w:rsidR="00661014">
        <w:rPr>
          <w:rFonts w:ascii="Helvetica" w:hAnsi="Helvetica"/>
          <w:i w:val="0"/>
          <w:iCs w:val="0"/>
        </w:rPr>
        <w:t>-</w:t>
      </w:r>
      <w:r w:rsidRPr="00A04EF0">
        <w:rPr>
          <w:rFonts w:ascii="Helvetica" w:hAnsi="Helvetica"/>
          <w:i w:val="0"/>
          <w:iCs w:val="0"/>
        </w:rPr>
        <w:t>reduction targets</w:t>
      </w:r>
      <w:r w:rsidR="00EA3129">
        <w:rPr>
          <w:rFonts w:ascii="Helvetica" w:hAnsi="Helvetica"/>
          <w:i w:val="0"/>
          <w:iCs w:val="0"/>
        </w:rPr>
        <w:t>. In addition, we include a set of variables on</w:t>
      </w:r>
      <w:r w:rsidRPr="00A04EF0">
        <w:rPr>
          <w:rFonts w:ascii="Helvetica" w:hAnsi="Helvetica"/>
          <w:i w:val="0"/>
          <w:iCs w:val="0"/>
        </w:rPr>
        <w:t xml:space="preserve"> governmental</w:t>
      </w:r>
      <w:r w:rsidR="00EA3129">
        <w:rPr>
          <w:rFonts w:ascii="Helvetica" w:hAnsi="Helvetica"/>
          <w:i w:val="0"/>
          <w:iCs w:val="0"/>
        </w:rPr>
        <w:t xml:space="preserve"> and intergovernmental</w:t>
      </w:r>
      <w:r w:rsidRPr="00A04EF0">
        <w:rPr>
          <w:rFonts w:ascii="Helvetica" w:hAnsi="Helvetica"/>
          <w:i w:val="0"/>
          <w:iCs w:val="0"/>
        </w:rPr>
        <w:t xml:space="preserve"> organisations. </w:t>
      </w:r>
      <w:r w:rsidR="000F793E">
        <w:rPr>
          <w:rFonts w:ascii="Helvetica" w:hAnsi="Helvetica"/>
          <w:i w:val="0"/>
          <w:iCs w:val="0"/>
        </w:rPr>
        <w:t xml:space="preserve">Table S2 </w:t>
      </w:r>
      <w:r w:rsidRPr="00A04EF0">
        <w:rPr>
          <w:rFonts w:ascii="Helvetica" w:hAnsi="Helvetica"/>
          <w:i w:val="0"/>
          <w:iCs w:val="0"/>
        </w:rPr>
        <w:t xml:space="preserve">defines </w:t>
      </w:r>
      <w:r w:rsidRPr="00A04EF0">
        <w:rPr>
          <w:rFonts w:ascii="Helvetica" w:hAnsi="Helvetica"/>
          <w:i w:val="0"/>
          <w:iCs w:val="0"/>
        </w:rPr>
        <w:lastRenderedPageBreak/>
        <w:t>each and provides examples. Subsequent sections explain variable construction and provide descriptive statistics.</w:t>
      </w:r>
    </w:p>
    <w:p w14:paraId="4D68A0B5" w14:textId="29D1E81E" w:rsidR="00B86DF1" w:rsidRPr="00FF127A" w:rsidRDefault="00B86DF1" w:rsidP="00DF4488">
      <w:pPr>
        <w:rPr>
          <w:i/>
          <w:iCs/>
        </w:rPr>
      </w:pPr>
      <w:bookmarkStart w:id="4" w:name="_Ref163210856"/>
      <w:r w:rsidRPr="00FF127A">
        <w:rPr>
          <w:i/>
          <w:iCs/>
        </w:rPr>
        <w:t>Table</w:t>
      </w:r>
      <w:bookmarkEnd w:id="4"/>
      <w:r w:rsidR="00DA7D37" w:rsidRPr="00FF127A">
        <w:rPr>
          <w:i/>
          <w:iCs/>
        </w:rPr>
        <w:t xml:space="preserve"> S2</w:t>
      </w:r>
      <w:r w:rsidRPr="00FF127A">
        <w:rPr>
          <w:i/>
          <w:iCs/>
        </w:rPr>
        <w:t xml:space="preserve">. Definition of </w:t>
      </w:r>
      <w:r w:rsidR="00661014" w:rsidRPr="00FF127A">
        <w:rPr>
          <w:i/>
          <w:iCs/>
        </w:rPr>
        <w:t>t</w:t>
      </w:r>
      <w:r w:rsidRPr="00FF127A">
        <w:rPr>
          <w:i/>
          <w:iCs/>
        </w:rPr>
        <w:t>erms</w:t>
      </w:r>
      <w:r w:rsidR="00442BCD" w:rsidRPr="00FF127A">
        <w:rPr>
          <w:i/>
          <w:iCs/>
        </w:rPr>
        <w:t xml:space="preserve">: Climate </w:t>
      </w:r>
      <w:r w:rsidR="00661014" w:rsidRPr="00FF127A">
        <w:rPr>
          <w:i/>
          <w:iCs/>
        </w:rPr>
        <w:t>p</w:t>
      </w:r>
      <w:r w:rsidR="00442BCD" w:rsidRPr="00FF127A">
        <w:rPr>
          <w:i/>
          <w:iCs/>
        </w:rPr>
        <w:t>olicies</w:t>
      </w:r>
      <w:r w:rsidR="00C23DD2" w:rsidRPr="00FF127A">
        <w:rPr>
          <w:i/>
          <w:iCs/>
        </w:rPr>
        <w:t xml:space="preserve"> and (inter-)governmental organisations</w:t>
      </w:r>
      <w:r w:rsidR="00442BCD" w:rsidRPr="00FF127A">
        <w:rPr>
          <w:i/>
          <w:iCs/>
        </w:rPr>
        <w:t>.</w:t>
      </w:r>
    </w:p>
    <w:tbl>
      <w:tblPr>
        <w:tblStyle w:val="Tabellenraster"/>
        <w:tblW w:w="0" w:type="auto"/>
        <w:tblLook w:val="04A0" w:firstRow="1" w:lastRow="0" w:firstColumn="1" w:lastColumn="0" w:noHBand="0" w:noVBand="1"/>
      </w:tblPr>
      <w:tblGrid>
        <w:gridCol w:w="1897"/>
        <w:gridCol w:w="3238"/>
        <w:gridCol w:w="3881"/>
      </w:tblGrid>
      <w:tr w:rsidR="00B86DF1" w:rsidRPr="00DF4488" w14:paraId="069FA63F" w14:textId="77777777" w:rsidTr="00A04EF0">
        <w:trPr>
          <w:trHeight w:val="231"/>
        </w:trPr>
        <w:tc>
          <w:tcPr>
            <w:tcW w:w="1838" w:type="dxa"/>
          </w:tcPr>
          <w:p w14:paraId="53EB40F0" w14:textId="093A52EA" w:rsidR="00B86DF1" w:rsidRPr="00FF127A" w:rsidRDefault="00B86DF1" w:rsidP="00DF4488">
            <w:pPr>
              <w:rPr>
                <w:b/>
                <w:bCs/>
                <w:sz w:val="21"/>
                <w:szCs w:val="21"/>
              </w:rPr>
            </w:pPr>
            <w:r w:rsidRPr="00FF127A">
              <w:rPr>
                <w:b/>
                <w:bCs/>
                <w:sz w:val="21"/>
                <w:szCs w:val="21"/>
              </w:rPr>
              <w:t>Term</w:t>
            </w:r>
          </w:p>
        </w:tc>
        <w:tc>
          <w:tcPr>
            <w:tcW w:w="3260" w:type="dxa"/>
          </w:tcPr>
          <w:p w14:paraId="166D4C78" w14:textId="04733CAC" w:rsidR="00B86DF1" w:rsidRPr="00FF127A" w:rsidRDefault="00B86DF1" w:rsidP="00DF4488">
            <w:pPr>
              <w:rPr>
                <w:b/>
                <w:bCs/>
                <w:sz w:val="21"/>
                <w:szCs w:val="21"/>
              </w:rPr>
            </w:pPr>
            <w:r w:rsidRPr="00FF127A">
              <w:rPr>
                <w:b/>
                <w:bCs/>
                <w:sz w:val="21"/>
                <w:szCs w:val="21"/>
              </w:rPr>
              <w:t>Definition</w:t>
            </w:r>
          </w:p>
        </w:tc>
        <w:tc>
          <w:tcPr>
            <w:tcW w:w="3918" w:type="dxa"/>
          </w:tcPr>
          <w:p w14:paraId="7A1B5BDA" w14:textId="77777777" w:rsidR="00B86DF1" w:rsidRPr="00FF127A" w:rsidRDefault="00B86DF1" w:rsidP="00DF4488">
            <w:pPr>
              <w:rPr>
                <w:b/>
                <w:bCs/>
                <w:sz w:val="21"/>
                <w:szCs w:val="21"/>
              </w:rPr>
            </w:pPr>
            <w:r w:rsidRPr="00FF127A">
              <w:rPr>
                <w:b/>
                <w:bCs/>
                <w:sz w:val="21"/>
                <w:szCs w:val="21"/>
              </w:rPr>
              <w:t>Example</w:t>
            </w:r>
          </w:p>
        </w:tc>
      </w:tr>
      <w:tr w:rsidR="00B86DF1" w:rsidRPr="00DF4488" w14:paraId="105A1CD5" w14:textId="77777777" w:rsidTr="00A04EF0">
        <w:trPr>
          <w:trHeight w:val="1164"/>
        </w:trPr>
        <w:tc>
          <w:tcPr>
            <w:tcW w:w="1838" w:type="dxa"/>
          </w:tcPr>
          <w:p w14:paraId="1051625A" w14:textId="72191212" w:rsidR="00B86DF1" w:rsidRPr="00DF4488" w:rsidRDefault="00B86DF1" w:rsidP="00DF4488">
            <w:pPr>
              <w:rPr>
                <w:rFonts w:ascii="Helvetica" w:hAnsi="Helvetica"/>
                <w:i/>
                <w:sz w:val="21"/>
                <w:szCs w:val="21"/>
              </w:rPr>
            </w:pPr>
            <w:r w:rsidRPr="00DF4488">
              <w:rPr>
                <w:rFonts w:ascii="Helvetica" w:hAnsi="Helvetica"/>
                <w:i/>
                <w:sz w:val="21"/>
                <w:szCs w:val="21"/>
              </w:rPr>
              <w:t>Climate policy</w:t>
            </w:r>
          </w:p>
        </w:tc>
        <w:tc>
          <w:tcPr>
            <w:tcW w:w="3260" w:type="dxa"/>
          </w:tcPr>
          <w:p w14:paraId="35B96FAA" w14:textId="4681EB4F" w:rsidR="00B86DF1" w:rsidRPr="00DF4488" w:rsidRDefault="00B86DF1" w:rsidP="00DF4488">
            <w:pPr>
              <w:rPr>
                <w:rFonts w:ascii="Helvetica" w:hAnsi="Helvetica"/>
                <w:i/>
                <w:sz w:val="21"/>
                <w:szCs w:val="21"/>
              </w:rPr>
            </w:pPr>
            <w:r w:rsidRPr="00DF4488">
              <w:rPr>
                <w:rFonts w:ascii="Helvetica" w:hAnsi="Helvetica"/>
                <w:sz w:val="21"/>
                <w:szCs w:val="21"/>
              </w:rPr>
              <w:t>Law (legislated act), executive order, programme, intervention or initiative relevant to mitigation.</w:t>
            </w:r>
          </w:p>
        </w:tc>
        <w:tc>
          <w:tcPr>
            <w:tcW w:w="3918" w:type="dxa"/>
          </w:tcPr>
          <w:p w14:paraId="25FDB01D" w14:textId="77777777" w:rsidR="00B86DF1" w:rsidRPr="00DF4488" w:rsidRDefault="00B86DF1" w:rsidP="00DF4488">
            <w:pPr>
              <w:rPr>
                <w:rFonts w:ascii="Helvetica" w:hAnsi="Helvetica"/>
                <w:i/>
                <w:sz w:val="21"/>
                <w:szCs w:val="21"/>
              </w:rPr>
            </w:pPr>
            <w:r w:rsidRPr="00DF4488">
              <w:rPr>
                <w:rFonts w:ascii="Helvetica" w:hAnsi="Helvetica"/>
                <w:i/>
                <w:sz w:val="21"/>
                <w:szCs w:val="21"/>
              </w:rPr>
              <w:t xml:space="preserve">National Climate Change Law (Brazil). </w:t>
            </w:r>
            <w:r w:rsidRPr="00DF4488">
              <w:rPr>
                <w:rFonts w:ascii="Helvetica" w:hAnsi="Helvetica"/>
                <w:sz w:val="21"/>
                <w:szCs w:val="21"/>
              </w:rPr>
              <w:t xml:space="preserve">Flagship 2009 legislation establishing emission reduction and sectoral targets including on efficiency, renewables, biofuels </w:t>
            </w:r>
            <w:r w:rsidRPr="00DF4488">
              <w:rPr>
                <w:rFonts w:ascii="Helvetica" w:hAnsi="Helvetica"/>
                <w:sz w:val="21"/>
                <w:szCs w:val="21"/>
              </w:rPr>
              <w:fldChar w:fldCharType="begin"/>
            </w:r>
            <w:r w:rsidRPr="00DF4488">
              <w:rPr>
                <w:rFonts w:ascii="Helvetica" w:hAnsi="Helvetica"/>
                <w:sz w:val="21"/>
                <w:szCs w:val="21"/>
              </w:rPr>
              <w:instrText xml:space="preserve"> ADDIN EN.CITE &lt;EndNote&gt;&lt;Cite&gt;&lt;Author&gt;Viola&lt;/Author&gt;&lt;Year&gt;2015&lt;/Year&gt;&lt;RecNum&gt;6905&lt;/RecNum&gt;&lt;DisplayText&gt;(Viola and Basso 2015)&lt;/DisplayText&gt;&lt;record&gt;&lt;rec-number&gt;6905&lt;/rec-number&gt;&lt;foreign-keys&gt;&lt;key app="EN" db-id="pzwxerf5sf52xoef20m52s5jxpa0wpaspvpd" timestamp="1702157599"&gt;6905&lt;/key&gt;&lt;/foreign-keys&gt;&lt;ref-type name="Journal Article"&gt;17&lt;/ref-type&gt;&lt;contributors&gt;&lt;authors&gt;&lt;author&gt;Viola, Eduardo&lt;/author&gt;&lt;author&gt;Basso, Larissa&lt;/author&gt;&lt;/authors&gt;&lt;/contributors&gt;&lt;titles&gt;&lt;title&gt;Brazilian Energy-Climate Policy and Politics towards Low Carbon Development&lt;/title&gt;&lt;secondary-title&gt;Global Society&lt;/secondary-title&gt;&lt;/titles&gt;&lt;periodical&gt;&lt;full-title&gt;Global Society&lt;/full-title&gt;&lt;/periodical&gt;&lt;pages&gt;427-446&lt;/pages&gt;&lt;volume&gt;29&lt;/volume&gt;&lt;number&gt;3&lt;/number&gt;&lt;dates&gt;&lt;year&gt;2015&lt;/year&gt;&lt;pub-dates&gt;&lt;date&gt;2015/07/03&lt;/date&gt;&lt;/pub-dates&gt;&lt;/dates&gt;&lt;publisher&gt;Routledge&lt;/publisher&gt;&lt;isbn&gt;1360-0826&lt;/isbn&gt;&lt;urls&gt;&lt;related-urls&gt;&lt;url&gt;https://doi.org/10.1080/13600826.2015.1028904&lt;/url&gt;&lt;/related-urls&gt;&lt;/urls&gt;&lt;electronic-resource-num&gt;10.1080/13600826.2015.1028904&lt;/electronic-resource-num&gt;&lt;/record&gt;&lt;/Cite&gt;&lt;/EndNote&gt;</w:instrText>
            </w:r>
            <w:r w:rsidRPr="00DF4488">
              <w:rPr>
                <w:rFonts w:ascii="Helvetica" w:hAnsi="Helvetica"/>
                <w:sz w:val="21"/>
                <w:szCs w:val="21"/>
              </w:rPr>
              <w:fldChar w:fldCharType="separate"/>
            </w:r>
            <w:r w:rsidRPr="00DF4488">
              <w:rPr>
                <w:rFonts w:ascii="Helvetica" w:hAnsi="Helvetica"/>
                <w:noProof/>
                <w:sz w:val="21"/>
                <w:szCs w:val="21"/>
              </w:rPr>
              <w:t>(Viola and Basso 2015)</w:t>
            </w:r>
            <w:r w:rsidRPr="00DF4488">
              <w:rPr>
                <w:rFonts w:ascii="Helvetica" w:hAnsi="Helvetica"/>
                <w:sz w:val="21"/>
                <w:szCs w:val="21"/>
              </w:rPr>
              <w:fldChar w:fldCharType="end"/>
            </w:r>
            <w:r w:rsidRPr="00DF4488">
              <w:rPr>
                <w:rFonts w:ascii="Helvetica" w:hAnsi="Helvetica"/>
                <w:sz w:val="21"/>
                <w:szCs w:val="21"/>
              </w:rPr>
              <w:t>.</w:t>
            </w:r>
          </w:p>
        </w:tc>
      </w:tr>
      <w:tr w:rsidR="00CA184E" w:rsidRPr="00DF4488" w14:paraId="25CA06A8" w14:textId="77777777" w:rsidTr="00BE70A8">
        <w:trPr>
          <w:trHeight w:val="932"/>
        </w:trPr>
        <w:tc>
          <w:tcPr>
            <w:tcW w:w="1838" w:type="dxa"/>
          </w:tcPr>
          <w:p w14:paraId="1E458F66" w14:textId="77777777" w:rsidR="00CA184E" w:rsidRPr="00DF4488" w:rsidRDefault="00CA184E" w:rsidP="00DF4488">
            <w:pPr>
              <w:rPr>
                <w:rFonts w:ascii="Helvetica" w:hAnsi="Helvetica"/>
                <w:i/>
                <w:sz w:val="21"/>
                <w:szCs w:val="21"/>
              </w:rPr>
            </w:pPr>
            <w:r w:rsidRPr="00DF4488">
              <w:rPr>
                <w:rFonts w:ascii="Helvetica" w:hAnsi="Helvetica"/>
                <w:i/>
                <w:sz w:val="21"/>
                <w:szCs w:val="21"/>
              </w:rPr>
              <w:t>Climate policy sectoral coverage</w:t>
            </w:r>
          </w:p>
        </w:tc>
        <w:tc>
          <w:tcPr>
            <w:tcW w:w="3260" w:type="dxa"/>
          </w:tcPr>
          <w:p w14:paraId="6D9AEF87" w14:textId="77777777" w:rsidR="00CA184E" w:rsidRPr="00DF4488" w:rsidRDefault="00CA184E" w:rsidP="00DF4488">
            <w:pPr>
              <w:rPr>
                <w:rFonts w:ascii="Helvetica" w:hAnsi="Helvetica"/>
                <w:i/>
                <w:sz w:val="21"/>
                <w:szCs w:val="21"/>
              </w:rPr>
            </w:pPr>
            <w:r w:rsidRPr="00DF4488">
              <w:rPr>
                <w:rFonts w:ascii="Helvetica" w:hAnsi="Helvetica"/>
                <w:sz w:val="21"/>
                <w:szCs w:val="21"/>
              </w:rPr>
              <w:t>GHG-emitting sector(s) targeted by a policy (energy, land use, buildings, transport, industry) or cross-sectoral, economy-wide.</w:t>
            </w:r>
          </w:p>
        </w:tc>
        <w:tc>
          <w:tcPr>
            <w:tcW w:w="3918" w:type="dxa"/>
          </w:tcPr>
          <w:p w14:paraId="6BE40613" w14:textId="77777777" w:rsidR="00CA184E" w:rsidRPr="00DF4488" w:rsidRDefault="00CA184E" w:rsidP="00DF4488">
            <w:pPr>
              <w:rPr>
                <w:rFonts w:ascii="Helvetica" w:hAnsi="Helvetica"/>
                <w:i/>
                <w:sz w:val="21"/>
                <w:szCs w:val="21"/>
              </w:rPr>
            </w:pPr>
            <w:r w:rsidRPr="00DF4488">
              <w:rPr>
                <w:rFonts w:ascii="Helvetica" w:hAnsi="Helvetica"/>
                <w:i/>
                <w:sz w:val="21"/>
                <w:szCs w:val="21"/>
              </w:rPr>
              <w:t xml:space="preserve">Clean Power Plan (US). </w:t>
            </w:r>
            <w:r w:rsidRPr="00DF4488">
              <w:rPr>
                <w:rFonts w:ascii="Helvetica" w:hAnsi="Helvetica"/>
                <w:sz w:val="21"/>
                <w:szCs w:val="21"/>
              </w:rPr>
              <w:t xml:space="preserve">Federal 2015 policy limiting emissions in the energy supply sector </w:t>
            </w:r>
            <w:r w:rsidRPr="00DF4488">
              <w:rPr>
                <w:rFonts w:ascii="Helvetica" w:hAnsi="Helvetica"/>
                <w:sz w:val="21"/>
                <w:szCs w:val="21"/>
              </w:rPr>
              <w:fldChar w:fldCharType="begin"/>
            </w:r>
            <w:r w:rsidRPr="00DF4488">
              <w:rPr>
                <w:rFonts w:ascii="Helvetica" w:hAnsi="Helvetica"/>
                <w:sz w:val="21"/>
                <w:szCs w:val="21"/>
              </w:rPr>
              <w:instrText xml:space="preserve"> ADDIN EN.CITE &lt;EndNote&gt;&lt;Cite&gt;&lt;Author&gt;Pischke&lt;/Author&gt;&lt;Year&gt;2018&lt;/Year&gt;&lt;RecNum&gt;6907&lt;/RecNum&gt;&lt;DisplayText&gt;(Pischke, Solomon et al. 2018)&lt;/DisplayText&gt;&lt;record&gt;&lt;rec-number&gt;6907&lt;/rec-number&gt;&lt;foreign-keys&gt;&lt;key app="EN" db-id="pzwxerf5sf52xoef20m52s5jxpa0wpaspvpd" timestamp="1702158054"&gt;6907&lt;/key&gt;&lt;/foreign-keys&gt;&lt;ref-type name="Journal Article"&gt;17&lt;/ref-type&gt;&lt;contributors&gt;&lt;authors&gt;&lt;author&gt;Pischke, Erin C.&lt;/author&gt;&lt;author&gt;Solomon, Barry D.&lt;/author&gt;&lt;author&gt;Wellstead, Adam M.&lt;/author&gt;&lt;/authors&gt;&lt;/contributors&gt;&lt;titles&gt;&lt;title&gt;A historical analysis of US climate change policy in the Pan-American context&lt;/title&gt;&lt;secondary-title&gt;Journal of Environmental Studies and Sciences&lt;/secondary-title&gt;&lt;/titles&gt;&lt;periodical&gt;&lt;full-title&gt;Journal of Environmental Studies and Sciences&lt;/full-title&gt;&lt;/periodical&gt;&lt;pages&gt;225-232&lt;/pages&gt;&lt;volume&gt;8&lt;/volume&gt;&lt;number&gt;2&lt;/number&gt;&lt;dates&gt;&lt;year&gt;2018&lt;/year&gt;&lt;pub-dates&gt;&lt;date&gt;2018/06/01&lt;/date&gt;&lt;/pub-dates&gt;&lt;/dates&gt;&lt;isbn&gt;2190-6491&lt;/isbn&gt;&lt;urls&gt;&lt;related-urls&gt;&lt;url&gt;https://doi.org/10.1007/s13412-018-0476-7&lt;/url&gt;&lt;/related-urls&gt;&lt;/urls&gt;&lt;electronic-resource-num&gt;10.1007/s13412-018-0476-7&lt;/electronic-resource-num&gt;&lt;/record&gt;&lt;/Cite&gt;&lt;/EndNote&gt;</w:instrText>
            </w:r>
            <w:r w:rsidRPr="00DF4488">
              <w:rPr>
                <w:rFonts w:ascii="Helvetica" w:hAnsi="Helvetica"/>
                <w:sz w:val="21"/>
                <w:szCs w:val="21"/>
              </w:rPr>
              <w:fldChar w:fldCharType="separate"/>
            </w:r>
            <w:r w:rsidRPr="00DF4488">
              <w:rPr>
                <w:rFonts w:ascii="Helvetica" w:hAnsi="Helvetica"/>
                <w:noProof/>
                <w:sz w:val="21"/>
                <w:szCs w:val="21"/>
              </w:rPr>
              <w:t>(Pischke, Solomon et al. 2018)</w:t>
            </w:r>
            <w:r w:rsidRPr="00DF4488">
              <w:rPr>
                <w:rFonts w:ascii="Helvetica" w:hAnsi="Helvetica"/>
                <w:sz w:val="21"/>
                <w:szCs w:val="21"/>
              </w:rPr>
              <w:fldChar w:fldCharType="end"/>
            </w:r>
            <w:r w:rsidRPr="00DF4488">
              <w:rPr>
                <w:rFonts w:ascii="Helvetica" w:hAnsi="Helvetica"/>
                <w:sz w:val="21"/>
                <w:szCs w:val="21"/>
              </w:rPr>
              <w:t>.</w:t>
            </w:r>
          </w:p>
        </w:tc>
      </w:tr>
      <w:tr w:rsidR="00B86DF1" w:rsidRPr="00DF4488" w14:paraId="73DBB88B" w14:textId="77777777" w:rsidTr="00A04EF0">
        <w:trPr>
          <w:trHeight w:val="932"/>
        </w:trPr>
        <w:tc>
          <w:tcPr>
            <w:tcW w:w="1838" w:type="dxa"/>
          </w:tcPr>
          <w:p w14:paraId="5A361FD0" w14:textId="53AEC41F" w:rsidR="00B86DF1" w:rsidRPr="00DF4488" w:rsidRDefault="00B86DF1" w:rsidP="00DF4488">
            <w:pPr>
              <w:rPr>
                <w:rFonts w:ascii="Helvetica" w:hAnsi="Helvetica"/>
                <w:i/>
                <w:sz w:val="21"/>
                <w:szCs w:val="21"/>
              </w:rPr>
            </w:pPr>
            <w:r w:rsidRPr="00DF4488">
              <w:rPr>
                <w:rFonts w:ascii="Helvetica" w:hAnsi="Helvetica"/>
                <w:i/>
                <w:sz w:val="21"/>
                <w:szCs w:val="21"/>
              </w:rPr>
              <w:t>Climate policy instrument</w:t>
            </w:r>
          </w:p>
        </w:tc>
        <w:tc>
          <w:tcPr>
            <w:tcW w:w="3260" w:type="dxa"/>
          </w:tcPr>
          <w:p w14:paraId="6C10D81D" w14:textId="57F7D76C" w:rsidR="00B86DF1" w:rsidRPr="00DF4488" w:rsidRDefault="00BE70A8" w:rsidP="00DF4488">
            <w:pPr>
              <w:rPr>
                <w:rFonts w:ascii="Helvetica" w:hAnsi="Helvetica"/>
                <w:i/>
                <w:sz w:val="21"/>
                <w:szCs w:val="21"/>
              </w:rPr>
            </w:pPr>
            <w:r w:rsidRPr="00DF4488">
              <w:rPr>
                <w:rFonts w:ascii="Helvetica" w:hAnsi="Helvetica"/>
                <w:sz w:val="21"/>
                <w:szCs w:val="21"/>
              </w:rPr>
              <w:t>T</w:t>
            </w:r>
            <w:r w:rsidR="00B86DF1" w:rsidRPr="00DF4488">
              <w:rPr>
                <w:rFonts w:ascii="Helvetica" w:hAnsi="Helvetica"/>
                <w:sz w:val="21"/>
                <w:szCs w:val="21"/>
              </w:rPr>
              <w:t xml:space="preserve">ype of </w:t>
            </w:r>
            <w:r w:rsidR="00531404" w:rsidRPr="00DF4488">
              <w:rPr>
                <w:rFonts w:ascii="Helvetica" w:hAnsi="Helvetica"/>
                <w:sz w:val="21"/>
                <w:szCs w:val="21"/>
              </w:rPr>
              <w:t xml:space="preserve">instrument </w:t>
            </w:r>
            <w:r w:rsidR="00AF2C4A" w:rsidRPr="00DF4488">
              <w:rPr>
                <w:rFonts w:ascii="Helvetica" w:hAnsi="Helvetica"/>
                <w:sz w:val="21"/>
                <w:szCs w:val="21"/>
              </w:rPr>
              <w:t>specified</w:t>
            </w:r>
            <w:r w:rsidR="00531404" w:rsidRPr="00DF4488">
              <w:rPr>
                <w:rFonts w:ascii="Helvetica" w:hAnsi="Helvetica"/>
                <w:sz w:val="21"/>
                <w:szCs w:val="21"/>
              </w:rPr>
              <w:t xml:space="preserve"> by a policy to reduce GHG emissions</w:t>
            </w:r>
            <w:r w:rsidR="00202511" w:rsidRPr="00DF4488">
              <w:rPr>
                <w:rFonts w:ascii="Helvetica" w:hAnsi="Helvetica"/>
                <w:sz w:val="21"/>
                <w:szCs w:val="21"/>
              </w:rPr>
              <w:t xml:space="preserve"> (</w:t>
            </w:r>
            <w:proofErr w:type="gramStart"/>
            <w:r w:rsidR="00202511" w:rsidRPr="00DF4488">
              <w:rPr>
                <w:rFonts w:ascii="Helvetica" w:hAnsi="Helvetica"/>
                <w:sz w:val="21"/>
                <w:szCs w:val="21"/>
              </w:rPr>
              <w:t>i.e.</w:t>
            </w:r>
            <w:proofErr w:type="gramEnd"/>
            <w:r w:rsidR="00202511" w:rsidRPr="00DF4488">
              <w:rPr>
                <w:rFonts w:ascii="Helvetica" w:hAnsi="Helvetica"/>
                <w:sz w:val="21"/>
                <w:szCs w:val="21"/>
              </w:rPr>
              <w:t xml:space="preserve"> the means to achieve </w:t>
            </w:r>
            <w:r w:rsidR="003C07BF" w:rsidRPr="00DF4488">
              <w:rPr>
                <w:rFonts w:ascii="Helvetica" w:hAnsi="Helvetica"/>
                <w:sz w:val="21"/>
                <w:szCs w:val="21"/>
              </w:rPr>
              <w:t>mitigation</w:t>
            </w:r>
            <w:r w:rsidR="00202511" w:rsidRPr="00DF4488">
              <w:rPr>
                <w:rFonts w:ascii="Helvetica" w:hAnsi="Helvetica"/>
                <w:sz w:val="21"/>
                <w:szCs w:val="21"/>
              </w:rPr>
              <w:t>)</w:t>
            </w:r>
            <w:r w:rsidR="00531404" w:rsidRPr="00DF4488">
              <w:rPr>
                <w:rFonts w:ascii="Helvetica" w:hAnsi="Helvetica"/>
                <w:sz w:val="21"/>
                <w:szCs w:val="21"/>
              </w:rPr>
              <w:t xml:space="preserve">. </w:t>
            </w:r>
          </w:p>
        </w:tc>
        <w:tc>
          <w:tcPr>
            <w:tcW w:w="3918" w:type="dxa"/>
          </w:tcPr>
          <w:p w14:paraId="5D3FCE57" w14:textId="77777777" w:rsidR="00B86DF1" w:rsidRPr="00DF4488" w:rsidRDefault="00B86DF1" w:rsidP="00DF4488">
            <w:pPr>
              <w:rPr>
                <w:rFonts w:ascii="Helvetica" w:hAnsi="Helvetica"/>
                <w:i/>
                <w:sz w:val="21"/>
                <w:szCs w:val="21"/>
              </w:rPr>
            </w:pPr>
            <w:r w:rsidRPr="00DF4488">
              <w:rPr>
                <w:rFonts w:ascii="Helvetica" w:hAnsi="Helvetica"/>
                <w:i/>
                <w:sz w:val="21"/>
                <w:szCs w:val="21"/>
              </w:rPr>
              <w:t>Carbon Tax (Estonia).</w:t>
            </w:r>
            <w:r w:rsidRPr="00DF4488">
              <w:rPr>
                <w:rFonts w:ascii="Helvetica" w:hAnsi="Helvetica"/>
                <w:sz w:val="21"/>
                <w:szCs w:val="21"/>
              </w:rPr>
              <w:t xml:space="preserve"> Market-based policy instrument introduced in 2000 setting a price on emissions </w:t>
            </w:r>
            <w:r w:rsidRPr="00DF4488">
              <w:rPr>
                <w:rFonts w:ascii="Helvetica" w:hAnsi="Helvetica"/>
                <w:sz w:val="21"/>
                <w:szCs w:val="21"/>
              </w:rPr>
              <w:fldChar w:fldCharType="begin"/>
            </w:r>
            <w:r w:rsidRPr="00DF4488">
              <w:rPr>
                <w:rFonts w:ascii="Helvetica" w:hAnsi="Helvetica"/>
                <w:sz w:val="21"/>
                <w:szCs w:val="21"/>
              </w:rPr>
              <w:instrText xml:space="preserve"> ADDIN EN.CITE &lt;EndNote&gt;&lt;Cite&gt;&lt;Author&gt;Valdmaa&lt;/Author&gt;&lt;Year&gt;2014&lt;/Year&gt;&lt;RecNum&gt;6906&lt;/RecNum&gt;&lt;DisplayText&gt;(Valdmaa 2014)&lt;/DisplayText&gt;&lt;record&gt;&lt;rec-number&gt;6906&lt;/rec-number&gt;&lt;foreign-keys&gt;&lt;key app="EN" db-id="pzwxerf5sf52xoef20m52s5jxpa0wpaspvpd" timestamp="1702157975"&gt;6906&lt;/key&gt;&lt;/foreign-keys&gt;&lt;ref-type name="Journal Article"&gt;17&lt;/ref-type&gt;&lt;contributors&gt;&lt;authors&gt;&lt;author&gt;Valdmaa, Kaija&lt;/author&gt;&lt;/authors&gt;&lt;/contributors&gt;&lt;titles&gt;&lt;title&gt;Development of the environmental taxes and charges system in Estonia: international convergence mechanisms and local factors&lt;/title&gt;&lt;secondary-title&gt;Policy Studies&lt;/secondary-title&gt;&lt;/titles&gt;&lt;periodical&gt;&lt;full-title&gt;Policy Studies&lt;/full-title&gt;&lt;/periodical&gt;&lt;pages&gt;339-356&lt;/pages&gt;&lt;volume&gt;35&lt;/volume&gt;&lt;number&gt;4&lt;/number&gt;&lt;dates&gt;&lt;year&gt;2014&lt;/year&gt;&lt;pub-dates&gt;&lt;date&gt;2014/07/04&lt;/date&gt;&lt;/pub-dates&gt;&lt;/dates&gt;&lt;publisher&gt;Routledge&lt;/publisher&gt;&lt;isbn&gt;0144-2872&lt;/isbn&gt;&lt;urls&gt;&lt;related-urls&gt;&lt;url&gt;https://doi.org/10.1080/01442872.2013.875152&lt;/url&gt;&lt;/related-urls&gt;&lt;/urls&gt;&lt;electronic-resource-num&gt;10.1080/01442872.2013.875152&lt;/electronic-resource-num&gt;&lt;/record&gt;&lt;/Cite&gt;&lt;/EndNote&gt;</w:instrText>
            </w:r>
            <w:r w:rsidRPr="00DF4488">
              <w:rPr>
                <w:rFonts w:ascii="Helvetica" w:hAnsi="Helvetica"/>
                <w:sz w:val="21"/>
                <w:szCs w:val="21"/>
              </w:rPr>
              <w:fldChar w:fldCharType="separate"/>
            </w:r>
            <w:r w:rsidRPr="00DF4488">
              <w:rPr>
                <w:rFonts w:ascii="Helvetica" w:hAnsi="Helvetica"/>
                <w:noProof/>
                <w:sz w:val="21"/>
                <w:szCs w:val="21"/>
              </w:rPr>
              <w:t>(Valdmaa 2014)</w:t>
            </w:r>
            <w:r w:rsidRPr="00DF4488">
              <w:rPr>
                <w:rFonts w:ascii="Helvetica" w:hAnsi="Helvetica"/>
                <w:sz w:val="21"/>
                <w:szCs w:val="21"/>
              </w:rPr>
              <w:fldChar w:fldCharType="end"/>
            </w:r>
            <w:r w:rsidRPr="00DF4488">
              <w:rPr>
                <w:rFonts w:ascii="Helvetica" w:hAnsi="Helvetica"/>
                <w:sz w:val="21"/>
                <w:szCs w:val="21"/>
              </w:rPr>
              <w:t>.</w:t>
            </w:r>
          </w:p>
        </w:tc>
      </w:tr>
      <w:tr w:rsidR="00A14A6E" w:rsidRPr="00DF4488" w14:paraId="010381A3" w14:textId="77777777" w:rsidTr="00442BCD">
        <w:trPr>
          <w:trHeight w:val="1154"/>
        </w:trPr>
        <w:tc>
          <w:tcPr>
            <w:tcW w:w="1838" w:type="dxa"/>
          </w:tcPr>
          <w:p w14:paraId="67ABCD90" w14:textId="5A102712" w:rsidR="00A14A6E" w:rsidRPr="00DF4488" w:rsidRDefault="00E44D74" w:rsidP="00DF4488">
            <w:pPr>
              <w:rPr>
                <w:rFonts w:ascii="Helvetica" w:hAnsi="Helvetica"/>
                <w:i/>
                <w:sz w:val="21"/>
                <w:szCs w:val="21"/>
              </w:rPr>
            </w:pPr>
            <w:r w:rsidRPr="00DF4488">
              <w:rPr>
                <w:rFonts w:ascii="Helvetica" w:hAnsi="Helvetica"/>
                <w:i/>
                <w:sz w:val="21"/>
                <w:szCs w:val="21"/>
              </w:rPr>
              <w:t>Emission</w:t>
            </w:r>
            <w:r w:rsidR="00661014" w:rsidRPr="00DF4488">
              <w:rPr>
                <w:rFonts w:ascii="Helvetica" w:hAnsi="Helvetica"/>
                <w:i/>
                <w:sz w:val="21"/>
                <w:szCs w:val="21"/>
              </w:rPr>
              <w:t>-</w:t>
            </w:r>
            <w:r w:rsidRPr="00DF4488">
              <w:rPr>
                <w:rFonts w:ascii="Helvetica" w:hAnsi="Helvetica"/>
                <w:i/>
                <w:sz w:val="21"/>
                <w:szCs w:val="21"/>
              </w:rPr>
              <w:t>reduction target</w:t>
            </w:r>
          </w:p>
        </w:tc>
        <w:tc>
          <w:tcPr>
            <w:tcW w:w="3260" w:type="dxa"/>
          </w:tcPr>
          <w:p w14:paraId="472696AC" w14:textId="38B7B967" w:rsidR="00661014" w:rsidRPr="00DF4488" w:rsidRDefault="004415C8" w:rsidP="00DF4488">
            <w:pPr>
              <w:rPr>
                <w:rFonts w:ascii="Helvetica" w:hAnsi="Helvetica"/>
                <w:sz w:val="21"/>
                <w:szCs w:val="21"/>
              </w:rPr>
            </w:pPr>
            <w:r w:rsidRPr="00DF4488">
              <w:rPr>
                <w:rFonts w:ascii="Helvetica" w:hAnsi="Helvetica"/>
                <w:sz w:val="21"/>
                <w:szCs w:val="21"/>
              </w:rPr>
              <w:t>Absolute</w:t>
            </w:r>
            <w:r w:rsidR="004165C0" w:rsidRPr="00DF4488">
              <w:rPr>
                <w:rFonts w:ascii="Helvetica" w:hAnsi="Helvetica"/>
                <w:sz w:val="21"/>
                <w:szCs w:val="21"/>
              </w:rPr>
              <w:t xml:space="preserve"> </w:t>
            </w:r>
            <w:r w:rsidR="00661014" w:rsidRPr="00DF4488">
              <w:rPr>
                <w:rFonts w:ascii="Helvetica" w:hAnsi="Helvetica"/>
                <w:sz w:val="21"/>
                <w:szCs w:val="21"/>
              </w:rPr>
              <w:t xml:space="preserve">targets </w:t>
            </w:r>
            <w:r w:rsidR="004165C0" w:rsidRPr="00DF4488">
              <w:rPr>
                <w:rFonts w:ascii="Helvetica" w:hAnsi="Helvetica"/>
                <w:sz w:val="21"/>
                <w:szCs w:val="21"/>
              </w:rPr>
              <w:t>(compared to 1990 or other fixed reference year emission levels)</w:t>
            </w:r>
            <w:r w:rsidR="00661014" w:rsidRPr="00DF4488">
              <w:rPr>
                <w:rFonts w:ascii="Helvetica" w:hAnsi="Helvetica"/>
                <w:sz w:val="21"/>
                <w:szCs w:val="21"/>
              </w:rPr>
              <w:t>.</w:t>
            </w:r>
          </w:p>
          <w:p w14:paraId="0A5B70D0" w14:textId="07581BE5" w:rsidR="00661014" w:rsidRPr="00DF4488" w:rsidRDefault="00661014" w:rsidP="00DF4488">
            <w:pPr>
              <w:rPr>
                <w:rFonts w:ascii="Helvetica" w:hAnsi="Helvetica"/>
                <w:sz w:val="21"/>
                <w:szCs w:val="21"/>
              </w:rPr>
            </w:pPr>
            <w:r w:rsidRPr="00DF4488">
              <w:rPr>
                <w:rFonts w:ascii="Helvetica" w:hAnsi="Helvetica"/>
                <w:sz w:val="21"/>
                <w:szCs w:val="21"/>
              </w:rPr>
              <w:t>R</w:t>
            </w:r>
            <w:r w:rsidR="004415C8" w:rsidRPr="00DF4488">
              <w:rPr>
                <w:rFonts w:ascii="Helvetica" w:hAnsi="Helvetica"/>
                <w:sz w:val="21"/>
                <w:szCs w:val="21"/>
              </w:rPr>
              <w:t>elative</w:t>
            </w:r>
            <w:r w:rsidRPr="00DF4488">
              <w:rPr>
                <w:rFonts w:ascii="Helvetica" w:hAnsi="Helvetica"/>
                <w:sz w:val="21"/>
                <w:szCs w:val="21"/>
              </w:rPr>
              <w:t xml:space="preserve"> </w:t>
            </w:r>
            <w:proofErr w:type="gramStart"/>
            <w:r w:rsidRPr="00DF4488">
              <w:rPr>
                <w:rFonts w:ascii="Helvetica" w:hAnsi="Helvetica"/>
                <w:sz w:val="21"/>
                <w:szCs w:val="21"/>
              </w:rPr>
              <w:t xml:space="preserve">targets </w:t>
            </w:r>
            <w:r w:rsidR="004165C0" w:rsidRPr="00DF4488">
              <w:rPr>
                <w:rFonts w:ascii="Helvetica" w:hAnsi="Helvetica"/>
                <w:sz w:val="21"/>
                <w:szCs w:val="21"/>
              </w:rPr>
              <w:t xml:space="preserve"> (</w:t>
            </w:r>
            <w:proofErr w:type="gramEnd"/>
            <w:r w:rsidR="004165C0" w:rsidRPr="00DF4488">
              <w:rPr>
                <w:rFonts w:ascii="Helvetica" w:hAnsi="Helvetica"/>
                <w:sz w:val="21"/>
                <w:szCs w:val="21"/>
              </w:rPr>
              <w:t>compared to business-as-usual, or reductions in emission intensity)</w:t>
            </w:r>
            <w:r w:rsidRPr="00DF4488">
              <w:rPr>
                <w:rFonts w:ascii="Helvetica" w:hAnsi="Helvetica"/>
                <w:sz w:val="21"/>
                <w:szCs w:val="21"/>
              </w:rPr>
              <w:t>.</w:t>
            </w:r>
          </w:p>
          <w:p w14:paraId="44F9FFBA" w14:textId="5A32DC95" w:rsidR="00A14A6E" w:rsidRPr="00DF4488" w:rsidDel="00B86DF1" w:rsidRDefault="00661014" w:rsidP="00DF4488">
            <w:pPr>
              <w:rPr>
                <w:rFonts w:ascii="Helvetica" w:hAnsi="Helvetica"/>
                <w:sz w:val="21"/>
                <w:szCs w:val="21"/>
              </w:rPr>
            </w:pPr>
            <w:r w:rsidRPr="00DF4488">
              <w:rPr>
                <w:rFonts w:ascii="Helvetica" w:hAnsi="Helvetica"/>
                <w:sz w:val="21"/>
                <w:szCs w:val="21"/>
              </w:rPr>
              <w:t>N</w:t>
            </w:r>
            <w:r w:rsidR="00737419" w:rsidRPr="00DF4488">
              <w:rPr>
                <w:rFonts w:ascii="Helvetica" w:hAnsi="Helvetica"/>
                <w:sz w:val="21"/>
                <w:szCs w:val="21"/>
              </w:rPr>
              <w:t>et-zero targets.</w:t>
            </w:r>
          </w:p>
        </w:tc>
        <w:tc>
          <w:tcPr>
            <w:tcW w:w="3918" w:type="dxa"/>
          </w:tcPr>
          <w:p w14:paraId="13267254" w14:textId="1EA10737" w:rsidR="00A14A6E" w:rsidRPr="00DF4488" w:rsidRDefault="00B12FA4" w:rsidP="00DF4488">
            <w:pPr>
              <w:rPr>
                <w:rFonts w:ascii="Helvetica" w:hAnsi="Helvetica"/>
                <w:sz w:val="21"/>
                <w:szCs w:val="21"/>
              </w:rPr>
            </w:pPr>
            <w:r w:rsidRPr="00DF4488">
              <w:rPr>
                <w:rFonts w:ascii="Helvetica" w:hAnsi="Helvetica"/>
                <w:sz w:val="21"/>
                <w:szCs w:val="21"/>
              </w:rPr>
              <w:t xml:space="preserve">Absolute: </w:t>
            </w:r>
            <w:r w:rsidR="00373AD9" w:rsidRPr="00DF4488">
              <w:rPr>
                <w:rFonts w:ascii="Helvetica" w:hAnsi="Helvetica"/>
                <w:i/>
                <w:sz w:val="21"/>
                <w:szCs w:val="21"/>
              </w:rPr>
              <w:t xml:space="preserve">NDC Target (USA). </w:t>
            </w:r>
            <w:r w:rsidR="00373AD9" w:rsidRPr="00DF4488">
              <w:rPr>
                <w:rFonts w:ascii="Helvetica" w:hAnsi="Helvetica"/>
                <w:sz w:val="21"/>
                <w:szCs w:val="21"/>
              </w:rPr>
              <w:t xml:space="preserve">The US </w:t>
            </w:r>
            <w:r w:rsidR="00661014" w:rsidRPr="00DF4488">
              <w:rPr>
                <w:rFonts w:ascii="Helvetica" w:hAnsi="Helvetica"/>
                <w:sz w:val="21"/>
                <w:szCs w:val="21"/>
              </w:rPr>
              <w:t>committ</w:t>
            </w:r>
            <w:r w:rsidR="00373AD9" w:rsidRPr="00DF4488">
              <w:rPr>
                <w:rFonts w:ascii="Helvetica" w:hAnsi="Helvetica"/>
                <w:sz w:val="21"/>
                <w:szCs w:val="21"/>
              </w:rPr>
              <w:t>ed to achiev</w:t>
            </w:r>
            <w:r w:rsidR="00661014" w:rsidRPr="00DF4488">
              <w:rPr>
                <w:rFonts w:ascii="Helvetica" w:hAnsi="Helvetica"/>
                <w:sz w:val="21"/>
                <w:szCs w:val="21"/>
              </w:rPr>
              <w:t>ing</w:t>
            </w:r>
            <w:r w:rsidR="00373AD9" w:rsidRPr="00DF4488">
              <w:rPr>
                <w:rFonts w:ascii="Helvetica" w:hAnsi="Helvetica"/>
                <w:sz w:val="21"/>
                <w:szCs w:val="21"/>
              </w:rPr>
              <w:t xml:space="preserve"> 26-28% GHG emission reduction</w:t>
            </w:r>
            <w:r w:rsidR="00661014" w:rsidRPr="00DF4488">
              <w:rPr>
                <w:rFonts w:ascii="Helvetica" w:hAnsi="Helvetica"/>
                <w:sz w:val="21"/>
                <w:szCs w:val="21"/>
              </w:rPr>
              <w:t>s</w:t>
            </w:r>
            <w:r w:rsidR="00373AD9" w:rsidRPr="00DF4488">
              <w:rPr>
                <w:rFonts w:ascii="Helvetica" w:hAnsi="Helvetica"/>
                <w:sz w:val="21"/>
                <w:szCs w:val="21"/>
              </w:rPr>
              <w:t xml:space="preserve"> below 2005 levels by 2025 in its first NDC in 2016</w:t>
            </w:r>
            <w:r w:rsidR="00E55DDC" w:rsidRPr="00DF4488">
              <w:rPr>
                <w:rFonts w:ascii="Helvetica" w:hAnsi="Helvetica"/>
                <w:sz w:val="21"/>
                <w:szCs w:val="21"/>
              </w:rPr>
              <w:t>.</w:t>
            </w:r>
            <w:r w:rsidR="00373AD9" w:rsidRPr="00DF4488">
              <w:rPr>
                <w:rFonts w:ascii="Helvetica" w:hAnsi="Helvetica"/>
                <w:sz w:val="21"/>
                <w:szCs w:val="21"/>
              </w:rPr>
              <w:t xml:space="preserve"> </w:t>
            </w:r>
          </w:p>
          <w:p w14:paraId="45D46A6C" w14:textId="229E982F" w:rsidR="00BA44FA" w:rsidRPr="00DF4488" w:rsidRDefault="00BA44FA" w:rsidP="00DF4488">
            <w:pPr>
              <w:rPr>
                <w:rFonts w:ascii="Helvetica" w:hAnsi="Helvetica"/>
                <w:sz w:val="21"/>
                <w:szCs w:val="21"/>
              </w:rPr>
            </w:pPr>
            <w:r w:rsidRPr="00DF4488">
              <w:rPr>
                <w:rFonts w:ascii="Helvetica" w:hAnsi="Helvetica"/>
                <w:sz w:val="21"/>
                <w:szCs w:val="21"/>
              </w:rPr>
              <w:t xml:space="preserve">Relative: </w:t>
            </w:r>
            <w:r w:rsidR="00D52C84" w:rsidRPr="00DF4488">
              <w:rPr>
                <w:rFonts w:ascii="Helvetica" w:hAnsi="Helvetica"/>
                <w:i/>
                <w:sz w:val="21"/>
                <w:szCs w:val="21"/>
              </w:rPr>
              <w:t>NDC Target (Chile)</w:t>
            </w:r>
            <w:r w:rsidR="00D52C84" w:rsidRPr="00DF4488">
              <w:rPr>
                <w:rFonts w:ascii="Helvetica" w:hAnsi="Helvetica"/>
                <w:sz w:val="21"/>
                <w:szCs w:val="21"/>
              </w:rPr>
              <w:t xml:space="preserve">. Chile </w:t>
            </w:r>
            <w:r w:rsidR="00661014" w:rsidRPr="00DF4488">
              <w:rPr>
                <w:rFonts w:ascii="Helvetica" w:hAnsi="Helvetica"/>
                <w:sz w:val="21"/>
                <w:szCs w:val="21"/>
              </w:rPr>
              <w:t>committ</w:t>
            </w:r>
            <w:r w:rsidR="00D52C84" w:rsidRPr="00DF4488">
              <w:rPr>
                <w:rFonts w:ascii="Helvetica" w:hAnsi="Helvetica"/>
                <w:sz w:val="21"/>
                <w:szCs w:val="21"/>
              </w:rPr>
              <w:t xml:space="preserve">ed to reduce </w:t>
            </w:r>
            <w:r w:rsidR="00E341D6" w:rsidRPr="00DF4488">
              <w:rPr>
                <w:rFonts w:ascii="Helvetica" w:hAnsi="Helvetica"/>
                <w:sz w:val="21"/>
                <w:szCs w:val="21"/>
              </w:rPr>
              <w:t xml:space="preserve">GHG intensity of GDP by </w:t>
            </w:r>
            <w:r w:rsidR="00D52C84" w:rsidRPr="00DF4488">
              <w:rPr>
                <w:rFonts w:ascii="Helvetica" w:hAnsi="Helvetica"/>
                <w:sz w:val="21"/>
                <w:szCs w:val="21"/>
              </w:rPr>
              <w:t>30% below 2007</w:t>
            </w:r>
            <w:r w:rsidR="007B550A" w:rsidRPr="00DF4488">
              <w:rPr>
                <w:rFonts w:ascii="Helvetica" w:hAnsi="Helvetica"/>
                <w:sz w:val="21"/>
                <w:szCs w:val="21"/>
              </w:rPr>
              <w:t xml:space="preserve"> levels</w:t>
            </w:r>
            <w:r w:rsidR="00D52C84" w:rsidRPr="00DF4488">
              <w:rPr>
                <w:rFonts w:ascii="Helvetica" w:hAnsi="Helvetica"/>
                <w:sz w:val="21"/>
                <w:szCs w:val="21"/>
              </w:rPr>
              <w:t xml:space="preserve"> by 2030</w:t>
            </w:r>
            <w:r w:rsidR="00AE44D5" w:rsidRPr="00DF4488">
              <w:rPr>
                <w:rFonts w:ascii="Helvetica" w:hAnsi="Helvetica"/>
                <w:sz w:val="21"/>
                <w:szCs w:val="21"/>
              </w:rPr>
              <w:t xml:space="preserve"> in its first NDC in 2017.</w:t>
            </w:r>
          </w:p>
        </w:tc>
      </w:tr>
      <w:tr w:rsidR="00B86DF1" w:rsidRPr="00DF4488" w14:paraId="5804450B" w14:textId="77777777" w:rsidTr="00A04EF0">
        <w:trPr>
          <w:trHeight w:val="1154"/>
        </w:trPr>
        <w:tc>
          <w:tcPr>
            <w:tcW w:w="1838" w:type="dxa"/>
          </w:tcPr>
          <w:p w14:paraId="672175F6" w14:textId="6B7F518B" w:rsidR="00B86DF1" w:rsidRPr="00DF4488" w:rsidRDefault="00B86DF1" w:rsidP="00DF4488">
            <w:pPr>
              <w:rPr>
                <w:rFonts w:ascii="Helvetica" w:hAnsi="Helvetica"/>
                <w:i/>
                <w:sz w:val="21"/>
                <w:szCs w:val="21"/>
              </w:rPr>
            </w:pPr>
            <w:r w:rsidRPr="00DF4488">
              <w:rPr>
                <w:rFonts w:ascii="Helvetica" w:hAnsi="Helvetica"/>
                <w:i/>
                <w:sz w:val="21"/>
                <w:szCs w:val="21"/>
              </w:rPr>
              <w:t>Climate policy-relevant governmental organisation</w:t>
            </w:r>
          </w:p>
        </w:tc>
        <w:tc>
          <w:tcPr>
            <w:tcW w:w="3260" w:type="dxa"/>
          </w:tcPr>
          <w:p w14:paraId="42964E46" w14:textId="3B5E4FF1" w:rsidR="00B86DF1" w:rsidRPr="00DF4488" w:rsidRDefault="001633E2" w:rsidP="00DF4488">
            <w:pPr>
              <w:rPr>
                <w:rFonts w:ascii="Helvetica" w:hAnsi="Helvetica"/>
                <w:i/>
                <w:sz w:val="21"/>
                <w:szCs w:val="21"/>
              </w:rPr>
            </w:pPr>
            <w:r w:rsidRPr="00DF4488">
              <w:rPr>
                <w:rFonts w:ascii="Helvetica" w:hAnsi="Helvetica"/>
                <w:sz w:val="21"/>
                <w:szCs w:val="21"/>
              </w:rPr>
              <w:t xml:space="preserve">Advisory body: </w:t>
            </w:r>
            <w:r w:rsidR="00DE3B7F" w:rsidRPr="00DF4488">
              <w:rPr>
                <w:rFonts w:ascii="Helvetica" w:hAnsi="Helvetica"/>
                <w:sz w:val="21"/>
                <w:szCs w:val="21"/>
              </w:rPr>
              <w:t>f</w:t>
            </w:r>
            <w:r w:rsidR="00B86DF1" w:rsidRPr="00DF4488">
              <w:rPr>
                <w:rFonts w:ascii="Helvetica" w:hAnsi="Helvetica"/>
                <w:sz w:val="21"/>
                <w:szCs w:val="21"/>
              </w:rPr>
              <w:t>ormal organisation</w:t>
            </w:r>
            <w:r w:rsidR="006A5AE5" w:rsidRPr="00DF4488">
              <w:rPr>
                <w:rFonts w:ascii="Helvetica" w:hAnsi="Helvetica"/>
                <w:sz w:val="21"/>
                <w:szCs w:val="21"/>
              </w:rPr>
              <w:t xml:space="preserve"> </w:t>
            </w:r>
            <w:r w:rsidR="00B86DF1" w:rsidRPr="00DF4488">
              <w:rPr>
                <w:rFonts w:ascii="Helvetica" w:hAnsi="Helvetica"/>
                <w:sz w:val="21"/>
                <w:szCs w:val="21"/>
              </w:rPr>
              <w:t>involved in policy design, implement</w:t>
            </w:r>
            <w:r w:rsidR="000065AE" w:rsidRPr="00DF4488">
              <w:rPr>
                <w:rFonts w:ascii="Helvetica" w:hAnsi="Helvetica"/>
                <w:sz w:val="21"/>
                <w:szCs w:val="21"/>
              </w:rPr>
              <w:t xml:space="preserve">ation, </w:t>
            </w:r>
            <w:r w:rsidR="00B86DF1" w:rsidRPr="00DF4488">
              <w:rPr>
                <w:rFonts w:ascii="Helvetica" w:hAnsi="Helvetica"/>
                <w:sz w:val="21"/>
                <w:szCs w:val="21"/>
              </w:rPr>
              <w:t>monitoring.</w:t>
            </w:r>
          </w:p>
        </w:tc>
        <w:tc>
          <w:tcPr>
            <w:tcW w:w="3918" w:type="dxa"/>
          </w:tcPr>
          <w:p w14:paraId="1B4598D1" w14:textId="40BF48EB" w:rsidR="00B86DF1" w:rsidRPr="00DF4488" w:rsidRDefault="00B86DF1" w:rsidP="00DF4488">
            <w:pPr>
              <w:rPr>
                <w:rFonts w:ascii="Helvetica" w:hAnsi="Helvetica"/>
                <w:i/>
                <w:sz w:val="21"/>
                <w:szCs w:val="21"/>
              </w:rPr>
            </w:pPr>
            <w:r w:rsidRPr="00DF4488">
              <w:rPr>
                <w:rFonts w:ascii="Helvetica" w:hAnsi="Helvetica"/>
                <w:i/>
                <w:sz w:val="21"/>
                <w:szCs w:val="21"/>
              </w:rPr>
              <w:t xml:space="preserve">Committee on Climate Change (UK). </w:t>
            </w:r>
            <w:r w:rsidRPr="00DF4488">
              <w:rPr>
                <w:rFonts w:ascii="Helvetica" w:hAnsi="Helvetica"/>
                <w:sz w:val="21"/>
                <w:szCs w:val="21"/>
              </w:rPr>
              <w:t xml:space="preserve">Independent advisory body established in 2008 to monitor and hold government to account on progress towards legislated targets </w:t>
            </w:r>
            <w:r w:rsidRPr="00DF4488">
              <w:rPr>
                <w:rFonts w:ascii="Helvetica" w:hAnsi="Helvetica"/>
                <w:sz w:val="21"/>
                <w:szCs w:val="21"/>
              </w:rPr>
              <w:fldChar w:fldCharType="begin"/>
            </w:r>
            <w:r w:rsidRPr="00DF4488">
              <w:rPr>
                <w:rFonts w:ascii="Helvetica" w:hAnsi="Helvetica"/>
                <w:sz w:val="21"/>
                <w:szCs w:val="21"/>
              </w:rPr>
              <w:instrText xml:space="preserve"> ADDIN EN.CITE &lt;EndNote&gt;&lt;Cite&gt;&lt;Author&gt;Dudley&lt;/Author&gt;&lt;Year&gt;2022&lt;/Year&gt;&lt;RecNum&gt;6908&lt;/RecNum&gt;&lt;DisplayText&gt;(Dudley, Jordan et al. 2022)&lt;/DisplayText&gt;&lt;record&gt;&lt;rec-number&gt;6908&lt;/rec-number&gt;&lt;foreign-keys&gt;&lt;key app="EN" db-id="pzwxerf5sf52xoef20m52s5jxpa0wpaspvpd" timestamp="1702158094"&gt;6908&lt;/key&gt;&lt;/foreign-keys&gt;&lt;ref-type name="Journal Article"&gt;17&lt;/ref-type&gt;&lt;contributors&gt;&lt;authors&gt;&lt;author&gt;Dudley, Harriet&lt;/author&gt;&lt;author&gt;Jordan, Andrew&lt;/author&gt;&lt;author&gt;Lorenzoni, Irene&lt;/author&gt;&lt;/authors&gt;&lt;/contributors&gt;&lt;titles&gt;&lt;title&gt;Advising national climate policy makers: A longitudinal analysis of the UK Climate Change Committee&lt;/title&gt;&lt;secondary-title&gt;Global Environmental Change&lt;/secondary-title&gt;&lt;/titles&gt;&lt;periodical&gt;&lt;full-title&gt;Global Environmental Change&lt;/full-title&gt;&lt;/periodical&gt;&lt;pages&gt;102589&lt;/pages&gt;&lt;volume&gt;76&lt;/volume&gt;&lt;keywords&gt;&lt;keyword&gt;Climate change&lt;/keyword&gt;&lt;keyword&gt;United Kingdom&lt;/keyword&gt;&lt;keyword&gt;Advice&lt;/keyword&gt;&lt;keyword&gt;Advisory body&lt;/keyword&gt;&lt;keyword&gt;Policy&lt;/keyword&gt;&lt;keyword&gt;Recommendation&lt;/keyword&gt;&lt;/keywords&gt;&lt;dates&gt;&lt;year&gt;2022&lt;/year&gt;&lt;pub-dates&gt;&lt;date&gt;2022/09/01/&lt;/date&gt;&lt;/pub-dates&gt;&lt;/dates&gt;&lt;isbn&gt;0959-3780&lt;/isbn&gt;&lt;urls&gt;&lt;related-urls&gt;&lt;url&gt;https://www.sciencedirect.com/science/article/pii/S0959378022001273&lt;/url&gt;&lt;/related-urls&gt;&lt;/urls&gt;&lt;electronic-resource-num&gt;https://doi.org/10.1016/j.gloenvcha.2022.102589&lt;/electronic-resource-num&gt;&lt;/record&gt;&lt;/Cite&gt;&lt;/EndNote&gt;</w:instrText>
            </w:r>
            <w:r w:rsidRPr="00DF4488">
              <w:rPr>
                <w:rFonts w:ascii="Helvetica" w:hAnsi="Helvetica"/>
                <w:sz w:val="21"/>
                <w:szCs w:val="21"/>
              </w:rPr>
              <w:fldChar w:fldCharType="separate"/>
            </w:r>
            <w:r w:rsidRPr="00DF4488">
              <w:rPr>
                <w:rFonts w:ascii="Helvetica" w:hAnsi="Helvetica"/>
                <w:noProof/>
                <w:sz w:val="21"/>
                <w:szCs w:val="21"/>
              </w:rPr>
              <w:t>(Dudley, Jordan et al. 2022)</w:t>
            </w:r>
            <w:r w:rsidRPr="00DF4488">
              <w:rPr>
                <w:rFonts w:ascii="Helvetica" w:hAnsi="Helvetica"/>
                <w:sz w:val="21"/>
                <w:szCs w:val="21"/>
              </w:rPr>
              <w:fldChar w:fldCharType="end"/>
            </w:r>
            <w:r w:rsidRPr="00DF4488">
              <w:rPr>
                <w:rFonts w:ascii="Helvetica" w:hAnsi="Helvetica"/>
                <w:sz w:val="21"/>
                <w:szCs w:val="21"/>
              </w:rPr>
              <w:t>.</w:t>
            </w:r>
          </w:p>
        </w:tc>
      </w:tr>
      <w:tr w:rsidR="000065AE" w:rsidRPr="00DF4488" w14:paraId="477D3984" w14:textId="77777777" w:rsidTr="00442BCD">
        <w:trPr>
          <w:trHeight w:val="1154"/>
        </w:trPr>
        <w:tc>
          <w:tcPr>
            <w:tcW w:w="1838" w:type="dxa"/>
          </w:tcPr>
          <w:p w14:paraId="4FBF8DED" w14:textId="49072282" w:rsidR="000065AE" w:rsidRPr="00DF4488" w:rsidRDefault="003726B5" w:rsidP="00DF4488">
            <w:pPr>
              <w:rPr>
                <w:rFonts w:ascii="Helvetica" w:hAnsi="Helvetica"/>
                <w:i/>
                <w:sz w:val="21"/>
                <w:szCs w:val="21"/>
              </w:rPr>
            </w:pPr>
            <w:r w:rsidRPr="00DF4488">
              <w:rPr>
                <w:rFonts w:ascii="Helvetica" w:hAnsi="Helvetica"/>
                <w:i/>
                <w:sz w:val="21"/>
                <w:szCs w:val="21"/>
              </w:rPr>
              <w:t>Climate policy-relevant intergovernmental organisation</w:t>
            </w:r>
          </w:p>
        </w:tc>
        <w:tc>
          <w:tcPr>
            <w:tcW w:w="3260" w:type="dxa"/>
          </w:tcPr>
          <w:p w14:paraId="02B49152" w14:textId="78018EAE" w:rsidR="000065AE" w:rsidRPr="00DF4488" w:rsidDel="00B86DF1" w:rsidRDefault="001E6A37" w:rsidP="00DF4488">
            <w:pPr>
              <w:rPr>
                <w:rFonts w:ascii="Helvetica" w:hAnsi="Helvetica"/>
                <w:sz w:val="21"/>
                <w:szCs w:val="21"/>
              </w:rPr>
            </w:pPr>
            <w:r w:rsidRPr="00DF4488">
              <w:rPr>
                <w:rFonts w:ascii="Helvetica" w:hAnsi="Helvetica"/>
                <w:sz w:val="21"/>
                <w:szCs w:val="21"/>
              </w:rPr>
              <w:t xml:space="preserve">Climate forum: </w:t>
            </w:r>
            <w:r w:rsidR="00484459" w:rsidRPr="00DF4488">
              <w:rPr>
                <w:rFonts w:ascii="Helvetica" w:hAnsi="Helvetica"/>
                <w:sz w:val="21"/>
                <w:szCs w:val="21"/>
              </w:rPr>
              <w:t>f</w:t>
            </w:r>
            <w:r w:rsidR="009644C4" w:rsidRPr="00DF4488">
              <w:rPr>
                <w:rFonts w:ascii="Helvetica" w:hAnsi="Helvetica"/>
                <w:sz w:val="21"/>
                <w:szCs w:val="21"/>
              </w:rPr>
              <w:t xml:space="preserve">ormal </w:t>
            </w:r>
            <w:r w:rsidR="00215475" w:rsidRPr="00DF4488">
              <w:rPr>
                <w:rFonts w:ascii="Helvetica" w:hAnsi="Helvetica"/>
                <w:sz w:val="21"/>
                <w:szCs w:val="21"/>
              </w:rPr>
              <w:t xml:space="preserve">international </w:t>
            </w:r>
            <w:r w:rsidR="009644C4" w:rsidRPr="00DF4488">
              <w:rPr>
                <w:rFonts w:ascii="Helvetica" w:hAnsi="Helvetica"/>
                <w:sz w:val="21"/>
                <w:szCs w:val="21"/>
              </w:rPr>
              <w:t xml:space="preserve">organisation </w:t>
            </w:r>
            <w:r w:rsidR="00D55554" w:rsidRPr="00DF4488">
              <w:rPr>
                <w:rFonts w:ascii="Helvetica" w:hAnsi="Helvetica"/>
                <w:sz w:val="21"/>
                <w:szCs w:val="21"/>
              </w:rPr>
              <w:t>enabling climate relevant knowledge exchange and policy diffusion among governmental bodies.</w:t>
            </w:r>
          </w:p>
        </w:tc>
        <w:tc>
          <w:tcPr>
            <w:tcW w:w="3918" w:type="dxa"/>
          </w:tcPr>
          <w:p w14:paraId="6437B08F" w14:textId="0E45DD3C" w:rsidR="000065AE" w:rsidRPr="00DF4488" w:rsidRDefault="00870B9C" w:rsidP="00DF4488">
            <w:pPr>
              <w:rPr>
                <w:rFonts w:ascii="Helvetica" w:hAnsi="Helvetica"/>
                <w:sz w:val="21"/>
                <w:szCs w:val="21"/>
              </w:rPr>
            </w:pPr>
            <w:r w:rsidRPr="00DF4488">
              <w:rPr>
                <w:rFonts w:ascii="Helvetica" w:hAnsi="Helvetica"/>
                <w:i/>
                <w:sz w:val="21"/>
                <w:szCs w:val="21"/>
              </w:rPr>
              <w:t xml:space="preserve">Clean Energy Ministerial. </w:t>
            </w:r>
            <w:r w:rsidR="00DD4205" w:rsidRPr="00DF4488">
              <w:rPr>
                <w:rFonts w:ascii="Helvetica" w:hAnsi="Helvetica"/>
                <w:sz w:val="21"/>
                <w:szCs w:val="21"/>
              </w:rPr>
              <w:t xml:space="preserve">Global forum for advancing and promoting policies among its member countries and companies </w:t>
            </w:r>
            <w:r w:rsidR="00DD4205" w:rsidRPr="00DF4488">
              <w:rPr>
                <w:rFonts w:ascii="Helvetica" w:hAnsi="Helvetica"/>
                <w:sz w:val="21"/>
                <w:szCs w:val="21"/>
              </w:rPr>
              <w:fldChar w:fldCharType="begin"/>
            </w:r>
            <w:r w:rsidR="00DD4205" w:rsidRPr="00DF4488">
              <w:rPr>
                <w:rFonts w:ascii="Helvetica" w:hAnsi="Helvetica"/>
                <w:sz w:val="21"/>
                <w:szCs w:val="21"/>
              </w:rPr>
              <w:instrText xml:space="preserve"> ADDIN EN.CITE &lt;EndNote&gt;&lt;Cite&gt;&lt;Author&gt;Tosun&lt;/Author&gt;&lt;Year&gt;2023&lt;/Year&gt;&lt;RecNum&gt;7230&lt;/RecNum&gt;&lt;DisplayText&gt;(Tosun and Rinscheid 2023)&lt;/DisplayText&gt;&lt;record&gt;&lt;rec-number&gt;7230&lt;/rec-number&gt;&lt;foreign-keys&gt;&lt;key app="EN" db-id="pzwxerf5sf52xoef20m52s5jxpa0wpaspvpd" timestamp="1712158848"&gt;7230&lt;/key&gt;&lt;/foreign-keys&gt;&lt;ref-type name="Journal Article"&gt;17&lt;/ref-type&gt;&lt;contributors&gt;&lt;authors&gt;&lt;author&gt;Tosun, Jale&lt;/author&gt;&lt;author&gt;Rinscheid, Adrian&lt;/author&gt;&lt;/authors&gt;&lt;/contributors&gt;&lt;titles&gt;&lt;title&gt;What drives engagement in the Clean Energy Ministerial? An assessment of domestic-level factors&lt;/title&gt;&lt;secondary-title&gt;Journal of European Public Policy&lt;/secondary-title&gt;&lt;/titles&gt;&lt;periodical&gt;&lt;full-title&gt;Journal of European Public Policy&lt;/full-title&gt;&lt;/periodical&gt;&lt;pages&gt;469-487&lt;/pages&gt;&lt;volume&gt;30&lt;/volume&gt;&lt;number&gt;3&lt;/number&gt;&lt;dates&gt;&lt;year&gt;2023&lt;/year&gt;&lt;pub-dates&gt;&lt;date&gt;2023/03/04&lt;/date&gt;&lt;/pub-dates&gt;&lt;/dates&gt;&lt;publisher&gt;Routledge&lt;/publisher&gt;&lt;isbn&gt;1350-1763&lt;/isbn&gt;&lt;urls&gt;&lt;related-urls&gt;&lt;url&gt;https://doi.org/10.1080/13501763.2021.2014936&lt;/url&gt;&lt;/related-urls&gt;&lt;/urls&gt;&lt;electronic-resource-num&gt;10.1080/13501763.2021.2014936&lt;/electronic-resource-num&gt;&lt;/record&gt;&lt;/Cite&gt;&lt;/EndNote&gt;</w:instrText>
            </w:r>
            <w:r w:rsidR="00DD4205" w:rsidRPr="00DF4488">
              <w:rPr>
                <w:rFonts w:ascii="Helvetica" w:hAnsi="Helvetica"/>
                <w:sz w:val="21"/>
                <w:szCs w:val="21"/>
              </w:rPr>
              <w:fldChar w:fldCharType="separate"/>
            </w:r>
            <w:r w:rsidR="00DD4205" w:rsidRPr="00DF4488">
              <w:rPr>
                <w:rFonts w:ascii="Helvetica" w:hAnsi="Helvetica"/>
                <w:noProof/>
                <w:sz w:val="21"/>
                <w:szCs w:val="21"/>
              </w:rPr>
              <w:t>(Tosun and Rinscheid 2023)</w:t>
            </w:r>
            <w:r w:rsidR="00DD4205" w:rsidRPr="00DF4488">
              <w:rPr>
                <w:rFonts w:ascii="Helvetica" w:hAnsi="Helvetica"/>
                <w:sz w:val="21"/>
                <w:szCs w:val="21"/>
              </w:rPr>
              <w:fldChar w:fldCharType="end"/>
            </w:r>
            <w:r w:rsidR="00DD4205" w:rsidRPr="00DF4488">
              <w:rPr>
                <w:rFonts w:ascii="Helvetica" w:hAnsi="Helvetica"/>
                <w:sz w:val="21"/>
                <w:szCs w:val="21"/>
              </w:rPr>
              <w:t>.</w:t>
            </w:r>
          </w:p>
        </w:tc>
      </w:tr>
    </w:tbl>
    <w:p w14:paraId="25E8B08F" w14:textId="0748B15F" w:rsidR="00E767E5" w:rsidRDefault="00E767E5" w:rsidP="00FD0828">
      <w:pPr>
        <w:spacing w:line="250" w:lineRule="auto"/>
        <w:rPr>
          <w:rFonts w:ascii="Helvetica" w:hAnsi="Helvetica"/>
        </w:rPr>
      </w:pPr>
    </w:p>
    <w:p w14:paraId="2A522936" w14:textId="43F11EE3" w:rsidR="00FF1AA7" w:rsidRDefault="00415421" w:rsidP="00FD0828">
      <w:pPr>
        <w:spacing w:line="250" w:lineRule="auto"/>
        <w:rPr>
          <w:rFonts w:ascii="Helvetica" w:hAnsi="Helvetica"/>
        </w:rPr>
      </w:pPr>
      <w:r>
        <w:rPr>
          <w:rFonts w:ascii="Helvetica" w:hAnsi="Helvetica"/>
        </w:rPr>
        <w:t xml:space="preserve">Data on climate policy variables (density, sectoral coverage and instruments) is derived from the IEA PMD. </w:t>
      </w:r>
      <w:r w:rsidR="00FF1AA7">
        <w:rPr>
          <w:rFonts w:ascii="Helvetica" w:hAnsi="Helvetica"/>
        </w:rPr>
        <w:t>Since a comprehensive overview on types of national emission reduction targets is not available, we had to collect the data from various public sources, including</w:t>
      </w:r>
      <w:r w:rsidR="00E25BF4">
        <w:rPr>
          <w:rFonts w:ascii="Helvetica" w:hAnsi="Helvetica"/>
        </w:rPr>
        <w:t xml:space="preserve"> </w:t>
      </w:r>
      <w:r w:rsidR="00FF1AA7" w:rsidRPr="00FF1AA7">
        <w:rPr>
          <w:rFonts w:ascii="Helvetica" w:hAnsi="Helvetica"/>
        </w:rPr>
        <w:t>UNFCCC (Kyoto Protocol &amp; Copenhagen Accord annexes, Paris Agreement INDCs &amp; NDCs), Climate Action Tracker</w:t>
      </w:r>
      <w:r w:rsidR="00E25BF4">
        <w:rPr>
          <w:rFonts w:ascii="Helvetica" w:hAnsi="Helvetica"/>
        </w:rPr>
        <w:t xml:space="preserve">, and Net Zero Tracker. </w:t>
      </w:r>
    </w:p>
    <w:p w14:paraId="0E7621E7" w14:textId="06AE3BD7" w:rsidR="00A14A6E" w:rsidRDefault="00C1748C" w:rsidP="00FD0828">
      <w:pPr>
        <w:spacing w:line="250" w:lineRule="auto"/>
        <w:rPr>
          <w:rFonts w:ascii="Helvetica" w:hAnsi="Helvetica"/>
        </w:rPr>
      </w:pPr>
      <w:r>
        <w:rPr>
          <w:rFonts w:ascii="Helvetica" w:hAnsi="Helvetica"/>
        </w:rPr>
        <w:t>Data</w:t>
      </w:r>
      <w:r w:rsidR="00EF7E90">
        <w:rPr>
          <w:rFonts w:ascii="Helvetica" w:hAnsi="Helvetica"/>
        </w:rPr>
        <w:t xml:space="preserve"> on the existence of an Energy Ministry is taken from </w:t>
      </w:r>
      <w:r w:rsidR="00155B27">
        <w:rPr>
          <w:rFonts w:ascii="Helvetica" w:hAnsi="Helvetica"/>
        </w:rPr>
        <w:fldChar w:fldCharType="begin"/>
      </w:r>
      <w:r w:rsidR="00155B27">
        <w:rPr>
          <w:rFonts w:ascii="Helvetica" w:hAnsi="Helvetica"/>
        </w:rPr>
        <w:instrText xml:space="preserve"> ADDIN EN.CITE &lt;EndNote&gt;&lt;Cite AuthorYear="1"&gt;&lt;Author&gt;Tosun&lt;/Author&gt;&lt;Year&gt;2018&lt;/Year&gt;&lt;RecNum&gt;7274&lt;/RecNum&gt;&lt;DisplayText&gt;Tosun (2018)&lt;/DisplayText&gt;&lt;record&gt;&lt;rec-number&gt;7274&lt;/rec-number&gt;&lt;foreign-keys&gt;&lt;key app="EN" db-id="pzwxerf5sf52xoef20m52s5jxpa0wpaspvpd" timestamp="1716912520"&gt;7274&lt;/key&gt;&lt;/foreign-keys&gt;&lt;ref-type name="Journal Article"&gt;17&lt;/ref-type&gt;&lt;contributors&gt;&lt;authors&gt;&lt;author&gt;Tosun, Jale&lt;/author&gt;&lt;/authors&gt;&lt;/contributors&gt;&lt;titles&gt;&lt;title&gt;Investigating Ministry Names for Comparative Policy Analysis: Lessons from Energy Governance&lt;/title&gt;&lt;secondary-title&gt;Journal of Comparative Policy Analysis: Research and Practice&lt;/secondary-title&gt;&lt;/titles&gt;&lt;periodical&gt;&lt;full-title&gt;Journal of Comparative Policy Analysis: Research and Practice&lt;/full-title&gt;&lt;/periodical&gt;&lt;pages&gt;324-335&lt;/pages&gt;&lt;volume&gt;20&lt;/volume&gt;&lt;number&gt;3&lt;/number&gt;&lt;dates&gt;&lt;year&gt;2018&lt;/year&gt;&lt;pub-dates&gt;&lt;date&gt;2018/05/27&lt;/date&gt;&lt;/pub-dates&gt;&lt;/dates&gt;&lt;publisher&gt;Routledge&lt;/publisher&gt;&lt;isbn&gt;1387-6988&lt;/isbn&gt;&lt;urls&gt;&lt;related-urls&gt;&lt;url&gt;https://doi.org/10.1080/13876988.2018.1467430&lt;/url&gt;&lt;/related-urls&gt;&lt;/urls&gt;&lt;electronic-resource-num&gt;10.1080/13876988.2018.1467430&lt;/electronic-resource-num&gt;&lt;/record&gt;&lt;/Cite&gt;&lt;/EndNote&gt;</w:instrText>
      </w:r>
      <w:r w:rsidR="00155B27">
        <w:rPr>
          <w:rFonts w:ascii="Helvetica" w:hAnsi="Helvetica"/>
        </w:rPr>
        <w:fldChar w:fldCharType="separate"/>
      </w:r>
      <w:r w:rsidR="00155B27">
        <w:rPr>
          <w:rFonts w:ascii="Helvetica" w:hAnsi="Helvetica"/>
          <w:noProof/>
        </w:rPr>
        <w:t>Tosun (2018)</w:t>
      </w:r>
      <w:r w:rsidR="00155B27">
        <w:rPr>
          <w:rFonts w:ascii="Helvetica" w:hAnsi="Helvetica"/>
        </w:rPr>
        <w:fldChar w:fldCharType="end"/>
      </w:r>
      <w:r w:rsidR="00EF7E90">
        <w:rPr>
          <w:rFonts w:ascii="Helvetica" w:hAnsi="Helvetica"/>
        </w:rPr>
        <w:t xml:space="preserve"> and </w:t>
      </w:r>
      <w:r w:rsidR="00F349D0">
        <w:rPr>
          <w:rFonts w:ascii="Helvetica" w:hAnsi="Helvetica"/>
        </w:rPr>
        <w:t xml:space="preserve">updated to 2019 based on various public </w:t>
      </w:r>
      <w:r>
        <w:rPr>
          <w:rFonts w:ascii="Helvetica" w:hAnsi="Helvetica"/>
        </w:rPr>
        <w:t xml:space="preserve">sources. Information on independent advisory bodies </w:t>
      </w:r>
      <w:r w:rsidR="008233E1">
        <w:rPr>
          <w:rFonts w:ascii="Helvetica" w:hAnsi="Helvetica"/>
        </w:rPr>
        <w:t xml:space="preserve">was collected by </w:t>
      </w:r>
      <w:r w:rsidR="003717F9">
        <w:rPr>
          <w:rFonts w:ascii="Helvetica" w:hAnsi="Helvetica"/>
        </w:rPr>
        <w:t>Brendan Moore</w:t>
      </w:r>
      <w:r w:rsidR="008233E1">
        <w:rPr>
          <w:rFonts w:ascii="Helvetica" w:hAnsi="Helvetica"/>
        </w:rPr>
        <w:t xml:space="preserve"> from various public sources</w:t>
      </w:r>
      <w:r w:rsidR="0092474C">
        <w:rPr>
          <w:rFonts w:ascii="Helvetica" w:hAnsi="Helvetica"/>
        </w:rPr>
        <w:t xml:space="preserve"> </w:t>
      </w:r>
      <w:r w:rsidR="002C5A76">
        <w:rPr>
          <w:rFonts w:ascii="Helvetica" w:hAnsi="Helvetica"/>
        </w:rPr>
        <w:fldChar w:fldCharType="begin"/>
      </w:r>
      <w:r w:rsidR="002C5A76">
        <w:rPr>
          <w:rFonts w:ascii="Helvetica" w:hAnsi="Helvetica"/>
        </w:rPr>
        <w:instrText xml:space="preserve"> ADDIN EN.CITE &lt;EndNote&gt;&lt;Cite&gt;&lt;Author&gt;Moore&lt;/Author&gt;&lt;Year&gt;2023&lt;/Year&gt;&lt;RecNum&gt;7352&lt;/RecNum&gt;&lt;DisplayText&gt;(Moore, Oberthür et al. 2023)&lt;/DisplayText&gt;&lt;record&gt;&lt;rec-number&gt;7352&lt;/rec-number&gt;&lt;foreign-keys&gt;&lt;key app="EN" db-id="pzwxerf5sf52xoef20m52s5jxpa0wpaspvpd" timestamp="1720426722"&gt;7352&lt;/key&gt;&lt;/foreign-keys&gt;&lt;ref-type name="Report"&gt;27&lt;/ref-type&gt;&lt;contributors&gt;&lt;authors&gt;&lt;author&gt;Brendan Moore&lt;/author&gt;&lt;author&gt;Sebastian Oberthür&lt;/author&gt;&lt;author&gt;Matthias Duwe&lt;/author&gt;&lt;author&gt;Nora Kögel&lt;/author&gt;&lt;author&gt;Nick Evans&lt;/author&gt;&lt;author&gt;Ingmar von Homeyer&lt;/author&gt;&lt;author&gt;Kati Kulovesi&lt;/author&gt;&lt;author&gt;Bettina Kampman&lt;/author&gt;&lt;author&gt;Anuschka Hilke&lt;/author&gt;&lt;author&gt;Maiju Mähönen&lt;/author&gt;&lt;author&gt;Katri Varis&lt;/author&gt;&lt;/authors&gt;&lt;/contributors&gt;&lt;titles&gt;&lt;title&gt;Transformative procedural climate governance: Mechanisms, functions, and assessment criteria. &lt;/title&gt;&lt;/titles&gt;&lt;number&gt;4i-TRACTION Deliverable 5.1&lt;/number&gt;&lt;dates&gt;&lt;year&gt;2023&lt;/year&gt;&lt;/dates&gt;&lt;pub-location&gt;Brussels, Belgium&lt;/pub-location&gt;&lt;publisher&gt;Vrije Universiteit Brussel&lt;/publisher&gt;&lt;urls&gt;&lt;related-urls&gt;&lt;url&gt;https://www.ecologic.eu/sites/default/files/publication/2023/33007-Report-2023-D5-1-Transformative-procedural-climate-governance.pdf &lt;/url&gt;&lt;/related-urls&gt;&lt;/urls&gt;&lt;/record&gt;&lt;/Cite&gt;&lt;/EndNote&gt;</w:instrText>
      </w:r>
      <w:r w:rsidR="002C5A76">
        <w:rPr>
          <w:rFonts w:ascii="Helvetica" w:hAnsi="Helvetica"/>
        </w:rPr>
        <w:fldChar w:fldCharType="separate"/>
      </w:r>
      <w:r w:rsidR="002C5A76">
        <w:rPr>
          <w:rFonts w:ascii="Helvetica" w:hAnsi="Helvetica"/>
          <w:noProof/>
        </w:rPr>
        <w:t>(Moore, Oberthür et al. 2023)</w:t>
      </w:r>
      <w:r w:rsidR="002C5A76">
        <w:rPr>
          <w:rFonts w:ascii="Helvetica" w:hAnsi="Helvetica"/>
        </w:rPr>
        <w:fldChar w:fldCharType="end"/>
      </w:r>
      <w:r w:rsidR="008233E1">
        <w:rPr>
          <w:rFonts w:ascii="Helvetica" w:hAnsi="Helvetica"/>
        </w:rPr>
        <w:t xml:space="preserve">. </w:t>
      </w:r>
      <w:r w:rsidR="006B3D34">
        <w:rPr>
          <w:rFonts w:ascii="Helvetica" w:hAnsi="Helvetica"/>
        </w:rPr>
        <w:t xml:space="preserve">Membership in the Clean Energy Ministerial is derived from data provided by </w:t>
      </w:r>
      <w:r w:rsidR="00F226B1">
        <w:rPr>
          <w:rFonts w:ascii="Helvetica" w:hAnsi="Helvetica"/>
        </w:rPr>
        <w:fldChar w:fldCharType="begin"/>
      </w:r>
      <w:r w:rsidR="00F226B1">
        <w:rPr>
          <w:rFonts w:ascii="Helvetica" w:hAnsi="Helvetica"/>
        </w:rPr>
        <w:instrText xml:space="preserve"> ADDIN EN.CITE &lt;EndNote&gt;&lt;Cite AuthorYear="1"&gt;&lt;Author&gt;Tosun&lt;/Author&gt;&lt;Year&gt;2022&lt;/Year&gt;&lt;RecNum&gt;7275&lt;/RecNum&gt;&lt;DisplayText&gt;Tosun and Mišić (2022)&lt;/DisplayText&gt;&lt;record&gt;&lt;rec-number&gt;7275&lt;/rec-number&gt;&lt;foreign-keys&gt;&lt;key app="EN" db-id="pzwxerf5sf52xoef20m52s5jxpa0wpaspvpd" timestamp="1716912565"&gt;7275&lt;/key&gt;&lt;/foreign-keys&gt;&lt;ref-type name="Journal Article"&gt;17&lt;/ref-type&gt;&lt;contributors&gt;&lt;authors&gt;&lt;author&gt;Tosun, Jale&lt;/author&gt;&lt;author&gt;Mišić, Mile&lt;/author&gt;&lt;/authors&gt;&lt;/contributors&gt;&lt;titles&gt;&lt;title&gt;Post-Communist Countries’ Participation in Global Forums on Climate Action&lt;/title&gt;&lt;secondary-title&gt;Problems of Post-Communism&lt;/secondary-title&gt;&lt;/titles&gt;&lt;periodical&gt;&lt;full-title&gt;Problems of Post-Communism&lt;/full-title&gt;&lt;/periodical&gt;&lt;pages&gt;380-395&lt;/pages&gt;&lt;volume&gt;69&lt;/volume&gt;&lt;number&gt;4-5&lt;/number&gt;&lt;dates&gt;&lt;year&gt;2022&lt;/year&gt;&lt;pub-dates&gt;&lt;date&gt;2022/09/03&lt;/date&gt;&lt;/pub-dates&gt;&lt;/dates&gt;&lt;publisher&gt;Routledge&lt;/publisher&gt;&lt;isbn&gt;1075-8216&lt;/isbn&gt;&lt;urls&gt;&lt;related-urls&gt;&lt;url&gt;https://doi.org/10.1080/10758216.2021.1994423&lt;/url&gt;&lt;/related-urls&gt;&lt;/urls&gt;&lt;electronic-resource-num&gt;10.1080/10758216.2021.1994423&lt;/electronic-resource-num&gt;&lt;/record&gt;&lt;/Cite&gt;&lt;/EndNote&gt;</w:instrText>
      </w:r>
      <w:r w:rsidR="00F226B1">
        <w:rPr>
          <w:rFonts w:ascii="Helvetica" w:hAnsi="Helvetica"/>
        </w:rPr>
        <w:fldChar w:fldCharType="separate"/>
      </w:r>
      <w:r w:rsidR="00F226B1">
        <w:rPr>
          <w:rFonts w:ascii="Helvetica" w:hAnsi="Helvetica"/>
          <w:noProof/>
        </w:rPr>
        <w:t>Tosun and Mišić (2022)</w:t>
      </w:r>
      <w:r w:rsidR="00F226B1">
        <w:rPr>
          <w:rFonts w:ascii="Helvetica" w:hAnsi="Helvetica"/>
        </w:rPr>
        <w:fldChar w:fldCharType="end"/>
      </w:r>
      <w:r w:rsidR="006B3D34">
        <w:rPr>
          <w:rFonts w:ascii="Helvetica" w:hAnsi="Helvetica"/>
        </w:rPr>
        <w:t>.</w:t>
      </w:r>
    </w:p>
    <w:p w14:paraId="7DC6A486" w14:textId="77777777" w:rsidR="00A14A6E" w:rsidRPr="00A04EF0" w:rsidRDefault="00A14A6E" w:rsidP="00FD0828">
      <w:pPr>
        <w:spacing w:line="250" w:lineRule="auto"/>
        <w:rPr>
          <w:rFonts w:ascii="Helvetica" w:hAnsi="Helvetica"/>
        </w:rPr>
      </w:pPr>
    </w:p>
    <w:p w14:paraId="758E8FE7" w14:textId="0614FEF4" w:rsidR="00337570" w:rsidRDefault="00C234F8" w:rsidP="00A04EF0">
      <w:pPr>
        <w:pStyle w:val="berschrift2"/>
      </w:pPr>
      <w:bookmarkStart w:id="5" w:name="_Toc171323422"/>
      <w:r>
        <w:lastRenderedPageBreak/>
        <w:t>Measuring c</w:t>
      </w:r>
      <w:r w:rsidR="00337570">
        <w:t>limate policy density</w:t>
      </w:r>
      <w:r>
        <w:t>: IEA PMD vs CCLW datasets</w:t>
      </w:r>
      <w:bookmarkEnd w:id="5"/>
    </w:p>
    <w:p w14:paraId="5F7C07C0" w14:textId="04862764" w:rsidR="00C234F8" w:rsidRPr="00B63D9C" w:rsidRDefault="00C234F8" w:rsidP="00061E68">
      <w:pPr>
        <w:rPr>
          <w:i/>
          <w:iCs/>
        </w:rPr>
      </w:pPr>
      <w:r w:rsidRPr="00C234F8">
        <w:t xml:space="preserve">There are two main datasets relevant to climate policies: the International Energy Agency (IEA) Policies and Measures Database (PMD), and the </w:t>
      </w:r>
      <w:r w:rsidRPr="00A04EF0">
        <w:t>Climate Change Laws of the World</w:t>
      </w:r>
      <w:r w:rsidR="009454A9">
        <w:t xml:space="preserve"> </w:t>
      </w:r>
      <w:r w:rsidR="00AF73D8" w:rsidRPr="00B63D9C">
        <w:fldChar w:fldCharType="begin" w:fldLock="1"/>
      </w:r>
      <w:r w:rsidR="00AF73D8" w:rsidRPr="00B63D9C">
        <w:instrText>ADDIN CSL_CITATION {"citationItems":[{"id":"ITEM-1","itemData":{"author":[{"dropping-particle":"","family":"Schaub","given":"Simon","non-dropping-particle":"","parse-names":false,"suffix":""},{"dropping-particle":"","family":"Tosun","given":"Jale","non-dropping-particle":"","parse-names":false,"suffix":""},{"dropping-particle":"","family":"Jordan","given":"Andrew J.","non-dropping-particle":"","parse-names":false,"suffix":""},{"dropping-particle":"","family":"Enguer","given":"Joan","non-dropping-particle":"","parse-names":false,"suffix":""}],"id":"ITEM-1","issued":{"date-parts":[["2022"]]},"title":"Climate Policy Ambition: A Policy-Density Perspective","type":"article-journal"},"uris":["http://www.mendeley.com/documents/?uuid=d668585a-aa0d-356d-b9e9-f9b1d2933da3"]}],"mendeley":{"formattedCitation":"(Schaub et al., 2022)","plainTextFormattedCitation":"(Schaub et al., 2022)","previouslyFormattedCitation":"(Schaub et al., 2022)"},"properties":{"noteIndex":0},"schema":"https://github.com/citation-style-language/schema/raw/master/csl-citation.json"}</w:instrText>
      </w:r>
      <w:r w:rsidR="00AF73D8" w:rsidRPr="00B63D9C">
        <w:fldChar w:fldCharType="separate"/>
      </w:r>
      <w:r w:rsidR="00AF73D8" w:rsidRPr="00B63D9C">
        <w:t>(Schaub et al., 2022)</w:t>
      </w:r>
      <w:r w:rsidR="00AF73D8" w:rsidRPr="00B63D9C">
        <w:fldChar w:fldCharType="end"/>
      </w:r>
      <w:r w:rsidR="00AF73D8" w:rsidRPr="00B63D9C">
        <w:t>.</w:t>
      </w:r>
    </w:p>
    <w:p w14:paraId="6E90192A" w14:textId="03B08DA9" w:rsidR="00C234F8" w:rsidRPr="007832BF" w:rsidRDefault="00C234F8" w:rsidP="00061E68">
      <w:r w:rsidRPr="007832BF">
        <w:t xml:space="preserve">The IEA PMD compiles past and existing energy-related climate policies and measures globally using data supplied by governments and IEA partner organisations </w:t>
      </w:r>
      <w:r w:rsidRPr="00B63D9C">
        <w:fldChar w:fldCharType="begin"/>
      </w:r>
      <w:r w:rsidR="0025280E">
        <w:instrText xml:space="preserve"> ADDIN EN.CITE &lt;EndNote&gt;&lt;Cite&gt;&lt;Author&gt;IEA&lt;/Author&gt;&lt;Year&gt;2023&lt;/Year&gt;&lt;RecNum&gt;6863&lt;/RecNum&gt;&lt;DisplayText&gt;(IEA 2023)&lt;/DisplayText&gt;&lt;record&gt;&lt;rec-number&gt;6863&lt;/rec-number&gt;&lt;foreign-keys&gt;&lt;key app="EN" db-id="pzwxerf5sf52xoef20m52s5jxpa0wpaspvpd" timestamp="1696620040"&gt;6863&lt;/key&gt;&lt;/foreign-keys&gt;&lt;ref-type name="Book"&gt;6&lt;/ref-type&gt;&lt;contributors&gt;&lt;authors&gt;&lt;author&gt;IEA&lt;/author&gt;&lt;/authors&gt;&lt;/contributors&gt;&lt;titles&gt;&lt;title&gt;Policies &amp;amp; measures database&lt;/title&gt;&lt;/titles&gt;&lt;dates&gt;&lt;year&gt;2023&lt;/year&gt;&lt;/dates&gt;&lt;pub-location&gt;https://www.iea.org/policies/about&lt;/pub-location&gt;&lt;publisher&gt;International Energy Agency&lt;/publisher&gt;&lt;urls&gt;&lt;related-urls&gt;&lt;url&gt;https://www.iea.org/reports/energy-efficiency-2021&lt;/url&gt;&lt;/related-urls&gt;&lt;/urls&gt;&lt;/record&gt;&lt;/Cite&gt;&lt;/EndNote&gt;</w:instrText>
      </w:r>
      <w:r w:rsidRPr="00B63D9C">
        <w:fldChar w:fldCharType="separate"/>
      </w:r>
      <w:r w:rsidRPr="00B63D9C">
        <w:rPr>
          <w:noProof/>
        </w:rPr>
        <w:t>(IEA 2023)</w:t>
      </w:r>
      <w:r w:rsidRPr="00B63D9C">
        <w:fldChar w:fldCharType="end"/>
      </w:r>
      <w:r w:rsidRPr="007832BF">
        <w:t xml:space="preserve">. </w:t>
      </w:r>
      <w:r w:rsidR="005D10C7">
        <w:t>The data we use</w:t>
      </w:r>
      <w:r w:rsidRPr="007832BF">
        <w:t xml:space="preserve"> covers the period from 2000 onwards and provides detailed information on the </w:t>
      </w:r>
      <w:r w:rsidR="00D45EA3">
        <w:t xml:space="preserve">year a policy was adopted, the </w:t>
      </w:r>
      <w:r w:rsidRPr="007832BF">
        <w:t>policy instrument</w:t>
      </w:r>
      <w:r w:rsidR="00AD0C89">
        <w:t xml:space="preserve"> </w:t>
      </w:r>
      <w:r w:rsidRPr="007832BF">
        <w:t>type</w:t>
      </w:r>
      <w:r w:rsidR="00D45EA3">
        <w:t>s it employs</w:t>
      </w:r>
      <w:r w:rsidRPr="007832BF">
        <w:t xml:space="preserve"> </w:t>
      </w:r>
      <w:r w:rsidR="00D45EA3">
        <w:t>(</w:t>
      </w:r>
      <w:r w:rsidRPr="00B63D9C">
        <w:t>including carbon taxes, renewable energy incentives, energy efficiency standards, and information-based initiatives</w:t>
      </w:r>
      <w:r w:rsidR="007616E1">
        <w:t>), and the sectors it targets</w:t>
      </w:r>
      <w:r w:rsidR="00575BD8">
        <w:t xml:space="preserve"> for </w:t>
      </w:r>
      <w:r w:rsidR="00F2475B">
        <w:t xml:space="preserve">GHG </w:t>
      </w:r>
      <w:r w:rsidR="00575BD8">
        <w:t>emission reduct</w:t>
      </w:r>
      <w:r w:rsidR="00BD4063">
        <w:t>ion</w:t>
      </w:r>
      <w:r w:rsidRPr="00B63D9C">
        <w:t xml:space="preserve">. There is a strong overlap between energy policy and climate </w:t>
      </w:r>
      <w:r w:rsidR="00451555">
        <w:t xml:space="preserve">mitigation </w:t>
      </w:r>
      <w:r w:rsidRPr="00B63D9C">
        <w:t xml:space="preserve">policy classifications; typically climate </w:t>
      </w:r>
      <w:r w:rsidR="00C367DC">
        <w:t xml:space="preserve">mitigation </w:t>
      </w:r>
      <w:r w:rsidRPr="00B63D9C">
        <w:t xml:space="preserve">policy has emission reductions as at least one of its objectives </w:t>
      </w:r>
      <w:r w:rsidRPr="00B63D9C">
        <w:fldChar w:fldCharType="begin"/>
      </w:r>
      <w:r w:rsidRPr="00B63D9C">
        <w:instrText xml:space="preserve"> ADDIN EN.CITE &lt;EndNote&gt;&lt;Cite&gt;&lt;Author&gt;Patt&lt;/Author&gt;&lt;Year&gt;2022&lt;/Year&gt;&lt;RecNum&gt;6834&lt;/RecNum&gt;&lt;DisplayText&gt;(Patt, Rajamani et al. 2022)&lt;/DisplayText&gt;&lt;record&gt;&lt;rec-number&gt;6834&lt;/rec-number&gt;&lt;foreign-keys&gt;&lt;key app="EN" db-id="pzwxerf5sf52xoef20m52s5jxpa0wpaspvpd" timestamp="1693821152"&gt;6834&lt;/key&gt;&lt;/foreign-keys&gt;&lt;ref-type name="Book Section"&gt;5&lt;/ref-type&gt;&lt;contributors&gt;&lt;authors&gt;&lt;author&gt;A. Patt&lt;/author&gt;&lt;author&gt;L. Rajamani&lt;/author&gt;&lt;author&gt;P. Bhandari&lt;/author&gt;&lt;author&gt;A. Ivanova Boncheva&lt;/author&gt;&lt;author&gt;A. Caparrós&lt;/author&gt;&lt;author&gt;K. Djemouai&lt;/author&gt;&lt;author&gt;I. Kubota&lt;/author&gt;&lt;author&gt;J. Peel&lt;/author&gt;&lt;author&gt;A.P. Sari&lt;/author&gt;&lt;author&gt;D.F. Sprinz&lt;/author&gt;&lt;author&gt;J. Wettestad&lt;/author&gt;&lt;/authors&gt;&lt;secondary-authors&gt;&lt;author&gt;P. R. Shukla&lt;/author&gt;&lt;author&gt;J. Skea&lt;/author&gt;&lt;author&gt;R. Slade&lt;/author&gt;&lt;author&gt;A. Al Khourdajie&lt;/author&gt;&lt;author&gt;R. van Diemen&lt;/author&gt;&lt;author&gt;D. McCollum&lt;/author&gt;&lt;author&gt;M. Pathak&lt;/author&gt;&lt;author&gt;S. Some&lt;/author&gt;&lt;author&gt;P. Vyas&lt;/author&gt;&lt;author&gt;R. Fradera&lt;/author&gt;&lt;author&gt;M. Belkacemi&lt;/author&gt;&lt;author&gt;A. Hasija&lt;/author&gt;&lt;author&gt;G. Lisboa&lt;/author&gt;&lt;author&gt;S. Luz&lt;/author&gt;&lt;author&gt;J. Malley&lt;/author&gt;&lt;/secondary-authors&gt;&lt;/contributors&gt;&lt;titles&gt;&lt;title&gt;International Cooperation&lt;/title&gt;&lt;secondary-title&gt;Climate Change 2022: Mitigation of Climate Change. Working Group III contribution to the Sixth Assessment Report of the Intergovernmental Panel on Climate Change (IPCC)&lt;/secondary-title&gt;&lt;/titles&gt;&lt;pages&gt;1451-1546&lt;/pages&gt;&lt;section&gt;14&lt;/section&gt;&lt;dates&gt;&lt;year&gt;2022&lt;/year&gt;&lt;/dates&gt;&lt;pub-location&gt;Geneva, Switzerland&lt;/pub-location&gt;&lt;publisher&gt;Intergovernmental Panel on Climate Change (IPCC)&lt;/publisher&gt;&lt;urls&gt;&lt;/urls&gt;&lt;electronic-resource-num&gt;doi: 10.1017/9781009157926.016&lt;/electronic-resource-num&gt;&lt;/record&gt;&lt;/Cite&gt;&lt;/EndNote&gt;</w:instrText>
      </w:r>
      <w:r w:rsidRPr="00B63D9C">
        <w:fldChar w:fldCharType="separate"/>
      </w:r>
      <w:r w:rsidRPr="00B63D9C">
        <w:rPr>
          <w:noProof/>
        </w:rPr>
        <w:t>(Patt, Rajamani et al. 2022)</w:t>
      </w:r>
      <w:r w:rsidRPr="00B63D9C">
        <w:fldChar w:fldCharType="end"/>
      </w:r>
      <w:r w:rsidRPr="00B63D9C">
        <w:t>.</w:t>
      </w:r>
    </w:p>
    <w:p w14:paraId="2506D59F" w14:textId="273749C3" w:rsidR="00C234F8" w:rsidRPr="005D48AE" w:rsidRDefault="00C234F8" w:rsidP="00061E68">
      <w:pPr>
        <w:rPr>
          <w:sz w:val="20"/>
        </w:rPr>
      </w:pPr>
      <w:r w:rsidRPr="00B63D9C">
        <w:fldChar w:fldCharType="begin" w:fldLock="1"/>
      </w:r>
      <w:r w:rsidRPr="00B63D9C">
        <w:instrText>ADDIN CSL_CITATION {"citationItems":[{"id":"ITEM-1","itemData":{"DOI":"10.1038/s41558-020-0831-z","ISSN":"17586798","abstract":"The international response to climate change has been inadequate, but not zero. There are 1,800 climate change laws worldwide. We use panel data on legislative activity in 133 countries over the period 1999–2016 to identify statistically the short-term and long-term impact of climate legislation. Each new law reduces annual carbon dioxide (CO2) emissions per unit of gross domestic product by 0.78% nationally in the short term (during the first three years) and by 1.79% in the long term (beyond three years). The results are driven by parliamentary acts and by countries with a strong rule of law. In 2016, current climate laws were associated with an annual reduction in global CO2 emissions of 5.9 GtCO2, more than the US CO2 output that year. Cumulative CO2 emissions savings from 1999 to 2016 amount to 38 GtCO2, or one year’s worth of global CO2 output. The impact on other greenhouse gases is much lower.","author":[{"dropping-particle":"","family":"Eskander","given":"Shaikh M.S.U.","non-dropping-particle":"","parse-names":false,"suffix":""},{"dropping-particle":"","family":"Fankhauser","given":"Sam","non-dropping-particle":"","parse-names":false,"suffix":""}],"container-title":"Nature Climate Change","id":"ITEM-1","issue":"8","issued":{"date-parts":[["2020"]]},"page":"750-756","title":"Reduction in greenhouse gas emissions from national climate legislation","type":"article-journal","volume":"10"},"uris":["http://www.mendeley.com/documents/?uuid=9f06f290-d9d4-4123-aa0e-90b46e322dc5"]}],"mendeley":{"formattedCitation":"(Eskander &amp; Fankhauser, 2020)","manualFormatting":"Eskander &amp; Fankhauser (2020)","plainTextFormattedCitation":"(Eskander &amp; Fankhauser, 2020)","previouslyFormattedCitation":"(Eskander &amp; Fankhauser, 2020)"},"properties":{"noteIndex":0},"schema":"https://github.com/citation-style-language/schema/raw/master/csl-citation.json"}</w:instrText>
      </w:r>
      <w:r w:rsidRPr="00B63D9C">
        <w:fldChar w:fldCharType="separate"/>
      </w:r>
      <w:r w:rsidRPr="00B63D9C">
        <w:t>Eskander &amp; Fankhauser (2020)</w:t>
      </w:r>
      <w:r w:rsidRPr="00B63D9C">
        <w:fldChar w:fldCharType="end"/>
      </w:r>
      <w:r w:rsidRPr="00B63D9C">
        <w:t xml:space="preserve"> use the Climate Change Laws of the World Database (CCLW) to construct their long-term and short-term policy density variables</w:t>
      </w:r>
      <w:r>
        <w:t>. They include a total of 1,092 climate laws and policies.</w:t>
      </w:r>
      <w:r w:rsidRPr="00B63D9C">
        <w:t xml:space="preserve"> Managed by the Grantham Research Institute, the CCLW dataset compiles parliamentary acts, executive orders, and policies of equivalent importance relevant to GHG emission reductions (</w:t>
      </w:r>
      <w:hyperlink r:id="rId8" w:history="1">
        <w:r w:rsidRPr="00A04EF0">
          <w:t>https://climate-laws.org/</w:t>
        </w:r>
      </w:hyperlink>
      <w:r w:rsidRPr="00B63D9C">
        <w:t xml:space="preserve">) </w:t>
      </w:r>
      <w:r w:rsidRPr="00B63D9C">
        <w:fldChar w:fldCharType="begin"/>
      </w:r>
      <w:r w:rsidRPr="00B63D9C">
        <w:instrText xml:space="preserve"> ADDIN EN.CITE &lt;EndNote&gt;&lt;Cite&gt;&lt;Author&gt;CCLW&lt;/Author&gt;&lt;Year&gt;2023&lt;/Year&gt;&lt;RecNum&gt;6859&lt;/RecNum&gt;&lt;DisplayText&gt;(CCLW 2023)&lt;/DisplayText&gt;&lt;record&gt;&lt;rec-number&gt;6859&lt;/rec-number&gt;&lt;foreign-keys&gt;&lt;key app="EN" db-id="pzwxerf5sf52xoef20m52s5jxpa0wpaspvpd" timestamp="1696618558"&gt;6859&lt;/key&gt;&lt;/foreign-keys&gt;&lt;ref-type name="Aggregated Database"&gt;55&lt;/ref-type&gt;&lt;contributors&gt;&lt;authors&gt;&lt;author&gt;CCLW&lt;/author&gt;&lt;/authors&gt;&lt;/contributors&gt;&lt;titles&gt;&lt;title&gt;Climate Change Laws of the World Database&lt;/title&gt;&lt;/titles&gt;&lt;dates&gt;&lt;year&gt;2023&lt;/year&gt;&lt;/dates&gt;&lt;pub-location&gt;https://climate-laws.org&lt;/pub-location&gt;&lt;publisher&gt;Grantham Research Institute on Climate Change and the Environment,&lt;/publisher&gt;&lt;urls&gt;&lt;/urls&gt;&lt;/record&gt;&lt;/Cite&gt;&lt;/EndNote&gt;</w:instrText>
      </w:r>
      <w:r w:rsidRPr="00B63D9C">
        <w:fldChar w:fldCharType="separate"/>
      </w:r>
      <w:r w:rsidRPr="00B63D9C">
        <w:t>(CCLW 2023)</w:t>
      </w:r>
      <w:r w:rsidRPr="00B63D9C">
        <w:fldChar w:fldCharType="end"/>
      </w:r>
      <w:r w:rsidRPr="00B63D9C">
        <w:t xml:space="preserve">. These range from broad framework laws establishing long-term objectives and an overarching legal basis for mitigation to specific sectoral policies on energy, transport, and land use </w:t>
      </w:r>
      <w:r w:rsidRPr="00B63D9C">
        <w:fldChar w:fldCharType="begin"/>
      </w:r>
      <w:r w:rsidRPr="00B63D9C">
        <w:instrText xml:space="preserve"> ADDIN EN.CITE &lt;EndNote&gt;&lt;Cite&gt;&lt;Author&gt;Dubash&lt;/Author&gt;&lt;Year&gt;2022&lt;/Year&gt;&lt;RecNum&gt;6833&lt;/RecNum&gt;&lt;DisplayText&gt;(Dubash, Mitchell et al. 2022)&lt;/DisplayText&gt;&lt;record&gt;&lt;rec-number&gt;6833&lt;/rec-number&gt;&lt;foreign-keys&gt;&lt;key app="EN" db-id="pzwxerf5sf52xoef20m52s5jxpa0wpaspvpd" timestamp="1693819487"&gt;6833&lt;/key&gt;&lt;/foreign-keys&gt;&lt;ref-type name="Book Section"&gt;5&lt;/ref-type&gt;&lt;contributors&gt;&lt;authors&gt;&lt;author&gt;N.K. Dubash&lt;/author&gt;&lt;author&gt;C. Mitchell&lt;/author&gt;&lt;author&gt;E.L. Boasson&lt;/author&gt;&lt;author&gt;M.J. Borbor-Cordova&lt;/author&gt;&lt;author&gt;S. Fifita&lt;/author&gt;&lt;author&gt;E. Haites&lt;/author&gt;&lt;author&gt;M. Jaccard&lt;/author&gt;&lt;author&gt;F. Jotzo&lt;/author&gt;&lt;author&gt;S. Naidoo&lt;/author&gt;&lt;author&gt;P. Romero-Lankao&lt;/author&gt;&lt;author&gt;M. Shlapak&lt;/author&gt;&lt;author&gt;W. Shen&lt;/author&gt;&lt;author&gt;L. Wu &lt;/author&gt;&lt;/authors&gt;&lt;secondary-authors&gt;&lt;author&gt;P. R. Shukla&lt;/author&gt;&lt;author&gt;J. Skea&lt;/author&gt;&lt;author&gt;R. Slade&lt;/author&gt;&lt;author&gt;A. Al Khourdajie&lt;/author&gt;&lt;author&gt;R. van Diemen&lt;/author&gt;&lt;author&gt;D. McCollum&lt;/author&gt;&lt;author&gt;M. Pathak&lt;/author&gt;&lt;author&gt;S. Some&lt;/author&gt;&lt;author&gt;P. Vyas&lt;/author&gt;&lt;author&gt;R. Fradera&lt;/author&gt;&lt;author&gt;M. Belkacemi&lt;/author&gt;&lt;author&gt;A. Hasija&lt;/author&gt;&lt;author&gt;G. Lisboa&lt;/author&gt;&lt;author&gt;S. Luz&lt;/author&gt;&lt;author&gt;J. Malley&lt;/author&gt;&lt;/secondary-authors&gt;&lt;/contributors&gt;&lt;titles&gt;&lt;title&gt;National and sub-national policies and institutions&lt;/title&gt;&lt;secondary-title&gt;Climate Change 2022: Mitigation of Climate Change. Working Group III contribution to the Sixth Assessment Report of the Intergovernmental Panel on Climate Change (IPCC)&lt;/secondary-title&gt;&lt;/titles&gt;&lt;pages&gt;1355-1450&lt;/pages&gt;&lt;section&gt;13&lt;/section&gt;&lt;dates&gt;&lt;year&gt;2022&lt;/year&gt;&lt;/dates&gt;&lt;pub-location&gt;Geneva, Switzerland&lt;/pub-location&gt;&lt;publisher&gt;Intergovernmental Panel on Climate Change (IPCC)&lt;/publisher&gt;&lt;urls&gt;&lt;/urls&gt;&lt;electronic-resource-num&gt;doi: 10.1017/9781009157926.015&lt;/electronic-resource-num&gt;&lt;/record&gt;&lt;/Cite&gt;&lt;/EndNote&gt;</w:instrText>
      </w:r>
      <w:r w:rsidRPr="00B63D9C">
        <w:fldChar w:fldCharType="separate"/>
      </w:r>
      <w:r w:rsidRPr="00B63D9C">
        <w:t>(Dubash, Mitchell et al. 2022)</w:t>
      </w:r>
      <w:r w:rsidRPr="00B63D9C">
        <w:fldChar w:fldCharType="end"/>
      </w:r>
      <w:r w:rsidRPr="00B63D9C">
        <w:t xml:space="preserve">. </w:t>
      </w:r>
    </w:p>
    <w:p w14:paraId="713B8E76" w14:textId="104E0DB9" w:rsidR="00C234F8" w:rsidRPr="00A04EF0" w:rsidRDefault="00C234F8" w:rsidP="00061E68">
      <w:pPr>
        <w:rPr>
          <w:sz w:val="20"/>
        </w:rPr>
      </w:pPr>
      <w:r w:rsidRPr="00B63D9C">
        <w:t xml:space="preserve">Selection of policies for the CCLW database is based on legal documents, so it is particularly useful for assessing climate policy </w:t>
      </w:r>
      <w:r>
        <w:t>portfolios</w:t>
      </w:r>
      <w:r w:rsidRPr="00B63D9C">
        <w:t xml:space="preserve"> at a global level </w:t>
      </w:r>
      <w:r w:rsidRPr="00B63D9C">
        <w:fldChar w:fldCharType="begin" w:fldLock="1"/>
      </w:r>
      <w:r w:rsidRPr="00B63D9C">
        <w:instrText>ADDIN CSL_CITATION {"citationItems":[{"id":"ITEM-1","itemData":{"author":[{"dropping-particle":"","family":"Schaub","given":"Simon","non-dropping-particle":"","parse-names":false,"suffix":""},{"dropping-particle":"","family":"Tosun","given":"Jale","non-dropping-particle":"","parse-names":false,"suffix":""},{"dropping-particle":"","family":"Jordan","given":"Andrew J.","non-dropping-particle":"","parse-names":false,"suffix":""},{"dropping-particle":"","family":"Enguer","given":"Joan","non-dropping-particle":"","parse-names":false,"suffix":""}],"id":"ITEM-1","issued":{"date-parts":[["2022"]]},"title":"Climate Policy Ambition: A Policy-Density Perspective","type":"article-journal"},"uris":["http://www.mendeley.com/documents/?uuid=d668585a-aa0d-356d-b9e9-f9b1d2933da3"]}],"mendeley":{"formattedCitation":"(Schaub et al., 2022)","plainTextFormattedCitation":"(Schaub et al., 2022)","previouslyFormattedCitation":"(Schaub et al., 2022)"},"properties":{"noteIndex":0},"schema":"https://github.com/citation-style-language/schema/raw/master/csl-citation.json"}</w:instrText>
      </w:r>
      <w:r w:rsidRPr="00B63D9C">
        <w:fldChar w:fldCharType="separate"/>
      </w:r>
      <w:r w:rsidRPr="00B63D9C">
        <w:t>(Schaub et al., 2022)</w:t>
      </w:r>
      <w:r w:rsidRPr="00B63D9C">
        <w:fldChar w:fldCharType="end"/>
      </w:r>
      <w:r w:rsidRPr="00B63D9C">
        <w:t>. However, the CCLW database only captures active climate laws and not those that have been repealed (</w:t>
      </w:r>
      <w:r w:rsidRPr="00B63D9C">
        <w:fldChar w:fldCharType="begin" w:fldLock="1"/>
      </w:r>
      <w:r w:rsidRPr="00B63D9C">
        <w:instrText>ADDIN CSL_CITATION {"citationItems":[{"id":"ITEM-1","itemData":{"DOI":"10.1038/s41558-020-0831-z","ISSN":"17586798","abstract":"The international response to climate change has been inadequate, but not zero. There are 1,800 climate change laws worldwide. We use panel data on legislative activity in 133 countries over the period 1999–2016 to identify statistically the short-term and long-term impact of climate legislation. Each new law reduces annual carbon dioxide (CO2) emissions per unit of gross domestic product by 0.78% nationally in the short term (during the first three years) and by 1.79% in the long term (beyond three years). The results are driven by parliamentary acts and by countries with a strong rule of law. In 2016, current climate laws were associated with an annual reduction in global CO2 emissions of 5.9 GtCO2, more than the US CO2 output that year. Cumulative CO2 emissions savings from 1999 to 2016 amount to 38 GtCO2, or one year’s worth of global CO2 output. The impact on other greenhouse gases is much lower.","author":[{"dropping-particle":"","family":"Eskander","given":"Shaikh M.S.U.","non-dropping-particle":"","parse-names":false,"suffix":""},{"dropping-particle":"","family":"Fankhauser","given":"Sam","non-dropping-particle":"","parse-names":false,"suffix":""}],"container-title":"Nature Climate Change","id":"ITEM-1","issue":"8","issued":{"date-parts":[["2020"]]},"page":"750-756","title":"Reduction in greenhouse gas emissions from national climate legislation","type":"article-journal","volume":"10"},"uris":["http://www.mendeley.com/documents/?uuid=9f06f290-d9d4-4123-aa0e-90b46e322dc5"]}],"mendeley":{"formattedCitation":"(Eskander &amp; Fankhauser, 2020)","manualFormatting":"Eskander &amp; Fankhauser, 2020)","plainTextFormattedCitation":"(Eskander &amp; Fankhauser, 2020)","previouslyFormattedCitation":"(Eskander &amp; Fankhauser, 2020)"},"properties":{"noteIndex":0},"schema":"https://github.com/citation-style-language/schema/raw/master/csl-citation.json"}</w:instrText>
      </w:r>
      <w:r w:rsidRPr="00B63D9C">
        <w:fldChar w:fldCharType="separate"/>
      </w:r>
      <w:r w:rsidRPr="00B63D9C">
        <w:t>Eskander &amp; Fankhauser, 2020)</w:t>
      </w:r>
      <w:r w:rsidRPr="00B63D9C">
        <w:fldChar w:fldCharType="end"/>
      </w:r>
      <w:r w:rsidR="001F4329">
        <w:t xml:space="preserve"> and thus </w:t>
      </w:r>
      <w:r w:rsidR="00ED413D">
        <w:t>has shortcomings</w:t>
      </w:r>
      <w:r w:rsidR="00E4683A">
        <w:t xml:space="preserve"> for </w:t>
      </w:r>
      <w:r w:rsidR="00052469">
        <w:t>historic</w:t>
      </w:r>
      <w:r w:rsidR="00221E62">
        <w:t>al</w:t>
      </w:r>
      <w:r w:rsidR="00052469">
        <w:t xml:space="preserve"> analysis</w:t>
      </w:r>
      <w:r w:rsidRPr="00B63D9C">
        <w:t xml:space="preserve">. In contrast, the IEA PMD has more extensive coverage of </w:t>
      </w:r>
      <w:r w:rsidR="00626588">
        <w:t>climate policies</w:t>
      </w:r>
      <w:r w:rsidRPr="00B63D9C">
        <w:t xml:space="preserve"> and provides in</w:t>
      </w:r>
      <w:r w:rsidR="00221E62">
        <w:t>-</w:t>
      </w:r>
      <w:r w:rsidRPr="00B63D9C">
        <w:t xml:space="preserve">depth information on policy instrument types. As a result, the </w:t>
      </w:r>
      <w:r w:rsidR="006F3C90">
        <w:t xml:space="preserve">IEA </w:t>
      </w:r>
      <w:r w:rsidRPr="00B63D9C">
        <w:t>PMD reports a larger number of climate policies and is more suitable for assessing policy</w:t>
      </w:r>
      <w:r>
        <w:t xml:space="preserve"> portfolios</w:t>
      </w:r>
      <w:r w:rsidRPr="00B63D9C">
        <w:t xml:space="preserve"> for individual countries as it includes </w:t>
      </w:r>
      <w:r w:rsidR="00533F6A">
        <w:t xml:space="preserve">detailed </w:t>
      </w:r>
      <w:r w:rsidRPr="00B63D9C">
        <w:t>information on policy instrument types and sectoral coverage.</w:t>
      </w:r>
    </w:p>
    <w:p w14:paraId="422AB183" w14:textId="43D273C9" w:rsidR="00C234F8" w:rsidRDefault="00C234F8" w:rsidP="00A04EF0">
      <w:pPr>
        <w:pStyle w:val="berschrift2"/>
      </w:pPr>
      <w:bookmarkStart w:id="6" w:name="_Toc171323423"/>
      <w:r>
        <w:t>Policy density</w:t>
      </w:r>
      <w:bookmarkEnd w:id="6"/>
    </w:p>
    <w:p w14:paraId="1F530034" w14:textId="5B80E340" w:rsidR="00FD0828" w:rsidRPr="00A04EF0" w:rsidRDefault="00DE748D" w:rsidP="00FD0828">
      <w:pPr>
        <w:rPr>
          <w:rFonts w:ascii="Helvetica" w:hAnsi="Helvetica"/>
        </w:rPr>
      </w:pPr>
      <w:r>
        <w:rPr>
          <w:rFonts w:ascii="Helvetica" w:hAnsi="Helvetica"/>
        </w:rPr>
        <w:t xml:space="preserve">Figures </w:t>
      </w:r>
      <w:r w:rsidR="00B544B7">
        <w:rPr>
          <w:rFonts w:ascii="Helvetica" w:hAnsi="Helvetica"/>
        </w:rPr>
        <w:t>S3</w:t>
      </w:r>
      <w:r w:rsidR="003B32B7">
        <w:rPr>
          <w:rFonts w:ascii="Helvetica" w:hAnsi="Helvetica"/>
        </w:rPr>
        <w:t xml:space="preserve"> A-</w:t>
      </w:r>
      <w:r w:rsidR="00E21B5E">
        <w:rPr>
          <w:rFonts w:ascii="Helvetica" w:hAnsi="Helvetica"/>
        </w:rPr>
        <w:t>C</w:t>
      </w:r>
      <w:r w:rsidR="00B544B7">
        <w:rPr>
          <w:rFonts w:ascii="Helvetica" w:hAnsi="Helvetica"/>
        </w:rPr>
        <w:t xml:space="preserve"> </w:t>
      </w:r>
      <w:r w:rsidR="00FD0828" w:rsidRPr="00EF5F76">
        <w:rPr>
          <w:rFonts w:ascii="Helvetica" w:hAnsi="Helvetica"/>
        </w:rPr>
        <w:t>show</w:t>
      </w:r>
      <w:r w:rsidR="00FD0828" w:rsidRPr="00A04EF0">
        <w:rPr>
          <w:rFonts w:ascii="Helvetica" w:hAnsi="Helvetica"/>
        </w:rPr>
        <w:t xml:space="preserve"> line plots of total policy density by country over time, showing clear upward trends for all countries in our dataset. </w:t>
      </w:r>
      <w:r w:rsidR="00566A53">
        <w:rPr>
          <w:rFonts w:ascii="Helvetica" w:hAnsi="Helvetica"/>
        </w:rPr>
        <w:t xml:space="preserve">Larger </w:t>
      </w:r>
      <w:r w:rsidR="00221E62">
        <w:rPr>
          <w:rFonts w:ascii="Helvetica" w:hAnsi="Helvetica"/>
        </w:rPr>
        <w:t xml:space="preserve">numbers of new </w:t>
      </w:r>
      <w:r w:rsidR="00FD0828" w:rsidRPr="00A04EF0">
        <w:rPr>
          <w:rFonts w:ascii="Helvetica" w:hAnsi="Helvetica"/>
        </w:rPr>
        <w:t xml:space="preserve">climate policies can be observed in the years following 2006. The BRIICS economies along with certain OECD countries (Chile, Israel, Italy, </w:t>
      </w:r>
      <w:r w:rsidR="008C36E8" w:rsidRPr="00A04EF0">
        <w:rPr>
          <w:rFonts w:ascii="Helvetica" w:hAnsi="Helvetica"/>
        </w:rPr>
        <w:t xml:space="preserve">and </w:t>
      </w:r>
      <w:r w:rsidR="00FD0828" w:rsidRPr="00A04EF0">
        <w:rPr>
          <w:rFonts w:ascii="Helvetica" w:hAnsi="Helvetica"/>
        </w:rPr>
        <w:t>Lithuania) have been slow to start, but experienced a rapid increase in the overall number of climate policies from 2007 and onwards. The rest of the OECD countries have displayed more gradual adoption of climate policies over time. Focusing specifically on BRIICS, we observe that they experience an even steeper upward trend for total policy density from 2010 onwards. China is an important outlier given it has legislated annually a very large number of climate policies but mainly since 2011: e.g., 22 policies in 2011, 26 in 2014, and 31 in 2016. By 2018, countries with the largest numbers of climate policies are China, USA, Australia, UK, Canada, and Spain. China is the only country from the block of BRIICS economies that closely follows the larger OECD countries in terms of total policy density.</w:t>
      </w:r>
    </w:p>
    <w:p w14:paraId="454AB8D0" w14:textId="4979A623" w:rsidR="009C450A" w:rsidRPr="00A04EF0" w:rsidRDefault="00FD0828" w:rsidP="00FD0828">
      <w:pPr>
        <w:rPr>
          <w:rFonts w:ascii="Helvetica" w:hAnsi="Helvetica"/>
        </w:rPr>
      </w:pPr>
      <w:r w:rsidRPr="00A04EF0">
        <w:rPr>
          <w:rFonts w:ascii="Helvetica" w:hAnsi="Helvetica"/>
        </w:rPr>
        <w:t xml:space="preserve">As our analysis runs from 2000, initial policy densities in all countries are set to zero in 2000. Although most policies have been implemented since then, some countries including Australia, Denmark, Finland, Korea, and Norway had introduced significant numbers of </w:t>
      </w:r>
      <w:r w:rsidRPr="00A04EF0">
        <w:rPr>
          <w:rFonts w:ascii="Helvetica" w:hAnsi="Helvetica"/>
        </w:rPr>
        <w:lastRenderedPageBreak/>
        <w:t>policies before 2000</w:t>
      </w:r>
      <w:r w:rsidR="00DA5961">
        <w:rPr>
          <w:rFonts w:ascii="Helvetica" w:hAnsi="Helvetica"/>
        </w:rPr>
        <w:t>. W</w:t>
      </w:r>
      <w:r w:rsidRPr="00A04EF0">
        <w:rPr>
          <w:rFonts w:ascii="Helvetica" w:hAnsi="Helvetica"/>
        </w:rPr>
        <w:t>e include robustness checks in our analysis that include these initial conditio</w:t>
      </w:r>
      <w:r w:rsidR="00DA5961">
        <w:rPr>
          <w:rFonts w:ascii="Helvetica" w:hAnsi="Helvetica"/>
        </w:rPr>
        <w:t>ns; see below for details.</w:t>
      </w:r>
    </w:p>
    <w:p w14:paraId="0A52B843" w14:textId="77777777" w:rsidR="00416460" w:rsidRDefault="00416460">
      <w:r>
        <w:br w:type="page"/>
      </w:r>
    </w:p>
    <w:p w14:paraId="1F758071" w14:textId="77777777" w:rsidR="00B224D8" w:rsidRDefault="00B224D8" w:rsidP="00FD0828">
      <w:pPr>
        <w:rPr>
          <w:rFonts w:ascii="Helvetica" w:hAnsi="Helvetica"/>
        </w:rPr>
        <w:sectPr w:rsidR="00B224D8">
          <w:footerReference w:type="even" r:id="rId9"/>
          <w:footerReference w:type="default" r:id="rId10"/>
          <w:pgSz w:w="11906" w:h="16838"/>
          <w:pgMar w:top="1440" w:right="1440" w:bottom="1440" w:left="1440" w:header="708" w:footer="708" w:gutter="0"/>
          <w:cols w:space="708"/>
          <w:docGrid w:linePitch="360"/>
        </w:sect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B224D8" w:rsidRPr="00B9466F" w14:paraId="033DD1DB" w14:textId="77777777" w:rsidTr="009F5F71">
        <w:tc>
          <w:tcPr>
            <w:tcW w:w="13948" w:type="dxa"/>
          </w:tcPr>
          <w:p w14:paraId="1ABA96F4" w14:textId="53F6915D" w:rsidR="00B224D8" w:rsidRPr="00610F90" w:rsidRDefault="00B224D8" w:rsidP="00A04EF0">
            <w:pPr>
              <w:rPr>
                <w:rFonts w:ascii="Helvetica" w:hAnsi="Helvetica"/>
                <w:i/>
                <w:iCs/>
              </w:rPr>
            </w:pPr>
            <w:bookmarkStart w:id="7" w:name="_Ref158217247"/>
            <w:r w:rsidRPr="00C2248A">
              <w:rPr>
                <w:rFonts w:ascii="Helvetica" w:hAnsi="Helvetica"/>
                <w:i/>
                <w:iCs/>
              </w:rPr>
              <w:lastRenderedPageBreak/>
              <w:t>Figure S</w:t>
            </w:r>
            <w:bookmarkEnd w:id="7"/>
            <w:r w:rsidR="007D1784">
              <w:rPr>
                <w:rFonts w:ascii="Helvetica" w:hAnsi="Helvetica"/>
                <w:i/>
                <w:iCs/>
              </w:rPr>
              <w:t>1</w:t>
            </w:r>
            <w:r w:rsidR="002D238C" w:rsidRPr="00C2248A">
              <w:rPr>
                <w:rFonts w:ascii="Helvetica" w:hAnsi="Helvetica"/>
                <w:i/>
                <w:iCs/>
              </w:rPr>
              <w:t>A</w:t>
            </w:r>
            <w:r w:rsidRPr="00610F90">
              <w:rPr>
                <w:rFonts w:ascii="Helvetica" w:hAnsi="Helvetica"/>
                <w:i/>
                <w:iCs/>
              </w:rPr>
              <w:t>. Fossil CO</w:t>
            </w:r>
            <w:r w:rsidRPr="00610F90">
              <w:rPr>
                <w:rFonts w:ascii="Helvetica" w:hAnsi="Helvetica"/>
                <w:i/>
                <w:iCs/>
                <w:vertAlign w:val="subscript"/>
              </w:rPr>
              <w:t>2</w:t>
            </w:r>
            <w:r w:rsidRPr="00610F90">
              <w:rPr>
                <w:rFonts w:ascii="Helvetica" w:hAnsi="Helvetica"/>
                <w:i/>
                <w:iCs/>
              </w:rPr>
              <w:t xml:space="preserve"> emissions (natural log) per country from 2000 to 2019</w:t>
            </w:r>
            <w:r w:rsidR="0092562C">
              <w:rPr>
                <w:rFonts w:ascii="Helvetica" w:hAnsi="Helvetica"/>
                <w:i/>
                <w:iCs/>
              </w:rPr>
              <w:t xml:space="preserve"> for</w:t>
            </w:r>
            <w:r w:rsidRPr="00610F90">
              <w:rPr>
                <w:rFonts w:ascii="Helvetica" w:hAnsi="Helvetica"/>
                <w:i/>
                <w:iCs/>
              </w:rPr>
              <w:t xml:space="preserve"> </w:t>
            </w:r>
            <w:r w:rsidR="00F8476A" w:rsidRPr="00610F90">
              <w:rPr>
                <w:rFonts w:ascii="Helvetica" w:hAnsi="Helvetica"/>
                <w:i/>
                <w:iCs/>
              </w:rPr>
              <w:t>OECD countries</w:t>
            </w:r>
            <w:r w:rsidR="009023BD">
              <w:rPr>
                <w:rFonts w:ascii="Helvetica" w:hAnsi="Helvetica"/>
                <w:i/>
                <w:iCs/>
              </w:rPr>
              <w:t xml:space="preserve"> in the EU</w:t>
            </w:r>
            <w:r w:rsidR="00FB6F59" w:rsidRPr="00610F90">
              <w:rPr>
                <w:rFonts w:ascii="Helvetica" w:hAnsi="Helvetica"/>
                <w:i/>
                <w:iCs/>
              </w:rPr>
              <w:t xml:space="preserve">. Vertical axis rescaled by country to </w:t>
            </w:r>
            <w:r w:rsidR="00106E89" w:rsidRPr="00610F90">
              <w:rPr>
                <w:rFonts w:ascii="Helvetica" w:hAnsi="Helvetica"/>
                <w:i/>
                <w:iCs/>
              </w:rPr>
              <w:t>visualize</w:t>
            </w:r>
            <w:r w:rsidR="00FB6F59" w:rsidRPr="00610F90">
              <w:rPr>
                <w:rFonts w:ascii="Helvetica" w:hAnsi="Helvetica"/>
                <w:i/>
                <w:iCs/>
              </w:rPr>
              <w:t xml:space="preserve"> trends in fossil CO</w:t>
            </w:r>
            <w:r w:rsidR="00FB6F59" w:rsidRPr="002C5A76">
              <w:rPr>
                <w:rFonts w:ascii="Helvetica" w:hAnsi="Helvetica"/>
                <w:i/>
                <w:iCs/>
                <w:vertAlign w:val="subscript"/>
              </w:rPr>
              <w:t>2</w:t>
            </w:r>
            <w:r w:rsidR="00FB6F59" w:rsidRPr="00610F90">
              <w:rPr>
                <w:rFonts w:ascii="Helvetica" w:hAnsi="Helvetica"/>
                <w:i/>
                <w:iCs/>
              </w:rPr>
              <w:t xml:space="preserve"> emissions. </w:t>
            </w:r>
          </w:p>
        </w:tc>
      </w:tr>
      <w:tr w:rsidR="00B224D8" w:rsidRPr="00B9466F" w14:paraId="59C6F978" w14:textId="77777777" w:rsidTr="009F5F71">
        <w:tc>
          <w:tcPr>
            <w:tcW w:w="13948" w:type="dxa"/>
          </w:tcPr>
          <w:p w14:paraId="75A86F69" w14:textId="5F1CABED" w:rsidR="00B224D8" w:rsidRPr="00671398" w:rsidRDefault="00671398" w:rsidP="009F5F71">
            <w:pPr>
              <w:jc w:val="center"/>
              <w:rPr>
                <w:rFonts w:ascii="Helvetica" w:hAnsi="Helvetica"/>
              </w:rPr>
            </w:pPr>
            <w:r>
              <w:rPr>
                <w:rFonts w:ascii="Helvetica" w:hAnsi="Helvetica"/>
                <w:noProof/>
              </w:rPr>
              <w:drawing>
                <wp:inline distT="0" distB="0" distL="0" distR="0" wp14:anchorId="194DB773" wp14:editId="5F5C3822">
                  <wp:extent cx="7793665" cy="4674184"/>
                  <wp:effectExtent l="0" t="0" r="0" b="0"/>
                  <wp:docPr id="9026647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801689" cy="4678996"/>
                          </a:xfrm>
                          <a:prstGeom prst="rect">
                            <a:avLst/>
                          </a:prstGeom>
                          <a:noFill/>
                          <a:ln>
                            <a:noFill/>
                          </a:ln>
                        </pic:spPr>
                      </pic:pic>
                    </a:graphicData>
                  </a:graphic>
                </wp:inline>
              </w:drawing>
            </w:r>
          </w:p>
        </w:tc>
      </w:tr>
    </w:tbl>
    <w:p w14:paraId="3FF13B00" w14:textId="28E3211A" w:rsidR="00B224D8" w:rsidRPr="009F5F71" w:rsidRDefault="00B224D8" w:rsidP="00A04EF0">
      <w:pPr>
        <w:rPr>
          <w:rFonts w:ascii="Helvetica" w:hAnsi="Helvetica"/>
          <w:strike/>
        </w:rPr>
      </w:pPr>
    </w:p>
    <w:p w14:paraId="2C79A4E9" w14:textId="77777777" w:rsidR="00B224D8" w:rsidRPr="009F5F71" w:rsidRDefault="00B224D8">
      <w:pPr>
        <w:rPr>
          <w:rFonts w:ascii="Helvetica" w:hAnsi="Helvetica"/>
          <w:strike/>
        </w:rPr>
      </w:pPr>
      <w:r w:rsidRPr="009F5F71">
        <w:rPr>
          <w:rFonts w:ascii="Helvetica" w:hAnsi="Helvetica"/>
          <w:strike/>
        </w:rPr>
        <w:br w:type="page"/>
      </w:r>
    </w:p>
    <w:p w14:paraId="3237FC9F" w14:textId="77777777" w:rsidR="000330B6" w:rsidRPr="009F5F71" w:rsidRDefault="000330B6" w:rsidP="00F8476A">
      <w:pPr>
        <w:jc w:val="center"/>
        <w:rPr>
          <w:rFonts w:ascii="Helvetica" w:hAnsi="Helvetica"/>
          <w:strike/>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67"/>
      </w:tblGrid>
      <w:tr w:rsidR="00B224D8" w:rsidRPr="00B9466F" w14:paraId="41879FDF" w14:textId="77777777" w:rsidTr="00F8476A">
        <w:trPr>
          <w:trHeight w:val="183"/>
          <w:jc w:val="center"/>
        </w:trPr>
        <w:tc>
          <w:tcPr>
            <w:tcW w:w="13167" w:type="dxa"/>
          </w:tcPr>
          <w:p w14:paraId="2D9ED615" w14:textId="6550F867" w:rsidR="00B224D8" w:rsidRPr="00610F90" w:rsidRDefault="00B224D8" w:rsidP="00B224D8">
            <w:pPr>
              <w:rPr>
                <w:rFonts w:ascii="Helvetica" w:hAnsi="Helvetica"/>
                <w:i/>
                <w:iCs/>
              </w:rPr>
            </w:pPr>
            <w:r w:rsidRPr="004F41B5">
              <w:rPr>
                <w:rFonts w:ascii="Helvetica" w:hAnsi="Helvetica"/>
                <w:i/>
                <w:iCs/>
              </w:rPr>
              <w:t>Figure S1</w:t>
            </w:r>
            <w:r w:rsidR="006D77E0" w:rsidRPr="004F41B5">
              <w:rPr>
                <w:rFonts w:ascii="Helvetica" w:hAnsi="Helvetica"/>
                <w:i/>
                <w:iCs/>
              </w:rPr>
              <w:t>B</w:t>
            </w:r>
            <w:r w:rsidRPr="00610F90">
              <w:rPr>
                <w:rFonts w:ascii="Helvetica" w:hAnsi="Helvetica"/>
                <w:i/>
                <w:iCs/>
              </w:rPr>
              <w:t>. Fossil CO</w:t>
            </w:r>
            <w:r w:rsidRPr="00610F90">
              <w:rPr>
                <w:rFonts w:ascii="Helvetica" w:hAnsi="Helvetica"/>
                <w:i/>
                <w:iCs/>
                <w:vertAlign w:val="subscript"/>
              </w:rPr>
              <w:t>2</w:t>
            </w:r>
            <w:r w:rsidRPr="00610F90">
              <w:rPr>
                <w:rFonts w:ascii="Helvetica" w:hAnsi="Helvetica"/>
                <w:i/>
                <w:iCs/>
              </w:rPr>
              <w:t xml:space="preserve"> emissions (natural log) per country from 2000 to 2019 for non-EU OECD countries.</w:t>
            </w:r>
            <w:r w:rsidR="00EC7027" w:rsidRPr="00610F90">
              <w:rPr>
                <w:rFonts w:ascii="Helvetica" w:hAnsi="Helvetica"/>
                <w:i/>
                <w:iCs/>
              </w:rPr>
              <w:t xml:space="preserve"> Vertical axis rescaled by country to visualize trends in fossil CO</w:t>
            </w:r>
            <w:r w:rsidR="00EC7027" w:rsidRPr="002C5A76">
              <w:rPr>
                <w:rFonts w:ascii="Helvetica" w:hAnsi="Helvetica"/>
                <w:i/>
                <w:iCs/>
                <w:vertAlign w:val="subscript"/>
              </w:rPr>
              <w:t>2</w:t>
            </w:r>
            <w:r w:rsidR="00EC7027" w:rsidRPr="00610F90">
              <w:rPr>
                <w:rFonts w:ascii="Helvetica" w:hAnsi="Helvetica"/>
                <w:i/>
                <w:iCs/>
              </w:rPr>
              <w:t xml:space="preserve"> emissions.</w:t>
            </w:r>
          </w:p>
        </w:tc>
      </w:tr>
      <w:tr w:rsidR="00B224D8" w:rsidRPr="00B9466F" w14:paraId="0E2C8549" w14:textId="77777777" w:rsidTr="00F8476A">
        <w:trPr>
          <w:trHeight w:val="5872"/>
          <w:jc w:val="center"/>
        </w:trPr>
        <w:tc>
          <w:tcPr>
            <w:tcW w:w="13167" w:type="dxa"/>
          </w:tcPr>
          <w:p w14:paraId="0B0D095A" w14:textId="5971E633" w:rsidR="00B224D8" w:rsidRPr="00671398" w:rsidRDefault="00671398" w:rsidP="00F8476A">
            <w:pPr>
              <w:jc w:val="center"/>
              <w:rPr>
                <w:rFonts w:ascii="Helvetica" w:hAnsi="Helvetica"/>
              </w:rPr>
            </w:pPr>
            <w:r>
              <w:rPr>
                <w:rFonts w:ascii="Helvetica" w:hAnsi="Helvetica"/>
                <w:noProof/>
              </w:rPr>
              <w:drawing>
                <wp:inline distT="0" distB="0" distL="0" distR="0" wp14:anchorId="1169375C" wp14:editId="3114F550">
                  <wp:extent cx="7258410" cy="4353170"/>
                  <wp:effectExtent l="0" t="0" r="0" b="3175"/>
                  <wp:docPr id="74227289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82812" cy="4367805"/>
                          </a:xfrm>
                          <a:prstGeom prst="rect">
                            <a:avLst/>
                          </a:prstGeom>
                          <a:noFill/>
                          <a:ln>
                            <a:noFill/>
                          </a:ln>
                        </pic:spPr>
                      </pic:pic>
                    </a:graphicData>
                  </a:graphic>
                </wp:inline>
              </w:drawing>
            </w:r>
          </w:p>
        </w:tc>
      </w:tr>
    </w:tbl>
    <w:p w14:paraId="3E1F3772" w14:textId="1264C524" w:rsidR="003B0CE4" w:rsidRPr="00F8476A" w:rsidRDefault="003B0CE4" w:rsidP="00A04EF0">
      <w:pPr>
        <w:rPr>
          <w:rFonts w:ascii="Helvetica" w:hAnsi="Helvetica"/>
          <w:strike/>
        </w:rPr>
      </w:pPr>
    </w:p>
    <w:p w14:paraId="3EEBAC67" w14:textId="77777777" w:rsidR="003B0CE4" w:rsidRPr="00F8476A" w:rsidRDefault="003B0CE4">
      <w:pPr>
        <w:rPr>
          <w:rFonts w:ascii="Helvetica" w:hAnsi="Helvetica"/>
          <w:strike/>
        </w:rPr>
      </w:pPr>
      <w:r w:rsidRPr="00F8476A">
        <w:rPr>
          <w:rFonts w:ascii="Helvetica" w:hAnsi="Helvetica"/>
          <w:strike/>
        </w:rPr>
        <w:br w:type="page"/>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B224D8" w:rsidRPr="00B9466F" w14:paraId="53BC5E7A" w14:textId="77777777" w:rsidTr="005308AA">
        <w:trPr>
          <w:jc w:val="center"/>
        </w:trPr>
        <w:tc>
          <w:tcPr>
            <w:tcW w:w="13948" w:type="dxa"/>
          </w:tcPr>
          <w:p w14:paraId="498378C1" w14:textId="447655AE" w:rsidR="00B224D8" w:rsidRPr="00610F90" w:rsidRDefault="00B224D8" w:rsidP="00A04EF0">
            <w:pPr>
              <w:rPr>
                <w:rFonts w:ascii="Helvetica" w:hAnsi="Helvetica"/>
                <w:i/>
                <w:iCs/>
              </w:rPr>
            </w:pPr>
            <w:r w:rsidRPr="00F51BC3">
              <w:rPr>
                <w:rFonts w:ascii="Helvetica" w:hAnsi="Helvetica"/>
                <w:i/>
                <w:iCs/>
              </w:rPr>
              <w:lastRenderedPageBreak/>
              <w:t>Figure S1</w:t>
            </w:r>
            <w:r w:rsidR="00975038" w:rsidRPr="00F51BC3">
              <w:rPr>
                <w:rFonts w:ascii="Helvetica" w:hAnsi="Helvetica"/>
                <w:i/>
                <w:iCs/>
              </w:rPr>
              <w:t>C</w:t>
            </w:r>
            <w:r w:rsidRPr="00F51BC3">
              <w:rPr>
                <w:rFonts w:ascii="Helvetica" w:hAnsi="Helvetica"/>
                <w:i/>
                <w:iCs/>
              </w:rPr>
              <w:t>.</w:t>
            </w:r>
            <w:r w:rsidRPr="00610F90">
              <w:rPr>
                <w:rFonts w:ascii="Helvetica" w:hAnsi="Helvetica"/>
                <w:i/>
                <w:iCs/>
              </w:rPr>
              <w:t xml:space="preserve"> Fossil CO</w:t>
            </w:r>
            <w:r w:rsidRPr="00610F90">
              <w:rPr>
                <w:rFonts w:ascii="Helvetica" w:hAnsi="Helvetica"/>
                <w:i/>
                <w:iCs/>
                <w:vertAlign w:val="subscript"/>
              </w:rPr>
              <w:t>2</w:t>
            </w:r>
            <w:r w:rsidRPr="00610F90">
              <w:rPr>
                <w:rFonts w:ascii="Helvetica" w:hAnsi="Helvetica"/>
                <w:i/>
                <w:iCs/>
              </w:rPr>
              <w:t xml:space="preserve"> emissions (natural log) per country from 2000 to 2019 for BRIICS.</w:t>
            </w:r>
            <w:r w:rsidR="00E16ED8" w:rsidRPr="00610F90">
              <w:rPr>
                <w:rFonts w:ascii="Helvetica" w:hAnsi="Helvetica"/>
                <w:i/>
                <w:iCs/>
              </w:rPr>
              <w:t xml:space="preserve"> Vertical axis rescaled by country to visualize trends in fossil CO</w:t>
            </w:r>
            <w:r w:rsidR="00E16ED8" w:rsidRPr="002C5A76">
              <w:rPr>
                <w:rFonts w:ascii="Helvetica" w:hAnsi="Helvetica"/>
                <w:i/>
                <w:iCs/>
                <w:vertAlign w:val="subscript"/>
              </w:rPr>
              <w:t>2</w:t>
            </w:r>
            <w:r w:rsidR="00E16ED8" w:rsidRPr="00610F90">
              <w:rPr>
                <w:rFonts w:ascii="Helvetica" w:hAnsi="Helvetica"/>
                <w:i/>
                <w:iCs/>
              </w:rPr>
              <w:t xml:space="preserve"> emissions.</w:t>
            </w:r>
          </w:p>
        </w:tc>
      </w:tr>
      <w:tr w:rsidR="00B224D8" w:rsidRPr="00B9466F" w14:paraId="07105AB1" w14:textId="77777777" w:rsidTr="005308AA">
        <w:trPr>
          <w:jc w:val="center"/>
        </w:trPr>
        <w:tc>
          <w:tcPr>
            <w:tcW w:w="13948" w:type="dxa"/>
          </w:tcPr>
          <w:p w14:paraId="7C814A67" w14:textId="456B50AF" w:rsidR="00B224D8" w:rsidRPr="00671398" w:rsidRDefault="00AD0CD7" w:rsidP="005308AA">
            <w:pPr>
              <w:jc w:val="center"/>
              <w:rPr>
                <w:rFonts w:ascii="Helvetica" w:hAnsi="Helvetica"/>
              </w:rPr>
            </w:pPr>
            <w:r>
              <w:rPr>
                <w:rFonts w:ascii="Helvetica" w:hAnsi="Helvetica"/>
                <w:noProof/>
              </w:rPr>
              <w:drawing>
                <wp:inline distT="0" distB="0" distL="0" distR="0" wp14:anchorId="7DE2A8A4" wp14:editId="245EAE94">
                  <wp:extent cx="7804298" cy="4680562"/>
                  <wp:effectExtent l="0" t="0" r="6350" b="6350"/>
                  <wp:docPr id="16809427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808282" cy="4682951"/>
                          </a:xfrm>
                          <a:prstGeom prst="rect">
                            <a:avLst/>
                          </a:prstGeom>
                          <a:noFill/>
                          <a:ln>
                            <a:noFill/>
                          </a:ln>
                        </pic:spPr>
                      </pic:pic>
                    </a:graphicData>
                  </a:graphic>
                </wp:inline>
              </w:drawing>
            </w:r>
          </w:p>
        </w:tc>
      </w:tr>
    </w:tbl>
    <w:p w14:paraId="4F1A9181" w14:textId="1672AF09" w:rsidR="00B224D8" w:rsidRPr="005308AA" w:rsidRDefault="00B224D8" w:rsidP="00A04EF0">
      <w:pPr>
        <w:rPr>
          <w:rFonts w:ascii="Helvetica" w:hAnsi="Helvetica"/>
          <w:strike/>
        </w:rPr>
      </w:pPr>
    </w:p>
    <w:p w14:paraId="476D2F23" w14:textId="77777777" w:rsidR="003B0CE4" w:rsidRDefault="003B0CE4">
      <w:pPr>
        <w:rPr>
          <w:rFonts w:ascii="Helvetica" w:hAnsi="Helvetica"/>
          <w:i/>
          <w:iCs/>
          <w:color w:val="000000" w:themeColor="text1"/>
          <w:szCs w:val="18"/>
        </w:rPr>
      </w:pPr>
      <w:r>
        <w:rPr>
          <w:rFonts w:ascii="Helvetica" w:hAnsi="Helvetica"/>
        </w:rPr>
        <w:br w:type="page"/>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E976F4" w14:paraId="19A46D69" w14:textId="77777777" w:rsidTr="00196918">
        <w:trPr>
          <w:jc w:val="center"/>
        </w:trPr>
        <w:tc>
          <w:tcPr>
            <w:tcW w:w="13948" w:type="dxa"/>
          </w:tcPr>
          <w:p w14:paraId="6D66BE6E" w14:textId="49D2B351" w:rsidR="00E976F4" w:rsidRPr="00610F90" w:rsidRDefault="00771E97" w:rsidP="00E976F4">
            <w:pPr>
              <w:rPr>
                <w:rFonts w:ascii="Times New Roman" w:hAnsi="Times New Roman" w:cs="Times New Roman"/>
                <w:i/>
                <w:iCs/>
                <w:sz w:val="24"/>
                <w:szCs w:val="24"/>
                <w:lang w:eastAsia="en-GB"/>
              </w:rPr>
            </w:pPr>
            <w:r w:rsidRPr="001C5961">
              <w:rPr>
                <w:rFonts w:ascii="Helvetica" w:hAnsi="Helvetica"/>
                <w:i/>
                <w:iCs/>
              </w:rPr>
              <w:lastRenderedPageBreak/>
              <w:t>Figure S2</w:t>
            </w:r>
            <w:r w:rsidR="00011F76" w:rsidRPr="001C5961">
              <w:rPr>
                <w:rFonts w:ascii="Helvetica" w:hAnsi="Helvetica"/>
                <w:i/>
                <w:iCs/>
              </w:rPr>
              <w:t>A</w:t>
            </w:r>
            <w:r w:rsidR="00E976F4" w:rsidRPr="00610F90">
              <w:rPr>
                <w:rFonts w:ascii="Helvetica" w:hAnsi="Helvetica"/>
                <w:i/>
                <w:iCs/>
              </w:rPr>
              <w:t>. Fossil CO</w:t>
            </w:r>
            <w:r w:rsidR="00E976F4" w:rsidRPr="00610F90">
              <w:rPr>
                <w:rFonts w:ascii="Helvetica" w:hAnsi="Helvetica"/>
                <w:i/>
                <w:iCs/>
                <w:vertAlign w:val="subscript"/>
              </w:rPr>
              <w:t>2</w:t>
            </w:r>
            <w:r w:rsidR="00E976F4" w:rsidRPr="00610F90">
              <w:rPr>
                <w:rFonts w:ascii="Helvetica" w:hAnsi="Helvetica"/>
                <w:i/>
                <w:iCs/>
              </w:rPr>
              <w:t xml:space="preserve"> emissions intensity (CO</w:t>
            </w:r>
            <w:r w:rsidR="00E976F4" w:rsidRPr="00610F90">
              <w:rPr>
                <w:rFonts w:ascii="Helvetica" w:hAnsi="Helvetica"/>
                <w:i/>
                <w:iCs/>
                <w:vertAlign w:val="subscript"/>
              </w:rPr>
              <w:t>2</w:t>
            </w:r>
            <w:r w:rsidR="00E976F4" w:rsidRPr="00610F90">
              <w:rPr>
                <w:rFonts w:ascii="Helvetica" w:hAnsi="Helvetica"/>
                <w:i/>
                <w:iCs/>
              </w:rPr>
              <w:t>/GDP) per country from 2000 to 2019</w:t>
            </w:r>
            <w:r w:rsidR="00C90D26" w:rsidRPr="00610F90">
              <w:rPr>
                <w:rFonts w:ascii="Helvetica" w:hAnsi="Helvetica"/>
                <w:i/>
                <w:iCs/>
              </w:rPr>
              <w:t xml:space="preserve"> for</w:t>
            </w:r>
            <w:r w:rsidR="00E976F4" w:rsidRPr="00610F90">
              <w:rPr>
                <w:rFonts w:ascii="Helvetica" w:hAnsi="Helvetica"/>
                <w:i/>
                <w:iCs/>
              </w:rPr>
              <w:t xml:space="preserve"> </w:t>
            </w:r>
            <w:r w:rsidR="00100EFD" w:rsidRPr="00610F90">
              <w:rPr>
                <w:rFonts w:ascii="Helvetica" w:hAnsi="Helvetica"/>
                <w:i/>
                <w:iCs/>
              </w:rPr>
              <w:t>OECD</w:t>
            </w:r>
            <w:r w:rsidR="00C90D26" w:rsidRPr="00610F90">
              <w:rPr>
                <w:rFonts w:ascii="Helvetica" w:hAnsi="Helvetica"/>
                <w:i/>
                <w:iCs/>
              </w:rPr>
              <w:t xml:space="preserve"> countries</w:t>
            </w:r>
            <w:r w:rsidR="00773C93">
              <w:rPr>
                <w:rFonts w:ascii="Helvetica" w:hAnsi="Helvetica"/>
                <w:i/>
                <w:iCs/>
              </w:rPr>
              <w:t xml:space="preserve"> in the EU</w:t>
            </w:r>
            <w:r w:rsidR="00C90D26" w:rsidRPr="00610F90">
              <w:rPr>
                <w:rFonts w:ascii="Helvetica" w:hAnsi="Helvetica"/>
                <w:i/>
                <w:iCs/>
              </w:rPr>
              <w:t>.</w:t>
            </w:r>
            <w:r w:rsidR="00AF40E0" w:rsidRPr="00610F90">
              <w:rPr>
                <w:rFonts w:ascii="Helvetica" w:hAnsi="Helvetica"/>
                <w:i/>
                <w:iCs/>
              </w:rPr>
              <w:t xml:space="preserve"> Vertical axis rescaled by country group </w:t>
            </w:r>
            <w:r w:rsidR="007D2A39" w:rsidRPr="00610F90">
              <w:rPr>
                <w:rFonts w:ascii="Helvetica" w:hAnsi="Helvetica"/>
                <w:i/>
                <w:iCs/>
              </w:rPr>
              <w:t>min max range</w:t>
            </w:r>
            <w:r w:rsidR="0093450D" w:rsidRPr="00610F90">
              <w:rPr>
                <w:rFonts w:ascii="Helvetica" w:hAnsi="Helvetica"/>
                <w:i/>
                <w:iCs/>
              </w:rPr>
              <w:t xml:space="preserve"> to visualize </w:t>
            </w:r>
            <w:r w:rsidR="00D93066" w:rsidRPr="00610F90">
              <w:rPr>
                <w:rFonts w:ascii="Helvetica" w:hAnsi="Helvetica"/>
                <w:i/>
                <w:iCs/>
              </w:rPr>
              <w:t>country differences in</w:t>
            </w:r>
            <w:r w:rsidR="009E4C73" w:rsidRPr="00610F90">
              <w:rPr>
                <w:rFonts w:ascii="Helvetica" w:hAnsi="Helvetica"/>
                <w:i/>
                <w:iCs/>
              </w:rPr>
              <w:t xml:space="preserve"> the</w:t>
            </w:r>
            <w:r w:rsidR="00D93066" w:rsidRPr="00610F90">
              <w:rPr>
                <w:rFonts w:ascii="Helvetica" w:hAnsi="Helvetica"/>
                <w:i/>
                <w:iCs/>
              </w:rPr>
              <w:t xml:space="preserve"> level</w:t>
            </w:r>
            <w:r w:rsidR="00FC5839" w:rsidRPr="00610F90">
              <w:rPr>
                <w:rFonts w:ascii="Helvetica" w:hAnsi="Helvetica"/>
                <w:i/>
                <w:iCs/>
              </w:rPr>
              <w:t xml:space="preserve"> and </w:t>
            </w:r>
            <w:r w:rsidR="009E4C73" w:rsidRPr="00610F90">
              <w:rPr>
                <w:rFonts w:ascii="Helvetica" w:hAnsi="Helvetica"/>
                <w:i/>
                <w:iCs/>
              </w:rPr>
              <w:t>speed</w:t>
            </w:r>
            <w:r w:rsidR="00FC5839" w:rsidRPr="00610F90">
              <w:rPr>
                <w:rFonts w:ascii="Helvetica" w:hAnsi="Helvetica"/>
                <w:i/>
                <w:iCs/>
              </w:rPr>
              <w:t xml:space="preserve"> of reduction</w:t>
            </w:r>
            <w:r w:rsidR="00E73AEA" w:rsidRPr="00610F90">
              <w:rPr>
                <w:rFonts w:ascii="Helvetica" w:hAnsi="Helvetica"/>
                <w:i/>
                <w:iCs/>
              </w:rPr>
              <w:t xml:space="preserve"> of emissions intensity</w:t>
            </w:r>
            <w:r w:rsidR="00FC5839" w:rsidRPr="00610F90">
              <w:rPr>
                <w:rFonts w:ascii="Helvetica" w:hAnsi="Helvetica"/>
                <w:i/>
                <w:iCs/>
              </w:rPr>
              <w:t xml:space="preserve">. </w:t>
            </w:r>
          </w:p>
        </w:tc>
      </w:tr>
      <w:tr w:rsidR="00E976F4" w14:paraId="0942EDE2" w14:textId="77777777" w:rsidTr="00196918">
        <w:trPr>
          <w:jc w:val="center"/>
        </w:trPr>
        <w:tc>
          <w:tcPr>
            <w:tcW w:w="13948" w:type="dxa"/>
          </w:tcPr>
          <w:p w14:paraId="1CC892DF" w14:textId="77777777" w:rsidR="00E976F4" w:rsidRDefault="00E976F4">
            <w:pPr>
              <w:jc w:val="center"/>
            </w:pPr>
          </w:p>
          <w:p w14:paraId="54061AE7" w14:textId="71495B0D" w:rsidR="00E12250" w:rsidRDefault="00E12250" w:rsidP="00196918">
            <w:pPr>
              <w:jc w:val="center"/>
            </w:pPr>
            <w:r>
              <w:rPr>
                <w:noProof/>
              </w:rPr>
              <w:drawing>
                <wp:inline distT="0" distB="0" distL="0" distR="0" wp14:anchorId="5C2C175D" wp14:editId="5DF09322">
                  <wp:extent cx="8091170" cy="4859020"/>
                  <wp:effectExtent l="0" t="0" r="5080" b="0"/>
                  <wp:docPr id="1859239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5F18F40B" w14:textId="77777777" w:rsidR="003B0CE4" w:rsidRDefault="003B0CE4">
      <w:r>
        <w:br w:type="page"/>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E976F4" w14:paraId="5D230FC4" w14:textId="77777777" w:rsidTr="006F5CDC">
        <w:trPr>
          <w:jc w:val="center"/>
        </w:trPr>
        <w:tc>
          <w:tcPr>
            <w:tcW w:w="13948" w:type="dxa"/>
          </w:tcPr>
          <w:p w14:paraId="5FE13109" w14:textId="33360265" w:rsidR="00E976F4" w:rsidRPr="006F5CDC" w:rsidRDefault="00771E97" w:rsidP="006F5CDC">
            <w:pPr>
              <w:pStyle w:val="Beschriftung"/>
              <w:spacing w:after="0"/>
              <w:rPr>
                <w:rFonts w:ascii="Helvetica" w:hAnsi="Helvetica"/>
              </w:rPr>
            </w:pPr>
            <w:r w:rsidRPr="000179E0">
              <w:rPr>
                <w:rFonts w:ascii="Helvetica" w:hAnsi="Helvetica"/>
              </w:rPr>
              <w:lastRenderedPageBreak/>
              <w:t>Figure S2</w:t>
            </w:r>
            <w:r w:rsidR="000179E0">
              <w:rPr>
                <w:rFonts w:ascii="Helvetica" w:hAnsi="Helvetica"/>
              </w:rPr>
              <w:t>B</w:t>
            </w:r>
            <w:r w:rsidR="007D6003">
              <w:rPr>
                <w:rFonts w:ascii="Helvetica" w:hAnsi="Helvetica"/>
              </w:rPr>
              <w:t>.</w:t>
            </w:r>
            <w:r w:rsidR="00E976F4" w:rsidRPr="00A04EF0">
              <w:rPr>
                <w:rFonts w:ascii="Helvetica" w:hAnsi="Helvetica"/>
              </w:rPr>
              <w:t xml:space="preserve"> </w:t>
            </w:r>
            <w:r w:rsidR="00E976F4">
              <w:rPr>
                <w:rFonts w:ascii="Helvetica" w:hAnsi="Helvetica"/>
              </w:rPr>
              <w:t xml:space="preserve">Fossil </w:t>
            </w:r>
            <w:r w:rsidR="00E976F4" w:rsidRPr="00A04EF0">
              <w:rPr>
                <w:rFonts w:ascii="Helvetica" w:hAnsi="Helvetica"/>
              </w:rPr>
              <w:t>CO</w:t>
            </w:r>
            <w:r w:rsidR="00E976F4" w:rsidRPr="00A04EF0">
              <w:rPr>
                <w:rFonts w:ascii="Helvetica" w:hAnsi="Helvetica"/>
                <w:vertAlign w:val="subscript"/>
              </w:rPr>
              <w:t>2</w:t>
            </w:r>
            <w:r w:rsidR="00E976F4" w:rsidRPr="00A04EF0">
              <w:rPr>
                <w:rFonts w:ascii="Helvetica" w:hAnsi="Helvetica"/>
              </w:rPr>
              <w:t xml:space="preserve"> emissions intensity (CO</w:t>
            </w:r>
            <w:r w:rsidR="00E976F4" w:rsidRPr="00A04EF0">
              <w:rPr>
                <w:rFonts w:ascii="Helvetica" w:hAnsi="Helvetica"/>
                <w:vertAlign w:val="subscript"/>
              </w:rPr>
              <w:t>2</w:t>
            </w:r>
            <w:r w:rsidR="00E976F4" w:rsidRPr="00A04EF0">
              <w:rPr>
                <w:rFonts w:ascii="Helvetica" w:hAnsi="Helvetica"/>
              </w:rPr>
              <w:t>/GDP) per country from 2000 to 2019</w:t>
            </w:r>
            <w:r w:rsidR="00C90D26">
              <w:rPr>
                <w:rFonts w:ascii="Helvetica" w:hAnsi="Helvetica"/>
              </w:rPr>
              <w:t xml:space="preserve"> for</w:t>
            </w:r>
            <w:r w:rsidR="00E976F4" w:rsidRPr="00A04EF0">
              <w:rPr>
                <w:rFonts w:ascii="Helvetica" w:hAnsi="Helvetica"/>
              </w:rPr>
              <w:t xml:space="preserve"> non-EU OECD</w:t>
            </w:r>
            <w:r w:rsidR="00C90D26">
              <w:rPr>
                <w:rFonts w:ascii="Helvetica" w:hAnsi="Helvetica"/>
              </w:rPr>
              <w:t xml:space="preserve"> countries.</w:t>
            </w:r>
            <w:r w:rsidR="00594075">
              <w:rPr>
                <w:rFonts w:ascii="Helvetica" w:hAnsi="Helvetica"/>
              </w:rPr>
              <w:t xml:space="preserve"> Vertical axis rescaled by country group min max range to visualize country differences in the level and speed of reduction of emissions intensity.</w:t>
            </w:r>
          </w:p>
        </w:tc>
      </w:tr>
      <w:tr w:rsidR="00E976F4" w14:paraId="75C4C201" w14:textId="77777777" w:rsidTr="006F5CDC">
        <w:trPr>
          <w:jc w:val="center"/>
        </w:trPr>
        <w:tc>
          <w:tcPr>
            <w:tcW w:w="13948" w:type="dxa"/>
          </w:tcPr>
          <w:p w14:paraId="2520C8D1" w14:textId="0175329C" w:rsidR="00E976F4" w:rsidRDefault="00E12250" w:rsidP="006F5CDC">
            <w:pPr>
              <w:jc w:val="center"/>
            </w:pPr>
            <w:r>
              <w:rPr>
                <w:noProof/>
              </w:rPr>
              <w:drawing>
                <wp:inline distT="0" distB="0" distL="0" distR="0" wp14:anchorId="0D98FF1A" wp14:editId="091B9023">
                  <wp:extent cx="8091170" cy="4859020"/>
                  <wp:effectExtent l="0" t="0" r="5080" b="0"/>
                  <wp:docPr id="5951039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15C2BF5E" w14:textId="0CBC4804" w:rsidR="00C90D26" w:rsidRDefault="00C90D26" w:rsidP="00B224D8">
      <w:r>
        <w:br w:type="page"/>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E976F4" w14:paraId="1A72CE99" w14:textId="77777777" w:rsidTr="00EE100D">
        <w:trPr>
          <w:jc w:val="center"/>
        </w:trPr>
        <w:tc>
          <w:tcPr>
            <w:tcW w:w="13948" w:type="dxa"/>
          </w:tcPr>
          <w:p w14:paraId="33929BE1" w14:textId="3A06999C" w:rsidR="00E976F4" w:rsidRPr="00610F90" w:rsidRDefault="00771E97" w:rsidP="00B224D8">
            <w:pPr>
              <w:rPr>
                <w:i/>
                <w:iCs/>
              </w:rPr>
            </w:pPr>
            <w:r w:rsidRPr="00384692">
              <w:rPr>
                <w:rFonts w:ascii="Helvetica" w:hAnsi="Helvetica"/>
                <w:i/>
                <w:iCs/>
              </w:rPr>
              <w:lastRenderedPageBreak/>
              <w:t>Figure S2</w:t>
            </w:r>
            <w:r w:rsidR="00384692" w:rsidRPr="00384692">
              <w:rPr>
                <w:rFonts w:ascii="Helvetica" w:hAnsi="Helvetica"/>
                <w:i/>
                <w:iCs/>
              </w:rPr>
              <w:t>C</w:t>
            </w:r>
            <w:r w:rsidR="00E976F4" w:rsidRPr="00610F90">
              <w:rPr>
                <w:rFonts w:ascii="Helvetica" w:hAnsi="Helvetica"/>
                <w:i/>
                <w:iCs/>
              </w:rPr>
              <w:t>. Fossil CO</w:t>
            </w:r>
            <w:r w:rsidR="00E976F4" w:rsidRPr="00610F90">
              <w:rPr>
                <w:rFonts w:ascii="Helvetica" w:hAnsi="Helvetica"/>
                <w:i/>
                <w:iCs/>
                <w:vertAlign w:val="subscript"/>
              </w:rPr>
              <w:t>2</w:t>
            </w:r>
            <w:r w:rsidR="00E976F4" w:rsidRPr="00610F90">
              <w:rPr>
                <w:rFonts w:ascii="Helvetica" w:hAnsi="Helvetica"/>
                <w:i/>
                <w:iCs/>
              </w:rPr>
              <w:t xml:space="preserve"> emissions intensity (CO</w:t>
            </w:r>
            <w:r w:rsidR="00E976F4" w:rsidRPr="00610F90">
              <w:rPr>
                <w:rFonts w:ascii="Helvetica" w:hAnsi="Helvetica"/>
                <w:i/>
                <w:iCs/>
                <w:vertAlign w:val="subscript"/>
              </w:rPr>
              <w:t>2</w:t>
            </w:r>
            <w:r w:rsidR="00E976F4" w:rsidRPr="00610F90">
              <w:rPr>
                <w:rFonts w:ascii="Helvetica" w:hAnsi="Helvetica"/>
                <w:i/>
                <w:iCs/>
              </w:rPr>
              <w:t xml:space="preserve">/GDP) per country from 2000 to 2019 </w:t>
            </w:r>
            <w:r w:rsidR="00C90D26" w:rsidRPr="00610F90">
              <w:rPr>
                <w:rFonts w:ascii="Helvetica" w:hAnsi="Helvetica"/>
                <w:i/>
                <w:iCs/>
              </w:rPr>
              <w:t>for</w:t>
            </w:r>
            <w:r w:rsidR="00E976F4" w:rsidRPr="00610F90">
              <w:rPr>
                <w:rFonts w:ascii="Helvetica" w:hAnsi="Helvetica"/>
                <w:i/>
                <w:iCs/>
              </w:rPr>
              <w:t xml:space="preserve"> BRIICS.</w:t>
            </w:r>
            <w:r w:rsidR="00EE100D" w:rsidRPr="00610F90">
              <w:rPr>
                <w:rFonts w:ascii="Helvetica" w:hAnsi="Helvetica"/>
                <w:i/>
                <w:iCs/>
              </w:rPr>
              <w:t xml:space="preserve"> Vertical axis rescaled by country group min max range to visualize country differences in the level and speed of reduction of emissions intensity.</w:t>
            </w:r>
          </w:p>
        </w:tc>
      </w:tr>
      <w:tr w:rsidR="00E976F4" w14:paraId="7A3CDF51" w14:textId="77777777" w:rsidTr="00EE100D">
        <w:trPr>
          <w:jc w:val="center"/>
        </w:trPr>
        <w:tc>
          <w:tcPr>
            <w:tcW w:w="13948" w:type="dxa"/>
          </w:tcPr>
          <w:p w14:paraId="416C7E7A" w14:textId="7D5CA3D5" w:rsidR="00E976F4" w:rsidRDefault="00E12250" w:rsidP="00EE100D">
            <w:pPr>
              <w:jc w:val="center"/>
            </w:pPr>
            <w:r>
              <w:rPr>
                <w:rFonts w:ascii="Helvetica" w:hAnsi="Helvetica"/>
                <w:noProof/>
              </w:rPr>
              <w:drawing>
                <wp:inline distT="0" distB="0" distL="0" distR="0" wp14:anchorId="66060BF3" wp14:editId="110566EF">
                  <wp:extent cx="8091170" cy="4859020"/>
                  <wp:effectExtent l="0" t="0" r="5080" b="0"/>
                  <wp:docPr id="681946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16BEF359" w14:textId="64D28F2E" w:rsidR="00E12250" w:rsidRPr="00A04EF0" w:rsidRDefault="00E12250" w:rsidP="006F0C20">
      <w:pPr>
        <w:rPr>
          <w:rFonts w:ascii="Helvetica" w:hAnsi="Helvetica"/>
        </w:rPr>
      </w:pPr>
    </w:p>
    <w:p w14:paraId="056AE290" w14:textId="033BDEB9" w:rsidR="00E32C72" w:rsidRPr="00A04EF0" w:rsidRDefault="00E32C72">
      <w:pPr>
        <w:rPr>
          <w:rFonts w:ascii="Helvetica" w:hAnsi="Helvetica"/>
        </w:rPr>
      </w:pPr>
      <w:r w:rsidRPr="00A04EF0">
        <w:rPr>
          <w:rFonts w:ascii="Helvetica" w:hAnsi="Helvetica"/>
        </w:rP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95"/>
      </w:tblGrid>
      <w:tr w:rsidR="00C90D26" w14:paraId="12580B8E" w14:textId="77777777" w:rsidTr="00F2411C">
        <w:trPr>
          <w:trHeight w:val="467"/>
        </w:trPr>
        <w:tc>
          <w:tcPr>
            <w:tcW w:w="13395" w:type="dxa"/>
          </w:tcPr>
          <w:p w14:paraId="6D70902D" w14:textId="2A3FC300" w:rsidR="00C90D26" w:rsidRPr="00C17B4E" w:rsidRDefault="00C90D26" w:rsidP="00C90D26">
            <w:pPr>
              <w:rPr>
                <w:i/>
                <w:iCs/>
              </w:rPr>
            </w:pPr>
            <w:bookmarkStart w:id="8" w:name="_Ref163574473"/>
            <w:r w:rsidRPr="00ED4153">
              <w:rPr>
                <w:i/>
                <w:iCs/>
              </w:rPr>
              <w:lastRenderedPageBreak/>
              <w:t>Figure S3</w:t>
            </w:r>
            <w:bookmarkEnd w:id="8"/>
            <w:r w:rsidR="00ED4153">
              <w:rPr>
                <w:i/>
                <w:iCs/>
              </w:rPr>
              <w:t>A</w:t>
            </w:r>
            <w:r w:rsidRPr="00ED4153">
              <w:rPr>
                <w:i/>
                <w:iCs/>
              </w:rPr>
              <w:t>.</w:t>
            </w:r>
            <w:r w:rsidRPr="00C17B4E">
              <w:rPr>
                <w:i/>
                <w:iCs/>
              </w:rPr>
              <w:t xml:space="preserve"> </w:t>
            </w:r>
            <w:r w:rsidRPr="00C17B4E">
              <w:rPr>
                <w:rFonts w:ascii="Helvetica" w:hAnsi="Helvetica"/>
                <w:i/>
                <w:iCs/>
              </w:rPr>
              <w:t>Cumulative number of climate policies per country adopted from 2000 to 2019 for</w:t>
            </w:r>
            <w:r w:rsidR="00F2411C" w:rsidRPr="00C17B4E">
              <w:rPr>
                <w:rFonts w:ascii="Helvetica" w:hAnsi="Helvetica"/>
                <w:i/>
                <w:iCs/>
              </w:rPr>
              <w:t xml:space="preserve"> OECD</w:t>
            </w:r>
            <w:r w:rsidRPr="00C17B4E">
              <w:rPr>
                <w:rFonts w:ascii="Helvetica" w:hAnsi="Helvetica"/>
                <w:i/>
                <w:iCs/>
              </w:rPr>
              <w:t xml:space="preserve"> countries</w:t>
            </w:r>
            <w:r w:rsidR="0072034F" w:rsidRPr="00C17B4E">
              <w:rPr>
                <w:rFonts w:ascii="Helvetica" w:hAnsi="Helvetica"/>
                <w:i/>
                <w:iCs/>
              </w:rPr>
              <w:t xml:space="preserve"> in the EU</w:t>
            </w:r>
            <w:r w:rsidRPr="00C17B4E">
              <w:rPr>
                <w:rFonts w:ascii="Helvetica" w:hAnsi="Helvetica"/>
                <w:i/>
                <w:iCs/>
              </w:rPr>
              <w:t>.</w:t>
            </w:r>
            <w:r w:rsidR="0072034F" w:rsidRPr="00C17B4E">
              <w:rPr>
                <w:rFonts w:ascii="Helvetica" w:hAnsi="Helvetica"/>
                <w:i/>
                <w:iCs/>
              </w:rPr>
              <w:t xml:space="preserve"> Vertical axis rescaled by country group min max range to visualize country differences in the level and speed </w:t>
            </w:r>
            <w:r w:rsidR="00C17B4E">
              <w:rPr>
                <w:rFonts w:ascii="Helvetica" w:hAnsi="Helvetica"/>
                <w:i/>
                <w:iCs/>
              </w:rPr>
              <w:t xml:space="preserve">of expansion </w:t>
            </w:r>
            <w:r w:rsidR="0072034F" w:rsidRPr="00C17B4E">
              <w:rPr>
                <w:rFonts w:ascii="Helvetica" w:hAnsi="Helvetica"/>
                <w:i/>
                <w:iCs/>
              </w:rPr>
              <w:t xml:space="preserve">of </w:t>
            </w:r>
            <w:r w:rsidR="00C17B4E">
              <w:rPr>
                <w:rFonts w:ascii="Helvetica" w:hAnsi="Helvetica"/>
                <w:i/>
                <w:iCs/>
              </w:rPr>
              <w:t>climate policies</w:t>
            </w:r>
            <w:r w:rsidR="0072034F" w:rsidRPr="00C17B4E">
              <w:rPr>
                <w:rFonts w:ascii="Helvetica" w:hAnsi="Helvetica"/>
                <w:i/>
                <w:iCs/>
              </w:rPr>
              <w:t>.</w:t>
            </w:r>
          </w:p>
        </w:tc>
      </w:tr>
      <w:tr w:rsidR="00C90D26" w14:paraId="20EB66D4" w14:textId="77777777" w:rsidTr="00F2411C">
        <w:trPr>
          <w:trHeight w:val="7233"/>
        </w:trPr>
        <w:tc>
          <w:tcPr>
            <w:tcW w:w="13395" w:type="dxa"/>
          </w:tcPr>
          <w:p w14:paraId="56C00E24" w14:textId="7252B2A4" w:rsidR="00C90D26" w:rsidRDefault="00E12250" w:rsidP="00C90D26">
            <w:r>
              <w:rPr>
                <w:noProof/>
              </w:rPr>
              <w:drawing>
                <wp:inline distT="0" distB="0" distL="0" distR="0" wp14:anchorId="4E8ED6D5" wp14:editId="24A1E81F">
                  <wp:extent cx="8091170" cy="4859020"/>
                  <wp:effectExtent l="0" t="0" r="5080" b="0"/>
                  <wp:docPr id="14531210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7C8E5D49" w14:textId="77777777" w:rsidR="00E12250" w:rsidRDefault="00E12250">
      <w: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C90D26" w14:paraId="0ECC08E2" w14:textId="77777777" w:rsidTr="00C17B4E">
        <w:tc>
          <w:tcPr>
            <w:tcW w:w="13948" w:type="dxa"/>
          </w:tcPr>
          <w:p w14:paraId="2379B2C6" w14:textId="6B289BDB" w:rsidR="00C90D26" w:rsidRPr="004D5B92" w:rsidRDefault="00C90D26" w:rsidP="00C90D26">
            <w:pPr>
              <w:rPr>
                <w:i/>
                <w:iCs/>
              </w:rPr>
            </w:pPr>
            <w:r w:rsidRPr="00D67BEF">
              <w:rPr>
                <w:i/>
                <w:iCs/>
              </w:rPr>
              <w:lastRenderedPageBreak/>
              <w:t>Figure S3</w:t>
            </w:r>
            <w:r w:rsidR="00D67BEF">
              <w:rPr>
                <w:i/>
                <w:iCs/>
              </w:rPr>
              <w:t>B</w:t>
            </w:r>
            <w:r w:rsidRPr="00D67BEF">
              <w:rPr>
                <w:i/>
                <w:iCs/>
              </w:rPr>
              <w:t>.</w:t>
            </w:r>
            <w:r w:rsidRPr="004D5B92">
              <w:rPr>
                <w:i/>
                <w:iCs/>
              </w:rPr>
              <w:t xml:space="preserve"> </w:t>
            </w:r>
            <w:r w:rsidRPr="004D5B92">
              <w:rPr>
                <w:rFonts w:ascii="Helvetica" w:hAnsi="Helvetica"/>
                <w:i/>
                <w:iCs/>
              </w:rPr>
              <w:t>Cumulative number of climate policies per country adopted from 2000 to 2019</w:t>
            </w:r>
            <w:r w:rsidR="003B0CE4" w:rsidRPr="004D5B92">
              <w:rPr>
                <w:rFonts w:ascii="Helvetica" w:hAnsi="Helvetica"/>
                <w:i/>
                <w:iCs/>
              </w:rPr>
              <w:t xml:space="preserve"> for</w:t>
            </w:r>
            <w:r w:rsidRPr="004D5B92">
              <w:rPr>
                <w:rFonts w:ascii="Helvetica" w:hAnsi="Helvetica"/>
                <w:i/>
                <w:iCs/>
              </w:rPr>
              <w:t xml:space="preserve"> non-EU OECD.</w:t>
            </w:r>
            <w:r w:rsidR="004D5B92">
              <w:rPr>
                <w:rFonts w:ascii="Helvetica" w:hAnsi="Helvetica"/>
                <w:i/>
                <w:iCs/>
              </w:rPr>
              <w:t xml:space="preserve"> </w:t>
            </w:r>
            <w:r w:rsidR="004D5B92" w:rsidRPr="00C17B4E">
              <w:rPr>
                <w:rFonts w:ascii="Helvetica" w:hAnsi="Helvetica"/>
                <w:i/>
                <w:iCs/>
              </w:rPr>
              <w:t xml:space="preserve">Vertical axis rescaled by country group min max range to visualize country differences in the level and speed </w:t>
            </w:r>
            <w:r w:rsidR="004D5B92">
              <w:rPr>
                <w:rFonts w:ascii="Helvetica" w:hAnsi="Helvetica"/>
                <w:i/>
                <w:iCs/>
              </w:rPr>
              <w:t xml:space="preserve">of expansion </w:t>
            </w:r>
            <w:r w:rsidR="004D5B92" w:rsidRPr="00C17B4E">
              <w:rPr>
                <w:rFonts w:ascii="Helvetica" w:hAnsi="Helvetica"/>
                <w:i/>
                <w:iCs/>
              </w:rPr>
              <w:t xml:space="preserve">of </w:t>
            </w:r>
            <w:r w:rsidR="004D5B92">
              <w:rPr>
                <w:rFonts w:ascii="Helvetica" w:hAnsi="Helvetica"/>
                <w:i/>
                <w:iCs/>
              </w:rPr>
              <w:t>climate policies</w:t>
            </w:r>
            <w:r w:rsidR="004D5B92" w:rsidRPr="00C17B4E">
              <w:rPr>
                <w:rFonts w:ascii="Helvetica" w:hAnsi="Helvetica"/>
                <w:i/>
                <w:iCs/>
              </w:rPr>
              <w:t>.</w:t>
            </w:r>
          </w:p>
        </w:tc>
      </w:tr>
      <w:tr w:rsidR="00C90D26" w14:paraId="1FA4D24C" w14:textId="77777777" w:rsidTr="00C17B4E">
        <w:tc>
          <w:tcPr>
            <w:tcW w:w="13948" w:type="dxa"/>
          </w:tcPr>
          <w:p w14:paraId="447D8D5C" w14:textId="7D1AA2CC" w:rsidR="00C90D26" w:rsidRDefault="00E12250" w:rsidP="00C90D26">
            <w:r>
              <w:rPr>
                <w:noProof/>
              </w:rPr>
              <w:drawing>
                <wp:inline distT="0" distB="0" distL="0" distR="0" wp14:anchorId="0A4D777D" wp14:editId="0225BEF0">
                  <wp:extent cx="8091170" cy="4859020"/>
                  <wp:effectExtent l="0" t="0" r="5080" b="0"/>
                  <wp:docPr id="5506406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5E395822" w14:textId="77777777" w:rsidR="00C90D26" w:rsidRDefault="00C90D26">
      <w:r>
        <w:br w:type="page"/>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8"/>
      </w:tblGrid>
      <w:tr w:rsidR="00C90D26" w14:paraId="7C73D97F" w14:textId="77777777" w:rsidTr="00E901A6">
        <w:tc>
          <w:tcPr>
            <w:tcW w:w="13948" w:type="dxa"/>
          </w:tcPr>
          <w:p w14:paraId="16F62847" w14:textId="0FF01DFE" w:rsidR="00C90D26" w:rsidRPr="00E901A6" w:rsidRDefault="00C90D26" w:rsidP="00C90D26">
            <w:pPr>
              <w:rPr>
                <w:i/>
                <w:iCs/>
              </w:rPr>
            </w:pPr>
            <w:r w:rsidRPr="00CE068B">
              <w:rPr>
                <w:i/>
                <w:iCs/>
              </w:rPr>
              <w:lastRenderedPageBreak/>
              <w:t>Figure S3</w:t>
            </w:r>
            <w:r w:rsidR="00CE068B" w:rsidRPr="00CE068B">
              <w:rPr>
                <w:i/>
                <w:iCs/>
              </w:rPr>
              <w:t>C</w:t>
            </w:r>
            <w:r w:rsidRPr="00E901A6">
              <w:rPr>
                <w:i/>
                <w:iCs/>
              </w:rPr>
              <w:t xml:space="preserve">. </w:t>
            </w:r>
            <w:r w:rsidRPr="00E901A6">
              <w:rPr>
                <w:rFonts w:ascii="Helvetica" w:hAnsi="Helvetica"/>
                <w:i/>
                <w:iCs/>
              </w:rPr>
              <w:t>Cumulative number of climate policies per country adopted from 2000 to 2019 for BRIICS.</w:t>
            </w:r>
            <w:r w:rsidR="00E901A6">
              <w:rPr>
                <w:rFonts w:ascii="Helvetica" w:hAnsi="Helvetica"/>
                <w:i/>
                <w:iCs/>
              </w:rPr>
              <w:t xml:space="preserve"> </w:t>
            </w:r>
            <w:r w:rsidR="00E901A6" w:rsidRPr="00C17B4E">
              <w:rPr>
                <w:rFonts w:ascii="Helvetica" w:hAnsi="Helvetica"/>
                <w:i/>
                <w:iCs/>
              </w:rPr>
              <w:t xml:space="preserve">Vertical axis rescaled by country group min max range to visualize country differences in the level and speed </w:t>
            </w:r>
            <w:r w:rsidR="00E901A6">
              <w:rPr>
                <w:rFonts w:ascii="Helvetica" w:hAnsi="Helvetica"/>
                <w:i/>
                <w:iCs/>
              </w:rPr>
              <w:t xml:space="preserve">of expansion </w:t>
            </w:r>
            <w:r w:rsidR="00E901A6" w:rsidRPr="00C17B4E">
              <w:rPr>
                <w:rFonts w:ascii="Helvetica" w:hAnsi="Helvetica"/>
                <w:i/>
                <w:iCs/>
              </w:rPr>
              <w:t xml:space="preserve">of </w:t>
            </w:r>
            <w:r w:rsidR="00E901A6">
              <w:rPr>
                <w:rFonts w:ascii="Helvetica" w:hAnsi="Helvetica"/>
                <w:i/>
                <w:iCs/>
              </w:rPr>
              <w:t>climate policies</w:t>
            </w:r>
            <w:r w:rsidR="00E901A6" w:rsidRPr="00C17B4E">
              <w:rPr>
                <w:rFonts w:ascii="Helvetica" w:hAnsi="Helvetica"/>
                <w:i/>
                <w:iCs/>
              </w:rPr>
              <w:t>.</w:t>
            </w:r>
          </w:p>
        </w:tc>
      </w:tr>
      <w:tr w:rsidR="00C90D26" w14:paraId="5AF1F18B" w14:textId="77777777" w:rsidTr="00E901A6">
        <w:tc>
          <w:tcPr>
            <w:tcW w:w="13948" w:type="dxa"/>
          </w:tcPr>
          <w:p w14:paraId="036BD5B3" w14:textId="695D4742" w:rsidR="00C90D26" w:rsidRDefault="00E12250" w:rsidP="00C90D26">
            <w:r>
              <w:rPr>
                <w:noProof/>
              </w:rPr>
              <w:drawing>
                <wp:inline distT="0" distB="0" distL="0" distR="0" wp14:anchorId="158F5BCB" wp14:editId="06544164">
                  <wp:extent cx="8091170" cy="4859020"/>
                  <wp:effectExtent l="0" t="0" r="5080" b="0"/>
                  <wp:docPr id="18494223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91170" cy="4859020"/>
                          </a:xfrm>
                          <a:prstGeom prst="rect">
                            <a:avLst/>
                          </a:prstGeom>
                          <a:noFill/>
                          <a:ln>
                            <a:noFill/>
                          </a:ln>
                        </pic:spPr>
                      </pic:pic>
                    </a:graphicData>
                  </a:graphic>
                </wp:inline>
              </w:drawing>
            </w:r>
          </w:p>
        </w:tc>
      </w:tr>
    </w:tbl>
    <w:p w14:paraId="15E4FF39" w14:textId="2B5ACF61" w:rsidR="00C90D26" w:rsidRPr="00C90D26" w:rsidRDefault="00C90D26" w:rsidP="006F35A8"/>
    <w:p w14:paraId="03DBC5D1" w14:textId="77777777" w:rsidR="00975DAD" w:rsidRPr="00A04EF0" w:rsidRDefault="00975DAD" w:rsidP="006F0C20">
      <w:pPr>
        <w:rPr>
          <w:rFonts w:ascii="Helvetica" w:hAnsi="Helvetica"/>
        </w:rPr>
      </w:pPr>
    </w:p>
    <w:p w14:paraId="1989CAD4" w14:textId="77777777" w:rsidR="00B224D8" w:rsidRDefault="00B224D8" w:rsidP="00975DAD">
      <w:pPr>
        <w:pStyle w:val="Kommentartext"/>
        <w:rPr>
          <w:rFonts w:ascii="Helvetica" w:hAnsi="Helvetica"/>
          <w:b/>
          <w:bCs/>
        </w:rPr>
        <w:sectPr w:rsidR="00B224D8" w:rsidSect="00196918">
          <w:pgSz w:w="16838" w:h="11906" w:orient="landscape"/>
          <w:pgMar w:top="1440" w:right="1440" w:bottom="1440" w:left="1440" w:header="709" w:footer="709" w:gutter="0"/>
          <w:cols w:space="708"/>
          <w:docGrid w:linePitch="360"/>
        </w:sectPr>
      </w:pPr>
    </w:p>
    <w:p w14:paraId="2D7152A9" w14:textId="06E2DB46" w:rsidR="00AA5059" w:rsidRPr="00A04EF0" w:rsidRDefault="00AA5059" w:rsidP="00484125">
      <w:pPr>
        <w:pStyle w:val="berschrift1"/>
        <w:rPr>
          <w:rFonts w:ascii="Helvetica" w:hAnsi="Helvetica" w:cs="Arial"/>
        </w:rPr>
      </w:pPr>
      <w:bookmarkStart w:id="9" w:name="_Toc163578130"/>
      <w:bookmarkStart w:id="10" w:name="_Toc167808033"/>
      <w:bookmarkStart w:id="11" w:name="_Toc163578131"/>
      <w:bookmarkStart w:id="12" w:name="_Toc167808034"/>
      <w:bookmarkStart w:id="13" w:name="_Toc163578132"/>
      <w:bookmarkStart w:id="14" w:name="_Toc167808035"/>
      <w:bookmarkStart w:id="15" w:name="_Toc163578136"/>
      <w:bookmarkStart w:id="16" w:name="_Toc167808039"/>
      <w:bookmarkStart w:id="17" w:name="_Toc163578137"/>
      <w:bookmarkStart w:id="18" w:name="_Toc167808040"/>
      <w:bookmarkStart w:id="19" w:name="_Toc163578138"/>
      <w:bookmarkStart w:id="20" w:name="_Toc167808041"/>
      <w:bookmarkStart w:id="21" w:name="_Toc163578139"/>
      <w:bookmarkStart w:id="22" w:name="_Toc167808042"/>
      <w:bookmarkStart w:id="23" w:name="_Toc163578140"/>
      <w:bookmarkStart w:id="24" w:name="_Toc167808043"/>
      <w:bookmarkStart w:id="25" w:name="_Toc163578141"/>
      <w:bookmarkStart w:id="26" w:name="_Toc167808044"/>
      <w:bookmarkStart w:id="27" w:name="_Toc163578142"/>
      <w:bookmarkStart w:id="28" w:name="_Toc167808045"/>
      <w:bookmarkStart w:id="29" w:name="_Toc163578143"/>
      <w:bookmarkStart w:id="30" w:name="_Toc167808046"/>
      <w:bookmarkStart w:id="31" w:name="_Toc163578144"/>
      <w:bookmarkStart w:id="32" w:name="_Toc167808047"/>
      <w:bookmarkStart w:id="33" w:name="_Toc171323424"/>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r w:rsidRPr="00A04EF0">
        <w:rPr>
          <w:rFonts w:ascii="Helvetica" w:hAnsi="Helvetica" w:cs="Arial"/>
        </w:rPr>
        <w:lastRenderedPageBreak/>
        <w:t>Policy density models: robustness checks</w:t>
      </w:r>
      <w:bookmarkEnd w:id="33"/>
    </w:p>
    <w:p w14:paraId="7847252D" w14:textId="23E01E0B" w:rsidR="00484125" w:rsidRPr="00A04EF0" w:rsidRDefault="00484125" w:rsidP="009B69B9">
      <w:pPr>
        <w:pStyle w:val="berschrift2"/>
        <w:rPr>
          <w:rFonts w:ascii="Helvetica" w:hAnsi="Helvetica"/>
        </w:rPr>
      </w:pPr>
      <w:bookmarkStart w:id="34" w:name="_Toc171323425"/>
      <w:r w:rsidRPr="00A04EF0">
        <w:rPr>
          <w:rFonts w:ascii="Helvetica" w:hAnsi="Helvetica"/>
        </w:rPr>
        <w:t>Pre-2000 policies</w:t>
      </w:r>
      <w:bookmarkEnd w:id="34"/>
    </w:p>
    <w:p w14:paraId="0C05190F" w14:textId="2C85FA50" w:rsidR="00AF698D" w:rsidRPr="00A04EF0" w:rsidRDefault="008C49DA" w:rsidP="008733D7">
      <w:pPr>
        <w:rPr>
          <w:rFonts w:ascii="Helvetica" w:hAnsi="Helvetica" w:cs="Arial"/>
          <w:lang w:val="en-US"/>
        </w:rPr>
      </w:pPr>
      <w:r>
        <w:rPr>
          <w:rFonts w:ascii="Helvetica" w:hAnsi="Helvetica" w:cs="Arial"/>
          <w:lang w:val="en-US"/>
        </w:rPr>
        <w:t>The t</w:t>
      </w:r>
      <w:r w:rsidR="00005D93" w:rsidRPr="00A04EF0">
        <w:rPr>
          <w:rFonts w:ascii="Helvetica" w:hAnsi="Helvetica" w:cs="Arial"/>
          <w:lang w:val="en-US"/>
        </w:rPr>
        <w:t xml:space="preserve">otal policy density variable included in our analysis measures the cumulative number of policies </w:t>
      </w:r>
      <w:r w:rsidR="00DA5961">
        <w:rPr>
          <w:rFonts w:ascii="Helvetica" w:hAnsi="Helvetica" w:cs="Arial"/>
          <w:lang w:val="en-US"/>
        </w:rPr>
        <w:t xml:space="preserve">implemented </w:t>
      </w:r>
      <w:r w:rsidR="00005D93" w:rsidRPr="00A04EF0">
        <w:rPr>
          <w:rFonts w:ascii="Helvetica" w:hAnsi="Helvetica" w:cs="Arial"/>
          <w:lang w:val="en-US"/>
        </w:rPr>
        <w:t xml:space="preserve">from 2000 onwards. As a robustness check, we incorporate in our total </w:t>
      </w:r>
      <w:r w:rsidR="00DA5961">
        <w:rPr>
          <w:rFonts w:ascii="Helvetica" w:hAnsi="Helvetica" w:cs="Arial"/>
          <w:lang w:val="en-US"/>
        </w:rPr>
        <w:t xml:space="preserve">policy </w:t>
      </w:r>
      <w:r w:rsidR="00005D93" w:rsidRPr="00A04EF0">
        <w:rPr>
          <w:rFonts w:ascii="Helvetica" w:hAnsi="Helvetica" w:cs="Arial"/>
          <w:lang w:val="en-US"/>
        </w:rPr>
        <w:t xml:space="preserve">density variable the cumulative number of policies </w:t>
      </w:r>
      <w:r w:rsidR="00DA5961">
        <w:rPr>
          <w:rFonts w:ascii="Helvetica" w:hAnsi="Helvetica" w:cs="Arial"/>
          <w:lang w:val="en-US"/>
        </w:rPr>
        <w:t>implemented</w:t>
      </w:r>
      <w:r w:rsidR="00005D93" w:rsidRPr="00A04EF0">
        <w:rPr>
          <w:rFonts w:ascii="Helvetica" w:hAnsi="Helvetica" w:cs="Arial"/>
          <w:lang w:val="en-US"/>
        </w:rPr>
        <w:t xml:space="preserve"> before 2000 and re-estimate the baseline regression model. </w:t>
      </w:r>
      <w:r w:rsidR="00A533FC">
        <w:rPr>
          <w:rFonts w:ascii="Helvetica" w:hAnsi="Helvetica" w:cs="Arial"/>
          <w:lang w:val="en-US"/>
        </w:rPr>
        <w:t xml:space="preserve">Results </w:t>
      </w:r>
      <w:r w:rsidR="00A533FC">
        <w:rPr>
          <w:rFonts w:ascii="Helvetica" w:hAnsi="Helvetica"/>
        </w:rPr>
        <w:t xml:space="preserve">provided in Extended Data Table ED6 show that </w:t>
      </w:r>
      <w:r w:rsidR="00A533FC">
        <w:rPr>
          <w:rFonts w:ascii="Helvetica" w:hAnsi="Helvetica" w:cs="Arial"/>
          <w:lang w:val="en-US"/>
        </w:rPr>
        <w:t>t</w:t>
      </w:r>
      <w:r w:rsidR="00005D93" w:rsidRPr="00A04EF0">
        <w:rPr>
          <w:rFonts w:ascii="Helvetica" w:hAnsi="Helvetica" w:cs="Arial"/>
          <w:lang w:val="en-US"/>
        </w:rPr>
        <w:t>he size and statistical significance of all coefficients in the re-estimated model remain the same.</w:t>
      </w:r>
    </w:p>
    <w:p w14:paraId="28429F3A" w14:textId="77D4EE45" w:rsidR="00484125" w:rsidRPr="00A04EF0" w:rsidRDefault="009831E0" w:rsidP="009B69B9">
      <w:pPr>
        <w:pStyle w:val="berschrift2"/>
        <w:rPr>
          <w:rFonts w:ascii="Helvetica" w:hAnsi="Helvetica"/>
        </w:rPr>
      </w:pPr>
      <w:bookmarkStart w:id="35" w:name="_Toc171323426"/>
      <w:r w:rsidRPr="00A04EF0">
        <w:rPr>
          <w:rFonts w:ascii="Helvetica" w:hAnsi="Helvetica"/>
        </w:rPr>
        <w:t xml:space="preserve">Excluding </w:t>
      </w:r>
      <w:r w:rsidR="00484125" w:rsidRPr="00A04EF0">
        <w:rPr>
          <w:rFonts w:ascii="Helvetica" w:hAnsi="Helvetica"/>
        </w:rPr>
        <w:t>China</w:t>
      </w:r>
      <w:bookmarkEnd w:id="35"/>
    </w:p>
    <w:p w14:paraId="3A97FFB3" w14:textId="194EA62E" w:rsidR="00484125" w:rsidRPr="00A04EF0" w:rsidRDefault="008D181D" w:rsidP="00E8118A">
      <w:pPr>
        <w:rPr>
          <w:rFonts w:ascii="Helvetica" w:hAnsi="Helvetica" w:cs="Arial"/>
          <w:lang w:val="en-US"/>
        </w:rPr>
      </w:pPr>
      <w:r w:rsidRPr="00A04EF0">
        <w:rPr>
          <w:rFonts w:ascii="Helvetica" w:hAnsi="Helvetica" w:cs="Arial"/>
          <w:lang w:val="en-US"/>
        </w:rPr>
        <w:t>Given o</w:t>
      </w:r>
      <w:r w:rsidR="00AF698D" w:rsidRPr="00A04EF0">
        <w:rPr>
          <w:rFonts w:ascii="Helvetica" w:hAnsi="Helvetica" w:cs="Arial"/>
          <w:lang w:val="en-US"/>
        </w:rPr>
        <w:t xml:space="preserve">ur policy density variable </w:t>
      </w:r>
      <w:r w:rsidRPr="00A04EF0">
        <w:rPr>
          <w:rFonts w:ascii="Helvetica" w:hAnsi="Helvetica" w:cs="Arial"/>
          <w:lang w:val="en-US"/>
        </w:rPr>
        <w:t xml:space="preserve">is </w:t>
      </w:r>
      <w:r w:rsidR="00AF698D" w:rsidRPr="00A04EF0">
        <w:rPr>
          <w:rFonts w:ascii="Helvetica" w:hAnsi="Helvetica" w:cs="Arial"/>
          <w:lang w:val="en-US"/>
        </w:rPr>
        <w:t xml:space="preserve">based on the IEA </w:t>
      </w:r>
      <w:r w:rsidR="000A37FB" w:rsidRPr="00A04EF0">
        <w:rPr>
          <w:rFonts w:ascii="Helvetica" w:hAnsi="Helvetica" w:cs="Arial"/>
          <w:lang w:val="en-US"/>
        </w:rPr>
        <w:t xml:space="preserve">Policies and Measures </w:t>
      </w:r>
      <w:r w:rsidR="00DA5961">
        <w:rPr>
          <w:rFonts w:ascii="Helvetica" w:hAnsi="Helvetica" w:cs="Arial"/>
          <w:lang w:val="en-US"/>
        </w:rPr>
        <w:t>D</w:t>
      </w:r>
      <w:r w:rsidR="000A37FB" w:rsidRPr="00A04EF0">
        <w:rPr>
          <w:rFonts w:ascii="Helvetica" w:hAnsi="Helvetica" w:cs="Arial"/>
          <w:lang w:val="en-US"/>
        </w:rPr>
        <w:t>atabase</w:t>
      </w:r>
      <w:r w:rsidR="00DA5961">
        <w:rPr>
          <w:rFonts w:ascii="Helvetica" w:hAnsi="Helvetica" w:cs="Arial"/>
          <w:lang w:val="en-US"/>
        </w:rPr>
        <w:t xml:space="preserve"> (PMD)</w:t>
      </w:r>
      <w:r w:rsidRPr="00A04EF0">
        <w:rPr>
          <w:rFonts w:ascii="Helvetica" w:hAnsi="Helvetica" w:cs="Arial"/>
          <w:lang w:val="en-US"/>
        </w:rPr>
        <w:t>, it</w:t>
      </w:r>
      <w:r w:rsidR="00AF698D" w:rsidRPr="00A04EF0">
        <w:rPr>
          <w:rFonts w:ascii="Helvetica" w:hAnsi="Helvetica" w:cs="Arial"/>
          <w:lang w:val="en-US"/>
        </w:rPr>
        <w:t xml:space="preserve"> has </w:t>
      </w:r>
      <w:r w:rsidR="00023832" w:rsidRPr="00A04EF0">
        <w:rPr>
          <w:rFonts w:ascii="Helvetica" w:hAnsi="Helvetica" w:cs="Arial"/>
          <w:lang w:val="en-US"/>
        </w:rPr>
        <w:t xml:space="preserve">a </w:t>
      </w:r>
      <w:r w:rsidR="00AF698D" w:rsidRPr="00A04EF0">
        <w:rPr>
          <w:rFonts w:ascii="Helvetica" w:hAnsi="Helvetica" w:cs="Arial"/>
          <w:lang w:val="en-US"/>
        </w:rPr>
        <w:t xml:space="preserve">different distribution </w:t>
      </w:r>
      <w:r w:rsidRPr="00A04EF0">
        <w:rPr>
          <w:rFonts w:ascii="Helvetica" w:hAnsi="Helvetica" w:cs="Arial"/>
          <w:lang w:val="en-US"/>
        </w:rPr>
        <w:t>to</w:t>
      </w:r>
      <w:r w:rsidR="00AF698D" w:rsidRPr="00A04EF0">
        <w:rPr>
          <w:rFonts w:ascii="Helvetica" w:hAnsi="Helvetica" w:cs="Arial"/>
          <w:lang w:val="en-US"/>
        </w:rPr>
        <w:t xml:space="preserve"> </w:t>
      </w:r>
      <w:r w:rsidRPr="00A04EF0">
        <w:rPr>
          <w:rFonts w:ascii="Helvetica" w:hAnsi="Helvetica" w:cs="Arial"/>
          <w:lang w:val="en-US"/>
        </w:rPr>
        <w:t xml:space="preserve">the same variable used in </w:t>
      </w:r>
      <w:r w:rsidRPr="00A04EF0">
        <w:rPr>
          <w:rFonts w:ascii="Helvetica" w:hAnsi="Helvetica" w:cs="Arial"/>
          <w:lang w:val="en-US"/>
        </w:rPr>
        <w:fldChar w:fldCharType="begin" w:fldLock="1"/>
      </w:r>
      <w:r w:rsidRPr="00A04EF0">
        <w:rPr>
          <w:rFonts w:ascii="Helvetica" w:hAnsi="Helvetica" w:cs="Arial"/>
          <w:lang w:val="en-US"/>
        </w:rPr>
        <w:instrText>ADDIN CSL_CITATION {"citationItems":[{"id":"ITEM-1","itemData":{"DOI":"10.1038/s41558-020-0831-z","ISSN":"17586798","abstract":"The international response to climate change has been inadequate, but not zero. There are 1,800 climate change laws worldwide. We use panel data on legislative activity in 133 countries over the period 1999–2016 to identify statistically the short-term and long-term impact of climate legislation. Each new law reduces annual carbon dioxide (CO2) emissions per unit of gross domestic product by 0.78% nationally in the short term (during the first three years) and by 1.79% in the long term (beyond three years). The results are driven by parliamentary acts and by countries with a strong rule of law. In 2016, current climate laws were associated with an annual reduction in global CO2 emissions of 5.9 GtCO2, more than the US CO2 output that year. Cumulative CO2 emissions savings from 1999 to 2016 amount to 38 GtCO2, or one year’s worth of global CO2 output. The impact on other greenhouse gases is much lower.","author":[{"dropping-particle":"","family":"Eskander","given":"Shaikh M.S.U.","non-dropping-particle":"","parse-names":false,"suffix":""},{"dropping-particle":"","family":"Fankhauser","given":"Sam","non-dropping-particle":"","parse-names":false,"suffix":""}],"container-title":"Nature Climate Change","id":"ITEM-1","issue":"8","issued":{"date-parts":[["2020"]]},"page":"750-756","title":"Reduction in greenhouse gas emissions from national climate legislation","type":"article-journal","volume":"10"},"uris":["http://www.mendeley.com/documents/?uuid=9f06f290-d9d4-4123-aa0e-90b46e322dc5"]}],"mendeley":{"formattedCitation":"(Eskander &amp; Fankhauser, 2020)","manualFormatting":"Eskander &amp; Fankhauser (2020)","plainTextFormattedCitation":"(Eskander &amp; Fankhauser, 2020)","previouslyFormattedCitation":"(Eskander &amp; Fankhauser, 2020)"},"properties":{"noteIndex":0},"schema":"https://github.com/citation-style-language/schema/raw/master/csl-citation.json"}</w:instrText>
      </w:r>
      <w:r w:rsidRPr="00A04EF0">
        <w:rPr>
          <w:rFonts w:ascii="Helvetica" w:hAnsi="Helvetica" w:cs="Arial"/>
          <w:lang w:val="en-US"/>
        </w:rPr>
        <w:fldChar w:fldCharType="separate"/>
      </w:r>
      <w:r w:rsidRPr="00A04EF0">
        <w:rPr>
          <w:rFonts w:ascii="Helvetica" w:hAnsi="Helvetica" w:cs="Arial"/>
          <w:lang w:val="en-US"/>
        </w:rPr>
        <w:t>Eskander &amp; Fankhauser (2020)</w:t>
      </w:r>
      <w:r w:rsidRPr="00A04EF0">
        <w:rPr>
          <w:rFonts w:ascii="Helvetica" w:hAnsi="Helvetica" w:cs="Arial"/>
          <w:lang w:val="en-US"/>
        </w:rPr>
        <w:fldChar w:fldCharType="end"/>
      </w:r>
      <w:r w:rsidRPr="00A04EF0">
        <w:rPr>
          <w:rFonts w:ascii="Helvetica" w:hAnsi="Helvetica" w:cs="Arial"/>
          <w:lang w:val="en-US"/>
        </w:rPr>
        <w:t xml:space="preserve"> which is </w:t>
      </w:r>
      <w:r w:rsidR="00AF698D" w:rsidRPr="00A04EF0">
        <w:rPr>
          <w:rFonts w:ascii="Helvetica" w:hAnsi="Helvetica" w:cs="Arial"/>
          <w:lang w:val="en-US"/>
        </w:rPr>
        <w:t xml:space="preserve">based on the </w:t>
      </w:r>
      <w:r w:rsidR="000A37FB" w:rsidRPr="00A04EF0">
        <w:rPr>
          <w:rFonts w:ascii="Helvetica" w:hAnsi="Helvetica" w:cs="Arial"/>
          <w:lang w:val="en-US"/>
        </w:rPr>
        <w:t xml:space="preserve">Climate Change Laws of the World </w:t>
      </w:r>
      <w:r w:rsidR="00DA5961">
        <w:rPr>
          <w:rFonts w:ascii="Helvetica" w:hAnsi="Helvetica" w:cs="Arial"/>
          <w:lang w:val="en-US"/>
        </w:rPr>
        <w:t xml:space="preserve">(CCLW) </w:t>
      </w:r>
      <w:r w:rsidR="000A37FB" w:rsidRPr="00A04EF0">
        <w:rPr>
          <w:rFonts w:ascii="Helvetica" w:hAnsi="Helvetica" w:cs="Arial"/>
          <w:lang w:val="en-US"/>
        </w:rPr>
        <w:t>database</w:t>
      </w:r>
      <w:r w:rsidR="00AF698D" w:rsidRPr="00A04EF0">
        <w:rPr>
          <w:rFonts w:ascii="Helvetica" w:hAnsi="Helvetica" w:cs="Arial"/>
          <w:lang w:val="en-US"/>
        </w:rPr>
        <w:t xml:space="preserve">. This </w:t>
      </w:r>
      <w:r w:rsidRPr="00A04EF0">
        <w:rPr>
          <w:rFonts w:ascii="Helvetica" w:hAnsi="Helvetica" w:cs="Arial"/>
          <w:lang w:val="en-US"/>
        </w:rPr>
        <w:t xml:space="preserve">can be </w:t>
      </w:r>
      <w:r w:rsidR="00AF698D" w:rsidRPr="00A04EF0">
        <w:rPr>
          <w:rFonts w:ascii="Helvetica" w:hAnsi="Helvetica" w:cs="Arial"/>
          <w:lang w:val="en-US"/>
        </w:rPr>
        <w:t xml:space="preserve">clearly </w:t>
      </w:r>
      <w:r w:rsidR="000E7DAE" w:rsidRPr="00A04EF0">
        <w:rPr>
          <w:rFonts w:ascii="Helvetica" w:hAnsi="Helvetica" w:cs="Arial"/>
          <w:lang w:val="en-US"/>
        </w:rPr>
        <w:t>observed</w:t>
      </w:r>
      <w:r w:rsidR="00AF698D" w:rsidRPr="00A04EF0">
        <w:rPr>
          <w:rFonts w:ascii="Helvetica" w:hAnsi="Helvetica" w:cs="Arial"/>
          <w:lang w:val="en-US"/>
        </w:rPr>
        <w:t xml:space="preserve"> in the case of China for which the IEA PMD reports at least 179 policies for the period 2000 - 2016 compared to only 5 legislations reported in the </w:t>
      </w:r>
      <w:r w:rsidR="000A37FB" w:rsidRPr="00A04EF0">
        <w:rPr>
          <w:rFonts w:ascii="Helvetica" w:hAnsi="Helvetica" w:cs="Arial"/>
          <w:lang w:val="en-US"/>
        </w:rPr>
        <w:t>Climate Change Laws of the World database</w:t>
      </w:r>
      <w:r w:rsidR="00AF698D" w:rsidRPr="00A04EF0">
        <w:rPr>
          <w:rFonts w:ascii="Helvetica" w:hAnsi="Helvetica" w:cs="Arial"/>
          <w:lang w:val="en-US"/>
        </w:rPr>
        <w:t xml:space="preserve"> over the same time-period.</w:t>
      </w:r>
    </w:p>
    <w:p w14:paraId="65DF9AB4" w14:textId="17A3B49F" w:rsidR="00484125" w:rsidRPr="00A04EF0" w:rsidRDefault="00484125" w:rsidP="00E8118A">
      <w:pPr>
        <w:rPr>
          <w:rFonts w:ascii="Helvetica" w:hAnsi="Helvetica" w:cs="Arial"/>
          <w:lang w:val="en-US"/>
        </w:rPr>
      </w:pPr>
      <w:r w:rsidRPr="00A04EF0">
        <w:rPr>
          <w:rFonts w:ascii="Helvetica" w:hAnsi="Helvetica" w:cs="Arial"/>
          <w:lang w:val="en-US"/>
        </w:rPr>
        <w:t>A s</w:t>
      </w:r>
      <w:r w:rsidR="00C1682C" w:rsidRPr="00A04EF0">
        <w:rPr>
          <w:rFonts w:ascii="Helvetica" w:hAnsi="Helvetica" w:cs="Arial"/>
          <w:lang w:val="en-US"/>
        </w:rPr>
        <w:t>imilar pattern</w:t>
      </w:r>
      <w:r w:rsidR="00602D29" w:rsidRPr="00A04EF0">
        <w:rPr>
          <w:rFonts w:ascii="Helvetica" w:hAnsi="Helvetica" w:cs="Arial"/>
          <w:lang w:val="en-US"/>
        </w:rPr>
        <w:t xml:space="preserve"> of differences between the two datasets</w:t>
      </w:r>
      <w:r w:rsidR="00C1682C" w:rsidRPr="00A04EF0">
        <w:rPr>
          <w:rFonts w:ascii="Helvetica" w:hAnsi="Helvetica" w:cs="Arial"/>
          <w:lang w:val="en-US"/>
        </w:rPr>
        <w:t xml:space="preserve"> </w:t>
      </w:r>
      <w:r w:rsidR="00602D29" w:rsidRPr="00A04EF0">
        <w:rPr>
          <w:rFonts w:ascii="Helvetica" w:hAnsi="Helvetica" w:cs="Arial"/>
          <w:lang w:val="en-US"/>
        </w:rPr>
        <w:t>can be observed</w:t>
      </w:r>
      <w:r w:rsidR="00C1682C" w:rsidRPr="00A04EF0">
        <w:rPr>
          <w:rFonts w:ascii="Helvetica" w:hAnsi="Helvetica" w:cs="Arial"/>
          <w:lang w:val="en-US"/>
        </w:rPr>
        <w:t xml:space="preserve"> for the rest of the BRIICS. More specifically, there are reported in the IEA </w:t>
      </w:r>
      <w:r w:rsidR="00602D29" w:rsidRPr="00A04EF0">
        <w:rPr>
          <w:rFonts w:ascii="Helvetica" w:hAnsi="Helvetica" w:cs="Arial"/>
          <w:lang w:val="en-US"/>
        </w:rPr>
        <w:t xml:space="preserve">dataset </w:t>
      </w:r>
      <w:r w:rsidR="00C1682C" w:rsidRPr="00A04EF0">
        <w:rPr>
          <w:rFonts w:ascii="Helvetica" w:hAnsi="Helvetica" w:cs="Arial"/>
          <w:lang w:val="en-US"/>
        </w:rPr>
        <w:t>32 polices for Brazil, 32 Russia, 80 for India, 53 for South Africa, and 63 for Indonesia. In contrast, there are reported in the Climate Change Laws of the World database 18 policies for Brazil, 12 for Russia, 9 for India, 7 for South Africa, and 18 for Indonesia.</w:t>
      </w:r>
    </w:p>
    <w:p w14:paraId="77B294A9" w14:textId="212ABB07" w:rsidR="00AF698D" w:rsidRPr="00A04EF0" w:rsidRDefault="00AF698D" w:rsidP="00E8118A">
      <w:pPr>
        <w:rPr>
          <w:rFonts w:ascii="Helvetica" w:hAnsi="Helvetica" w:cs="Arial"/>
          <w:lang w:val="en-US"/>
        </w:rPr>
      </w:pPr>
      <w:r w:rsidRPr="00A04EF0">
        <w:rPr>
          <w:rFonts w:ascii="Helvetica" w:hAnsi="Helvetica" w:cs="Arial"/>
          <w:lang w:val="en-US"/>
        </w:rPr>
        <w:t xml:space="preserve">According to </w:t>
      </w:r>
      <w:r w:rsidR="00FD0828" w:rsidRPr="00A04EF0">
        <w:rPr>
          <w:rFonts w:ascii="Helvetica" w:hAnsi="Helvetica" w:cs="Arial"/>
          <w:lang w:val="en-US"/>
        </w:rPr>
        <w:fldChar w:fldCharType="begin"/>
      </w:r>
      <w:r w:rsidR="00FD0828" w:rsidRPr="00A04EF0">
        <w:rPr>
          <w:rFonts w:ascii="Helvetica" w:hAnsi="Helvetica" w:cs="Arial"/>
          <w:lang w:val="en-US"/>
        </w:rPr>
        <w:instrText xml:space="preserve"> ADDIN EN.CITE &lt;EndNote&gt;&lt;Cite AuthorYear="1"&gt;&lt;Author&gt;Schaub&lt;/Author&gt;&lt;Year&gt;2022&lt;/Year&gt;&lt;RecNum&gt;6909&lt;/RecNum&gt;&lt;DisplayText&gt;Schaub, Tosun et al. (2022)&lt;/DisplayText&gt;&lt;record&gt;&lt;rec-number&gt;6909&lt;/rec-number&gt;&lt;foreign-keys&gt;&lt;key app="EN" db-id="pzwxerf5sf52xoef20m52s5jxpa0wpaspvpd" timestamp="1702158166"&gt;6909&lt;/key&gt;&lt;/foreign-keys&gt;&lt;ref-type name="Journal Article"&gt;17&lt;/ref-type&gt;&lt;contributors&gt;&lt;authors&gt;&lt;author&gt;Schaub, Simon&lt;/author&gt;&lt;author&gt;Tosun, Jale&lt;/author&gt;&lt;author&gt;Jordan, Andrew&lt;/author&gt;&lt;author&gt;Enguer, Joan&lt;/author&gt;&lt;/authors&gt;&lt;/contributors&gt;&lt;titles&gt;&lt;title&gt;Climate Policy Ambition: Exploring A Policy Density Perspective&lt;/title&gt;&lt;secondary-title&gt;Politics and Governance&lt;/secondary-title&gt;&lt;short-title&gt;Climate Policy Ambition: Exploring A Policy Density Perspective&lt;/short-title&gt;&lt;/titles&gt;&lt;periodical&gt;&lt;full-title&gt;Politics and Governance&lt;/full-title&gt;&lt;/periodical&gt;&lt;pages&gt;13&lt;/pages&gt;&lt;volume&gt;10&lt;/volume&gt;&lt;number&gt;3&lt;/number&gt;&lt;edition&gt;2022-09-21&lt;/edition&gt;&lt;section&gt;226&lt;/section&gt;&lt;keywords&gt;&lt;keyword&gt;climate policy&lt;/keyword&gt;&lt;keyword&gt;policy density&lt;/keyword&gt;&lt;keyword&gt;policy instruments&lt;/keyword&gt;&lt;keyword&gt;policy outputs&lt;/keyword&gt;&lt;/keywords&gt;&lt;dates&gt;&lt;year&gt;2022&lt;/year&gt;&lt;pub-dates&gt;&lt;date&gt;2022-09-21&lt;/date&gt;&lt;/pub-dates&gt;&lt;/dates&gt;&lt;isbn&gt;2183-2463&lt;/isbn&gt;&lt;work-type&gt;climate policy; policy density; policy instruments; policy outputs&lt;/work-type&gt;&lt;urls&gt;&lt;related-urls&gt;&lt;url&gt;https://www.cogitatiopress.com/politicsandgovernance/article/view/5347&lt;/url&gt;&lt;/related-urls&gt;&lt;/urls&gt;&lt;electronic-resource-num&gt;10.17645/pag.v10i3.5347&lt;/electronic-resource-num&gt;&lt;/record&gt;&lt;/Cite&gt;&lt;/EndNote&gt;</w:instrText>
      </w:r>
      <w:r w:rsidR="00FD0828" w:rsidRPr="00A04EF0">
        <w:rPr>
          <w:rFonts w:ascii="Helvetica" w:hAnsi="Helvetica" w:cs="Arial"/>
          <w:lang w:val="en-US"/>
        </w:rPr>
        <w:fldChar w:fldCharType="separate"/>
      </w:r>
      <w:r w:rsidR="00FD0828" w:rsidRPr="00A04EF0">
        <w:rPr>
          <w:rFonts w:ascii="Helvetica" w:hAnsi="Helvetica" w:cs="Arial"/>
          <w:noProof/>
          <w:lang w:val="en-US"/>
        </w:rPr>
        <w:t>Schaub, Tosun et al. (2022)</w:t>
      </w:r>
      <w:r w:rsidR="00FD0828" w:rsidRPr="00A04EF0">
        <w:rPr>
          <w:rFonts w:ascii="Helvetica" w:hAnsi="Helvetica" w:cs="Arial"/>
          <w:lang w:val="en-US"/>
        </w:rPr>
        <w:fldChar w:fldCharType="end"/>
      </w:r>
      <w:r w:rsidRPr="00A04EF0">
        <w:rPr>
          <w:rFonts w:ascii="Helvetica" w:hAnsi="Helvetica" w:cs="Arial"/>
          <w:lang w:val="en-US"/>
        </w:rPr>
        <w:t xml:space="preserve">, </w:t>
      </w:r>
      <w:r w:rsidR="00FD0828" w:rsidRPr="00A04EF0">
        <w:rPr>
          <w:rFonts w:ascii="Helvetica" w:hAnsi="Helvetica" w:cs="Arial"/>
          <w:lang w:val="en-US"/>
        </w:rPr>
        <w:t xml:space="preserve">the </w:t>
      </w:r>
      <w:r w:rsidRPr="00A04EF0">
        <w:rPr>
          <w:rFonts w:ascii="Helvetica" w:hAnsi="Helvetica" w:cs="Arial"/>
          <w:lang w:val="en-US"/>
        </w:rPr>
        <w:t xml:space="preserve">Climate Change Laws of the World database </w:t>
      </w:r>
      <w:r w:rsidR="000E3262">
        <w:rPr>
          <w:rFonts w:ascii="Helvetica" w:hAnsi="Helvetica" w:cs="Arial"/>
          <w:lang w:val="en-US"/>
        </w:rPr>
        <w:t>focuses on legislation</w:t>
      </w:r>
      <w:r w:rsidR="00146B8E">
        <w:rPr>
          <w:rFonts w:ascii="Helvetica" w:hAnsi="Helvetica" w:cs="Arial"/>
          <w:lang w:val="en-US"/>
        </w:rPr>
        <w:t xml:space="preserve"> and is </w:t>
      </w:r>
      <w:r w:rsidRPr="00A04EF0">
        <w:rPr>
          <w:rFonts w:ascii="Helvetica" w:hAnsi="Helvetica" w:cs="Arial"/>
          <w:lang w:val="en-US"/>
        </w:rPr>
        <w:t>particularly relevant for assessing how politics influence climate policy (e.g. democracy vs autocracy). In contrast,</w:t>
      </w:r>
      <w:r w:rsidR="00484125" w:rsidRPr="00A04EF0">
        <w:rPr>
          <w:rFonts w:ascii="Helvetica" w:hAnsi="Helvetica" w:cs="Arial"/>
          <w:lang w:val="en-US"/>
        </w:rPr>
        <w:t xml:space="preserve"> the</w:t>
      </w:r>
      <w:r w:rsidRPr="00A04EF0">
        <w:rPr>
          <w:rFonts w:ascii="Helvetica" w:hAnsi="Helvetica" w:cs="Arial"/>
          <w:lang w:val="en-US"/>
        </w:rPr>
        <w:t xml:space="preserve"> IEA Policies and Measures </w:t>
      </w:r>
      <w:r w:rsidR="00DA5961">
        <w:rPr>
          <w:rFonts w:ascii="Helvetica" w:hAnsi="Helvetica" w:cs="Arial"/>
          <w:lang w:val="en-US"/>
        </w:rPr>
        <w:t>D</w:t>
      </w:r>
      <w:r w:rsidRPr="00A04EF0">
        <w:rPr>
          <w:rFonts w:ascii="Helvetica" w:hAnsi="Helvetica" w:cs="Arial"/>
          <w:lang w:val="en-US"/>
        </w:rPr>
        <w:t xml:space="preserve">atabase </w:t>
      </w:r>
      <w:r w:rsidR="002831BF">
        <w:rPr>
          <w:rFonts w:ascii="Helvetica" w:hAnsi="Helvetica" w:cs="Arial"/>
          <w:lang w:val="en-US"/>
        </w:rPr>
        <w:t>centers more strongly</w:t>
      </w:r>
      <w:r w:rsidR="008C5D53">
        <w:rPr>
          <w:rFonts w:ascii="Helvetica" w:hAnsi="Helvetica" w:cs="Arial"/>
          <w:lang w:val="en-US"/>
        </w:rPr>
        <w:t xml:space="preserve"> on policy instruments and </w:t>
      </w:r>
      <w:r w:rsidRPr="00A04EF0">
        <w:rPr>
          <w:rFonts w:ascii="Helvetica" w:hAnsi="Helvetica" w:cs="Arial"/>
          <w:lang w:val="en-US"/>
        </w:rPr>
        <w:t xml:space="preserve">is more suitable for assessing policy design for individual countries. </w:t>
      </w:r>
    </w:p>
    <w:p w14:paraId="61849047" w14:textId="4D937B48" w:rsidR="00AF3B5B" w:rsidRPr="00A04EF0" w:rsidRDefault="00AF698D">
      <w:pPr>
        <w:rPr>
          <w:rFonts w:ascii="Helvetica" w:eastAsia="Times New Roman" w:hAnsi="Helvetica" w:cs="Arial"/>
        </w:rPr>
      </w:pPr>
      <w:r w:rsidRPr="00A04EF0">
        <w:rPr>
          <w:rFonts w:ascii="Helvetica" w:hAnsi="Helvetica" w:cs="Arial"/>
          <w:lang w:val="en-US"/>
        </w:rPr>
        <w:t>We check whether our result</w:t>
      </w:r>
      <w:r w:rsidR="00484125" w:rsidRPr="00A04EF0">
        <w:rPr>
          <w:rFonts w:ascii="Helvetica" w:hAnsi="Helvetica" w:cs="Arial"/>
          <w:lang w:val="en-US"/>
        </w:rPr>
        <w:t>s</w:t>
      </w:r>
      <w:r w:rsidRPr="00A04EF0">
        <w:rPr>
          <w:rFonts w:ascii="Helvetica" w:hAnsi="Helvetica" w:cs="Arial"/>
          <w:lang w:val="en-US"/>
        </w:rPr>
        <w:t xml:space="preserve"> </w:t>
      </w:r>
      <w:r w:rsidR="00484125" w:rsidRPr="00A04EF0">
        <w:rPr>
          <w:rFonts w:ascii="Helvetica" w:hAnsi="Helvetica" w:cs="Arial"/>
          <w:lang w:val="en-US"/>
        </w:rPr>
        <w:t xml:space="preserve">change </w:t>
      </w:r>
      <w:r w:rsidRPr="00A04EF0">
        <w:rPr>
          <w:rFonts w:ascii="Helvetica" w:hAnsi="Helvetica" w:cs="Arial"/>
          <w:lang w:val="en-US"/>
        </w:rPr>
        <w:t>when we remove China from our sample.</w:t>
      </w:r>
      <w:r w:rsidR="0025280E">
        <w:rPr>
          <w:rFonts w:ascii="Helvetica" w:hAnsi="Helvetica" w:cs="Arial"/>
          <w:lang w:val="en-US"/>
        </w:rPr>
        <w:t xml:space="preserve"> </w:t>
      </w:r>
      <w:r w:rsidR="00A533FC">
        <w:rPr>
          <w:rFonts w:ascii="Helvetica" w:hAnsi="Helvetica" w:cs="Arial"/>
          <w:lang w:val="en-US"/>
        </w:rPr>
        <w:t xml:space="preserve">Results </w:t>
      </w:r>
      <w:r w:rsidR="00A533FC">
        <w:rPr>
          <w:rFonts w:ascii="Helvetica" w:hAnsi="Helvetica"/>
        </w:rPr>
        <w:t>provided in Extended Data Table ED7, column 2, show</w:t>
      </w:r>
      <w:r w:rsidR="00A533FC">
        <w:rPr>
          <w:rFonts w:ascii="Helvetica" w:hAnsi="Helvetica" w:cs="Arial"/>
          <w:lang w:val="en-US"/>
        </w:rPr>
        <w:t xml:space="preserve"> that t</w:t>
      </w:r>
      <w:r w:rsidR="0025280E">
        <w:rPr>
          <w:rFonts w:ascii="Helvetica" w:hAnsi="Helvetica" w:cs="Arial"/>
          <w:lang w:val="en-US"/>
        </w:rPr>
        <w:t>he coefficient for</w:t>
      </w:r>
      <w:r w:rsidRPr="00A04EF0">
        <w:rPr>
          <w:rFonts w:ascii="Helvetica" w:hAnsi="Helvetica" w:cs="Arial"/>
          <w:lang w:val="en-US"/>
        </w:rPr>
        <w:t xml:space="preserve"> policy density remains negative </w:t>
      </w:r>
      <w:r w:rsidR="00693570" w:rsidRPr="00A04EF0">
        <w:rPr>
          <w:rFonts w:ascii="Helvetica" w:hAnsi="Helvetica" w:cs="Arial"/>
          <w:lang w:val="en-US"/>
        </w:rPr>
        <w:t>and</w:t>
      </w:r>
      <w:r w:rsidR="000710ED" w:rsidRPr="00A04EF0">
        <w:rPr>
          <w:rFonts w:ascii="Helvetica" w:hAnsi="Helvetica" w:cs="Arial"/>
          <w:lang w:val="en-US"/>
        </w:rPr>
        <w:t xml:space="preserve"> </w:t>
      </w:r>
      <w:r w:rsidRPr="00A04EF0">
        <w:rPr>
          <w:rFonts w:ascii="Helvetica" w:hAnsi="Helvetica" w:cs="Arial"/>
          <w:lang w:val="en-US"/>
        </w:rPr>
        <w:t>statistically significa</w:t>
      </w:r>
      <w:r w:rsidR="00A533FC">
        <w:rPr>
          <w:rFonts w:ascii="Helvetica" w:hAnsi="Helvetica" w:cs="Arial"/>
          <w:lang w:val="en-US"/>
        </w:rPr>
        <w:t>nt.</w:t>
      </w:r>
    </w:p>
    <w:p w14:paraId="3E8182C1" w14:textId="180D12C9" w:rsidR="009831E0" w:rsidRPr="00A04EF0" w:rsidRDefault="00A021B2" w:rsidP="009B69B9">
      <w:pPr>
        <w:pStyle w:val="berschrift2"/>
        <w:rPr>
          <w:rFonts w:ascii="Helvetica" w:hAnsi="Helvetica"/>
        </w:rPr>
      </w:pPr>
      <w:bookmarkStart w:id="36" w:name="_Toc171323427"/>
      <w:r w:rsidRPr="00A04EF0">
        <w:rPr>
          <w:rFonts w:ascii="Helvetica" w:hAnsi="Helvetica"/>
        </w:rPr>
        <w:t>One year lagged policy density</w:t>
      </w:r>
      <w:bookmarkEnd w:id="36"/>
    </w:p>
    <w:p w14:paraId="4B349CB3" w14:textId="03928ECF" w:rsidR="0030571B" w:rsidRDefault="00AD26B2" w:rsidP="00AF698D">
      <w:pPr>
        <w:rPr>
          <w:rFonts w:ascii="Helvetica" w:hAnsi="Helvetica"/>
          <w:lang w:val="en-US"/>
        </w:rPr>
      </w:pPr>
      <w:r w:rsidRPr="00A04EF0">
        <w:rPr>
          <w:rFonts w:ascii="Helvetica" w:hAnsi="Helvetica"/>
          <w:lang w:val="en-US"/>
        </w:rPr>
        <w:t xml:space="preserve">We perform </w:t>
      </w:r>
      <w:r w:rsidR="0030571B">
        <w:rPr>
          <w:rFonts w:ascii="Helvetica" w:hAnsi="Helvetica"/>
          <w:lang w:val="en-US"/>
        </w:rPr>
        <w:t>an additional</w:t>
      </w:r>
      <w:r w:rsidR="0030571B" w:rsidRPr="00A04EF0">
        <w:rPr>
          <w:rFonts w:ascii="Helvetica" w:hAnsi="Helvetica"/>
          <w:lang w:val="en-US"/>
        </w:rPr>
        <w:t xml:space="preserve"> </w:t>
      </w:r>
      <w:r w:rsidRPr="00A04EF0">
        <w:rPr>
          <w:rFonts w:ascii="Helvetica" w:hAnsi="Helvetica"/>
          <w:lang w:val="en-US"/>
        </w:rPr>
        <w:t>robustness test on our base model in which all independent variables are lagged by one year</w:t>
      </w:r>
      <w:r w:rsidR="00A533FC">
        <w:rPr>
          <w:rFonts w:ascii="Helvetica" w:hAnsi="Helvetica"/>
          <w:lang w:val="en-US"/>
        </w:rPr>
        <w:t xml:space="preserve"> (</w:t>
      </w:r>
      <w:r w:rsidR="00A533FC">
        <w:rPr>
          <w:rFonts w:ascii="Helvetica" w:hAnsi="Helvetica"/>
        </w:rPr>
        <w:t>Extended Data Table ED8)</w:t>
      </w:r>
      <w:r w:rsidRPr="00A04EF0">
        <w:rPr>
          <w:rFonts w:ascii="Helvetica" w:hAnsi="Helvetica"/>
          <w:lang w:val="en-US"/>
        </w:rPr>
        <w:t xml:space="preserve">, similar to </w:t>
      </w:r>
      <w:r w:rsidRPr="00A04EF0">
        <w:rPr>
          <w:rFonts w:ascii="Helvetica" w:hAnsi="Helvetica"/>
          <w:lang w:val="en-US"/>
        </w:rPr>
        <w:fldChar w:fldCharType="begin" w:fldLock="1"/>
      </w:r>
      <w:r w:rsidRPr="00A04EF0">
        <w:rPr>
          <w:rFonts w:ascii="Helvetica" w:hAnsi="Helvetica"/>
          <w:lang w:val="en-US"/>
        </w:rPr>
        <w:instrText>ADDIN CSL_CITATION {"citationItems":[{"id":"ITEM-1","itemData":{"DOI":"10.1038/s41558-020-0831-z","ISSN":"17586798","abstract":"The international response to climate change has been inadequate, but not zero. There are 1,800 climate change laws worldwide. We use panel data on legislative activity in 133 countries over the period 1999–2016 to identify statistically the short-term and long-term impact of climate legislation. Each new law reduces annual carbon dioxide (CO2) emissions per unit of gross domestic product by 0.78% nationally in the short term (during the first three years) and by 1.79% in the long term (beyond three years). The results are driven by parliamentary acts and by countries with a strong rule of law. In 2016, current climate laws were associated with an annual reduction in global CO2 emissions of 5.9 GtCO2, more than the US CO2 output that year. Cumulative CO2 emissions savings from 1999 to 2016 amount to 38 GtCO2, or one year’s worth of global CO2 output. The impact on other greenhouse gases is much lower.","author":[{"dropping-particle":"","family":"Eskander","given":"Shaikh M.S.U.","non-dropping-particle":"","parse-names":false,"suffix":""},{"dropping-particle":"","family":"Fankhauser","given":"Sam","non-dropping-particle":"","parse-names":false,"suffix":""}],"container-title":"Nature Climate Change","id":"ITEM-1","issue":"8","issued":{"date-parts":[["2020"]]},"page":"750-756","title":"Reduction in greenhouse gas emissions from national climate legislation","type":"article-journal","volume":"10"},"uris":["http://www.mendeley.com/documents/?uuid=9f06f290-d9d4-4123-aa0e-90b46e322dc5"]}],"mendeley":{"formattedCitation":"(Eskander &amp; Fankhauser, 2020)","manualFormatting":"Eskander &amp; Fankhauser (2020)","plainTextFormattedCitation":"(Eskander &amp; Fankhauser, 2020)","previouslyFormattedCitation":"(Eskander &amp; Fankhauser, 2020)"},"properties":{"noteIndex":0},"schema":"https://github.com/citation-style-language/schema/raw/master/csl-citation.json"}</w:instrText>
      </w:r>
      <w:r w:rsidRPr="00A04EF0">
        <w:rPr>
          <w:rFonts w:ascii="Helvetica" w:hAnsi="Helvetica"/>
          <w:lang w:val="en-US"/>
        </w:rPr>
        <w:fldChar w:fldCharType="separate"/>
      </w:r>
      <w:r w:rsidRPr="00A04EF0">
        <w:rPr>
          <w:rFonts w:ascii="Helvetica" w:hAnsi="Helvetica"/>
          <w:lang w:val="en-US"/>
        </w:rPr>
        <w:t>Eskander &amp; Fankhauser (2020)</w:t>
      </w:r>
      <w:r w:rsidRPr="00A04EF0">
        <w:rPr>
          <w:rFonts w:ascii="Helvetica" w:hAnsi="Helvetica"/>
          <w:lang w:val="en-US"/>
        </w:rPr>
        <w:fldChar w:fldCharType="end"/>
      </w:r>
      <w:r w:rsidRPr="00A04EF0">
        <w:rPr>
          <w:rFonts w:ascii="Helvetica" w:hAnsi="Helvetica"/>
          <w:lang w:val="en-US"/>
        </w:rPr>
        <w:t>. All the coefficients in the model with lagged</w:t>
      </w:r>
      <w:r w:rsidR="00ED36F8">
        <w:rPr>
          <w:rFonts w:ascii="Helvetica" w:hAnsi="Helvetica"/>
          <w:lang w:val="en-US"/>
        </w:rPr>
        <w:t xml:space="preserve"> (t-1)</w:t>
      </w:r>
      <w:r w:rsidRPr="00A04EF0">
        <w:rPr>
          <w:rFonts w:ascii="Helvetica" w:hAnsi="Helvetica"/>
          <w:lang w:val="en-US"/>
        </w:rPr>
        <w:t xml:space="preserve"> parameters are very similar to those in the base model, but with a slightly larger effect</w:t>
      </w:r>
      <w:r w:rsidR="00810CD6" w:rsidRPr="00A04EF0">
        <w:rPr>
          <w:rFonts w:ascii="Helvetica" w:hAnsi="Helvetica"/>
          <w:lang w:val="en-US"/>
        </w:rPr>
        <w:t xml:space="preserve"> </w:t>
      </w:r>
      <w:r w:rsidRPr="00A04EF0">
        <w:rPr>
          <w:rFonts w:ascii="Helvetica" w:hAnsi="Helvetica"/>
          <w:lang w:val="en-US"/>
        </w:rPr>
        <w:t>for policy density on emissions intensity.</w:t>
      </w:r>
    </w:p>
    <w:p w14:paraId="1DECFFF8" w14:textId="64DAC8EB" w:rsidR="00616EDF" w:rsidRPr="00A04EF0" w:rsidRDefault="00B933FD" w:rsidP="00E8118A">
      <w:pPr>
        <w:pStyle w:val="berschrift1"/>
        <w:rPr>
          <w:rFonts w:ascii="Helvetica" w:hAnsi="Helvetica"/>
          <w:lang w:val="en-US"/>
        </w:rPr>
      </w:pPr>
      <w:bookmarkStart w:id="37" w:name="_Toc167808052"/>
      <w:bookmarkStart w:id="38" w:name="_Toc167808053"/>
      <w:bookmarkStart w:id="39" w:name="_Toc167808054"/>
      <w:bookmarkStart w:id="40" w:name="_Toc171323428"/>
      <w:bookmarkEnd w:id="37"/>
      <w:bookmarkEnd w:id="38"/>
      <w:bookmarkEnd w:id="39"/>
      <w:r>
        <w:rPr>
          <w:rFonts w:ascii="Helvetica" w:eastAsia="Times New Roman" w:hAnsi="Helvetica" w:cs="Arial"/>
          <w:lang w:val="en-US"/>
        </w:rPr>
        <w:t xml:space="preserve">Interaction effects with long-term targets and </w:t>
      </w:r>
      <w:r w:rsidR="00960A2A">
        <w:rPr>
          <w:rFonts w:ascii="Helvetica" w:eastAsia="Times New Roman" w:hAnsi="Helvetica" w:cs="Arial"/>
          <w:lang w:val="en-US"/>
        </w:rPr>
        <w:t>(</w:t>
      </w:r>
      <w:r w:rsidR="004C5211">
        <w:rPr>
          <w:rFonts w:ascii="Helvetica" w:eastAsia="Times New Roman" w:hAnsi="Helvetica" w:cs="Arial"/>
          <w:lang w:val="en-US"/>
        </w:rPr>
        <w:t>inter</w:t>
      </w:r>
      <w:r w:rsidR="00960A2A">
        <w:rPr>
          <w:rFonts w:ascii="Helvetica" w:eastAsia="Times New Roman" w:hAnsi="Helvetica" w:cs="Arial"/>
          <w:lang w:val="en-US"/>
        </w:rPr>
        <w:t>-)</w:t>
      </w:r>
      <w:r>
        <w:rPr>
          <w:rFonts w:ascii="Helvetica" w:eastAsia="Times New Roman" w:hAnsi="Helvetica" w:cs="Arial"/>
          <w:lang w:val="en-US"/>
        </w:rPr>
        <w:t xml:space="preserve">governmental </w:t>
      </w:r>
      <w:proofErr w:type="spellStart"/>
      <w:r>
        <w:rPr>
          <w:rFonts w:ascii="Helvetica" w:eastAsia="Times New Roman" w:hAnsi="Helvetica" w:cs="Arial"/>
          <w:lang w:val="en-US"/>
        </w:rPr>
        <w:t>organisations</w:t>
      </w:r>
      <w:proofErr w:type="spellEnd"/>
      <w:r w:rsidR="00D10BBD" w:rsidRPr="00A04EF0">
        <w:rPr>
          <w:rFonts w:ascii="Helvetica" w:eastAsia="Times New Roman" w:hAnsi="Helvetica" w:cs="Arial"/>
          <w:lang w:val="en-US"/>
        </w:rPr>
        <w:t>: interpret</w:t>
      </w:r>
      <w:r w:rsidR="002D093E" w:rsidRPr="00A04EF0">
        <w:rPr>
          <w:rFonts w:ascii="Helvetica" w:eastAsia="Times New Roman" w:hAnsi="Helvetica" w:cs="Arial"/>
          <w:lang w:val="en-US"/>
        </w:rPr>
        <w:t>ing coefficients</w:t>
      </w:r>
      <w:bookmarkEnd w:id="40"/>
    </w:p>
    <w:p w14:paraId="0CFF7179" w14:textId="7EAD7B58" w:rsidR="0030752B" w:rsidRPr="00A04EF0" w:rsidRDefault="0025280E" w:rsidP="00954FAC">
      <w:pPr>
        <w:rPr>
          <w:rFonts w:ascii="Helvetica" w:hAnsi="Helvetica"/>
        </w:rPr>
      </w:pPr>
      <w:r>
        <w:rPr>
          <w:rFonts w:ascii="Helvetica" w:hAnsi="Helvetica"/>
        </w:rPr>
        <w:t>As noted in Methods, o</w:t>
      </w:r>
      <w:r w:rsidR="00005D93" w:rsidRPr="00A04EF0">
        <w:rPr>
          <w:rFonts w:ascii="Helvetica" w:hAnsi="Helvetica"/>
        </w:rPr>
        <w:t xml:space="preserve">ur </w:t>
      </w:r>
      <w:r w:rsidR="00B933FD">
        <w:rPr>
          <w:rFonts w:ascii="Helvetica" w:hAnsi="Helvetica"/>
        </w:rPr>
        <w:t>policy density models with interaction effect</w:t>
      </w:r>
      <w:r w:rsidR="00005D93" w:rsidRPr="00A04EF0">
        <w:rPr>
          <w:rFonts w:ascii="Helvetica" w:hAnsi="Helvetica"/>
        </w:rPr>
        <w:t xml:space="preserve"> models are specified as:</w:t>
      </w:r>
    </w:p>
    <w:tbl>
      <w:tblPr>
        <w:tblStyle w:val="Tabellenraster"/>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1"/>
        <w:gridCol w:w="485"/>
      </w:tblGrid>
      <w:tr w:rsidR="00A533FC" w:rsidRPr="00944DBF" w14:paraId="4CA31C31" w14:textId="6DF4B589" w:rsidTr="00A04EF0">
        <w:trPr>
          <w:trHeight w:val="856"/>
        </w:trPr>
        <w:tc>
          <w:tcPr>
            <w:tcW w:w="8789" w:type="dxa"/>
            <w:vAlign w:val="center"/>
          </w:tcPr>
          <w:p w14:paraId="56886862" w14:textId="6061D967" w:rsidR="00A533FC" w:rsidRPr="00A04EF0" w:rsidRDefault="00B06F01" w:rsidP="00954FAC">
            <w:pPr>
              <w:rPr>
                <w:rFonts w:ascii="Helvetica" w:hAnsi="Helvetica"/>
              </w:rPr>
            </w:pPr>
            <m:oMathPara>
              <m:oMath>
                <m:sSub>
                  <m:sSubPr>
                    <m:ctrlPr>
                      <w:rPr>
                        <w:rFonts w:ascii="Cambria Math" w:hAnsi="Cambria Math"/>
                        <w:i/>
                        <w:iCs/>
                      </w:rPr>
                    </m:ctrlPr>
                  </m:sSubPr>
                  <m:e>
                    <m:r>
                      <m:rPr>
                        <m:sty m:val="p"/>
                      </m:rPr>
                      <w:rPr>
                        <w:rFonts w:ascii="Cambria Math" w:hAnsi="Cambria Math"/>
                      </w:rPr>
                      <m:t>ln⁡</m:t>
                    </m:r>
                    <m:r>
                      <w:rPr>
                        <w:rFonts w:ascii="Cambria Math" w:hAnsi="Cambria Math"/>
                      </w:rPr>
                      <m:t>(</m:t>
                    </m:r>
                    <m:f>
                      <m:fPr>
                        <m:ctrlPr>
                          <w:rPr>
                            <w:rFonts w:ascii="Cambria Math" w:hAnsi="Cambria Math"/>
                            <w:i/>
                            <w:iCs/>
                          </w:rPr>
                        </m:ctrlPr>
                      </m:fPr>
                      <m:num>
                        <m:r>
                          <w:rPr>
                            <w:rFonts w:ascii="Cambria Math" w:hAnsi="Cambria Math"/>
                          </w:rPr>
                          <m:t>CO</m:t>
                        </m:r>
                        <m:r>
                          <w:rPr>
                            <w:rFonts w:ascii="Cambria Math" w:hAnsi="Cambria Math"/>
                          </w:rPr>
                          <m:t>2</m:t>
                        </m:r>
                      </m:num>
                      <m:den>
                        <m:r>
                          <w:rPr>
                            <w:rFonts w:ascii="Cambria Math" w:hAnsi="Cambria Math"/>
                          </w:rPr>
                          <m:t>GDP</m:t>
                        </m:r>
                      </m:den>
                    </m:f>
                    <m:r>
                      <w:rPr>
                        <w:rFonts w:ascii="Cambria Math" w:hAnsi="Cambria Math"/>
                      </w:rPr>
                      <m:t>)</m:t>
                    </m:r>
                  </m:e>
                  <m:sub>
                    <m:r>
                      <w:rPr>
                        <w:rFonts w:ascii="Cambria Math" w:hAnsi="Cambria Math"/>
                      </w:rPr>
                      <m:t>it</m:t>
                    </m:r>
                  </m:sub>
                </m:sSub>
                <m:r>
                  <w:rPr>
                    <w:rFonts w:ascii="Cambria Math" w:hAnsi="Cambria Math"/>
                  </w:rPr>
                  <m:t>=</m:t>
                </m:r>
                <m:r>
                  <w:rPr>
                    <w:rFonts w:ascii="Cambria Math" w:hAnsi="Cambria Math"/>
                    <w:lang w:val="el-GR"/>
                  </w:rPr>
                  <m:t>α</m:t>
                </m:r>
                <m:r>
                  <w:rPr>
                    <w:rFonts w:ascii="Cambria Math" w:hAnsi="Cambria Math"/>
                  </w:rPr>
                  <m:t>+</m:t>
                </m:r>
                <m:sSub>
                  <m:sSubPr>
                    <m:ctrlPr>
                      <w:rPr>
                        <w:rFonts w:ascii="Cambria Math" w:hAnsi="Cambria Math"/>
                        <w:i/>
                        <w:iCs/>
                      </w:rPr>
                    </m:ctrlPr>
                  </m:sSubPr>
                  <m:e>
                    <m:r>
                      <w:rPr>
                        <w:rFonts w:ascii="Cambria Math" w:hAnsi="Cambria Math"/>
                        <w:lang w:val="el-GR"/>
                      </w:rPr>
                      <m:t>β</m:t>
                    </m:r>
                  </m:e>
                  <m:sub>
                    <m:r>
                      <w:rPr>
                        <w:rFonts w:ascii="Cambria Math" w:hAnsi="Cambria Math"/>
                      </w:rPr>
                      <m:t>1</m:t>
                    </m:r>
                  </m:sub>
                </m:sSub>
                <m:sSubSup>
                  <m:sSubSupPr>
                    <m:ctrlPr>
                      <w:rPr>
                        <w:rFonts w:ascii="Cambria Math" w:hAnsi="Cambria Math"/>
                        <w:i/>
                        <w:iCs/>
                      </w:rPr>
                    </m:ctrlPr>
                  </m:sSubSupPr>
                  <m:e>
                    <m:r>
                      <w:rPr>
                        <w:rFonts w:ascii="Cambria Math" w:hAnsi="Cambria Math"/>
                      </w:rPr>
                      <m:t>Pdens</m:t>
                    </m:r>
                  </m:e>
                  <m:sub>
                    <m:r>
                      <w:rPr>
                        <w:rFonts w:ascii="Cambria Math" w:hAnsi="Cambria Math"/>
                      </w:rPr>
                      <m:t>it</m:t>
                    </m:r>
                  </m:sub>
                  <m:sup/>
                </m:sSubSup>
                <m:r>
                  <w:rPr>
                    <w:rFonts w:ascii="Cambria Math" w:hAnsi="Cambria Math"/>
                  </w:rPr>
                  <m:t>+</m:t>
                </m:r>
                <m:sSub>
                  <m:sSubPr>
                    <m:ctrlPr>
                      <w:rPr>
                        <w:rFonts w:ascii="Cambria Math" w:hAnsi="Cambria Math"/>
                        <w:i/>
                        <w:iCs/>
                      </w:rPr>
                    </m:ctrlPr>
                  </m:sSubPr>
                  <m:e>
                    <m:r>
                      <w:rPr>
                        <w:rFonts w:ascii="Cambria Math" w:hAnsi="Cambria Math"/>
                        <w:lang w:val="el-GR"/>
                      </w:rPr>
                      <m:t>β</m:t>
                    </m:r>
                  </m:e>
                  <m:sub>
                    <m:r>
                      <w:rPr>
                        <w:rFonts w:ascii="Cambria Math" w:hAnsi="Cambria Math"/>
                      </w:rPr>
                      <m:t>2</m:t>
                    </m:r>
                  </m:sub>
                </m:sSub>
                <m:sSub>
                  <m:sSubPr>
                    <m:ctrlPr>
                      <w:rPr>
                        <w:rFonts w:ascii="Cambria Math" w:hAnsi="Cambria Math"/>
                        <w:i/>
                        <w:iCs/>
                      </w:rPr>
                    </m:ctrlPr>
                  </m:sSubPr>
                  <m:e>
                    <m:r>
                      <w:rPr>
                        <w:rFonts w:ascii="Cambria Math" w:hAnsi="Cambria Math"/>
                        <w:lang w:val="el-GR"/>
                      </w:rPr>
                      <m:t>Χ</m:t>
                    </m:r>
                  </m:e>
                  <m:sub>
                    <m:r>
                      <w:rPr>
                        <w:rFonts w:ascii="Cambria Math" w:hAnsi="Cambria Math"/>
                      </w:rPr>
                      <m:t>it</m:t>
                    </m:r>
                  </m:sub>
                </m:sSub>
                <m:r>
                  <w:rPr>
                    <w:rFonts w:ascii="Cambria Math" w:hAnsi="Cambria Math"/>
                  </w:rPr>
                  <m:t>+</m:t>
                </m:r>
                <m:sSub>
                  <m:sSubPr>
                    <m:ctrlPr>
                      <w:rPr>
                        <w:rFonts w:ascii="Cambria Math" w:hAnsi="Cambria Math"/>
                        <w:i/>
                        <w:iCs/>
                      </w:rPr>
                    </m:ctrlPr>
                  </m:sSubPr>
                  <m:e>
                    <m:r>
                      <w:rPr>
                        <w:rFonts w:ascii="Cambria Math" w:hAnsi="Cambria Math"/>
                        <w:lang w:val="el-GR"/>
                      </w:rPr>
                      <m:t>δ</m:t>
                    </m:r>
                  </m:e>
                  <m:sub>
                    <m:r>
                      <w:rPr>
                        <w:rFonts w:ascii="Cambria Math" w:hAnsi="Cambria Math"/>
                      </w:rPr>
                      <m:t>0</m:t>
                    </m:r>
                  </m:sub>
                </m:sSub>
                <m:sSub>
                  <m:sSubPr>
                    <m:ctrlPr>
                      <w:rPr>
                        <w:rFonts w:ascii="Cambria Math" w:hAnsi="Cambria Math"/>
                        <w:i/>
                        <w:iCs/>
                      </w:rPr>
                    </m:ctrlPr>
                  </m:sSubPr>
                  <m:e>
                    <m:r>
                      <w:rPr>
                        <w:rFonts w:ascii="Cambria Math" w:hAnsi="Cambria Math"/>
                      </w:rPr>
                      <m:t>dummy</m:t>
                    </m:r>
                  </m:e>
                  <m:sub>
                    <m:r>
                      <w:rPr>
                        <w:rFonts w:ascii="Cambria Math" w:hAnsi="Cambria Math"/>
                      </w:rPr>
                      <m:t>it</m:t>
                    </m:r>
                  </m:sub>
                </m:sSub>
                <m:r>
                  <w:rPr>
                    <w:rFonts w:ascii="Cambria Math" w:hAnsi="Cambria Math"/>
                  </w:rPr>
                  <m:t>+</m:t>
                </m:r>
                <m:sSub>
                  <m:sSubPr>
                    <m:ctrlPr>
                      <w:rPr>
                        <w:rFonts w:ascii="Cambria Math" w:hAnsi="Cambria Math"/>
                        <w:i/>
                        <w:iCs/>
                      </w:rPr>
                    </m:ctrlPr>
                  </m:sSubPr>
                  <m:e>
                    <m:r>
                      <w:rPr>
                        <w:rFonts w:ascii="Cambria Math" w:hAnsi="Cambria Math"/>
                        <w:lang w:val="el-GR"/>
                      </w:rPr>
                      <m:t>δ</m:t>
                    </m:r>
                  </m:e>
                  <m:sub>
                    <m:r>
                      <w:rPr>
                        <w:rFonts w:ascii="Cambria Math" w:hAnsi="Cambria Math"/>
                      </w:rPr>
                      <m:t>1</m:t>
                    </m:r>
                  </m:sub>
                </m:sSub>
                <m:sSub>
                  <m:sSubPr>
                    <m:ctrlPr>
                      <w:rPr>
                        <w:rFonts w:ascii="Cambria Math" w:hAnsi="Cambria Math"/>
                        <w:i/>
                        <w:iCs/>
                      </w:rPr>
                    </m:ctrlPr>
                  </m:sSubPr>
                  <m:e>
                    <m:r>
                      <w:rPr>
                        <w:rFonts w:ascii="Cambria Math" w:hAnsi="Cambria Math"/>
                      </w:rPr>
                      <m:t>Pdens</m:t>
                    </m:r>
                    <m:r>
                      <w:rPr>
                        <w:rFonts w:ascii="Cambria Math" w:hAnsi="Cambria Math"/>
                      </w:rPr>
                      <m:t>*</m:t>
                    </m:r>
                    <m:r>
                      <w:rPr>
                        <w:rFonts w:ascii="Cambria Math" w:hAnsi="Cambria Math"/>
                      </w:rPr>
                      <m:t>dummy</m:t>
                    </m:r>
                  </m:e>
                  <m:sub>
                    <m:r>
                      <w:rPr>
                        <w:rFonts w:ascii="Cambria Math" w:hAnsi="Cambria Math"/>
                      </w:rPr>
                      <m:t>it</m:t>
                    </m:r>
                  </m:sub>
                </m:sSub>
                <m:r>
                  <w:rPr>
                    <w:rFonts w:ascii="Cambria Math" w:hAnsi="Cambria Math"/>
                  </w:rPr>
                  <m:t>+</m:t>
                </m:r>
                <m:sSub>
                  <m:sSubPr>
                    <m:ctrlPr>
                      <w:rPr>
                        <w:rFonts w:ascii="Cambria Math" w:hAnsi="Cambria Math"/>
                        <w:i/>
                        <w:iCs/>
                      </w:rPr>
                    </m:ctrlPr>
                  </m:sSubPr>
                  <m:e>
                    <m:r>
                      <w:rPr>
                        <w:rFonts w:ascii="Cambria Math" w:hAnsi="Cambria Math"/>
                        <w:lang w:val="el-GR"/>
                      </w:rPr>
                      <m:t>θ</m:t>
                    </m:r>
                  </m:e>
                  <m:sub>
                    <m:r>
                      <w:rPr>
                        <w:rFonts w:ascii="Cambria Math" w:hAnsi="Cambria Math"/>
                        <w:lang w:val="el-GR"/>
                      </w:rPr>
                      <m:t>ι</m:t>
                    </m:r>
                  </m:sub>
                </m:sSub>
                <m:r>
                  <w:rPr>
                    <w:rFonts w:ascii="Cambria Math" w:hAnsi="Cambria Math"/>
                  </w:rPr>
                  <m:t>+</m:t>
                </m:r>
                <m:sSub>
                  <m:sSubPr>
                    <m:ctrlPr>
                      <w:rPr>
                        <w:rFonts w:ascii="Cambria Math" w:hAnsi="Cambria Math"/>
                        <w:i/>
                        <w:iCs/>
                      </w:rPr>
                    </m:ctrlPr>
                  </m:sSubPr>
                  <m:e>
                    <m:r>
                      <w:rPr>
                        <w:rFonts w:ascii="Cambria Math" w:hAnsi="Cambria Math"/>
                        <w:lang w:val="el-GR"/>
                      </w:rPr>
                      <m:t>η</m:t>
                    </m:r>
                  </m:e>
                  <m:sub>
                    <m:r>
                      <w:rPr>
                        <w:rFonts w:ascii="Cambria Math" w:hAnsi="Cambria Math"/>
                        <w:lang w:val="el-GR"/>
                      </w:rPr>
                      <m:t>τ</m:t>
                    </m:r>
                  </m:sub>
                </m:sSub>
                <m:r>
                  <w:rPr>
                    <w:rFonts w:ascii="Cambria Math" w:hAnsi="Cambria Math"/>
                  </w:rPr>
                  <m:t>+</m:t>
                </m:r>
                <m:sSub>
                  <m:sSubPr>
                    <m:ctrlPr>
                      <w:rPr>
                        <w:rFonts w:ascii="Cambria Math" w:hAnsi="Cambria Math"/>
                        <w:i/>
                        <w:iCs/>
                      </w:rPr>
                    </m:ctrlPr>
                  </m:sSubPr>
                  <m:e>
                    <m:r>
                      <w:rPr>
                        <w:rFonts w:ascii="Cambria Math" w:hAnsi="Cambria Math"/>
                        <w:lang w:val="el-GR"/>
                      </w:rPr>
                      <m:t>ε</m:t>
                    </m:r>
                  </m:e>
                  <m:sub>
                    <m:r>
                      <w:rPr>
                        <w:rFonts w:ascii="Cambria Math" w:hAnsi="Cambria Math"/>
                      </w:rPr>
                      <m:t>it</m:t>
                    </m:r>
                  </m:sub>
                </m:sSub>
              </m:oMath>
            </m:oMathPara>
          </w:p>
        </w:tc>
        <w:tc>
          <w:tcPr>
            <w:tcW w:w="237" w:type="dxa"/>
            <w:vAlign w:val="center"/>
          </w:tcPr>
          <w:p w14:paraId="5FE53B09" w14:textId="7EE2D5E9" w:rsidR="00A533FC" w:rsidRDefault="00D761B9" w:rsidP="00A04EF0">
            <w:pPr>
              <w:jc w:val="center"/>
              <w:rPr>
                <w:rFonts w:ascii="Helvetica" w:eastAsia="Calibri" w:hAnsi="Helvetica" w:cs="Arial"/>
                <w:iCs/>
              </w:rPr>
            </w:pPr>
            <w:r>
              <w:rPr>
                <w:rFonts w:ascii="Helvetica" w:eastAsiaTheme="minorEastAsia" w:hAnsi="Helvetica"/>
                <w:iCs/>
              </w:rPr>
              <w:t>(1)</w:t>
            </w:r>
          </w:p>
        </w:tc>
      </w:tr>
    </w:tbl>
    <w:p w14:paraId="36B54DCB" w14:textId="7A8BC101" w:rsidR="00791AFF" w:rsidRPr="00A04EF0" w:rsidRDefault="00005D93" w:rsidP="00954FAC">
      <w:pPr>
        <w:rPr>
          <w:rFonts w:ascii="Helvetica" w:hAnsi="Helvetica"/>
        </w:rPr>
      </w:pPr>
      <w:r w:rsidRPr="00A04EF0">
        <w:rPr>
          <w:rFonts w:ascii="Helvetica" w:hAnsi="Helvetica"/>
          <w:iCs/>
        </w:rPr>
        <w:lastRenderedPageBreak/>
        <w:t xml:space="preserve">where </w:t>
      </w:r>
      <m:oMath>
        <m:sSub>
          <m:sSubPr>
            <m:ctrlPr>
              <w:rPr>
                <w:rFonts w:ascii="Cambria Math" w:hAnsi="Cambria Math"/>
                <w:i/>
                <w:iCs/>
              </w:rPr>
            </m:ctrlPr>
          </m:sSubPr>
          <m:e>
            <m:r>
              <m:rPr>
                <m:sty m:val="p"/>
              </m:rPr>
              <w:rPr>
                <w:rFonts w:ascii="Cambria Math" w:hAnsi="Cambria Math"/>
              </w:rPr>
              <m:t>ln⁡</m:t>
            </m:r>
            <m:r>
              <w:rPr>
                <w:rFonts w:ascii="Cambria Math" w:hAnsi="Cambria Math"/>
              </w:rPr>
              <m:t>(</m:t>
            </m:r>
            <m:f>
              <m:fPr>
                <m:ctrlPr>
                  <w:rPr>
                    <w:rFonts w:ascii="Cambria Math" w:hAnsi="Cambria Math"/>
                    <w:i/>
                    <w:iCs/>
                  </w:rPr>
                </m:ctrlPr>
              </m:fPr>
              <m:num>
                <m:r>
                  <w:rPr>
                    <w:rFonts w:ascii="Cambria Math" w:hAnsi="Cambria Math"/>
                  </w:rPr>
                  <m:t>CO2</m:t>
                </m:r>
              </m:num>
              <m:den>
                <m:r>
                  <w:rPr>
                    <w:rFonts w:ascii="Cambria Math" w:hAnsi="Cambria Math"/>
                  </w:rPr>
                  <m:t>GDP</m:t>
                </m:r>
              </m:den>
            </m:f>
            <m:r>
              <w:rPr>
                <w:rFonts w:ascii="Cambria Math" w:hAnsi="Cambria Math"/>
              </w:rPr>
              <m:t>)</m:t>
            </m:r>
          </m:e>
          <m:sub>
            <m:r>
              <w:rPr>
                <w:rFonts w:ascii="Cambria Math" w:hAnsi="Cambria Math"/>
              </w:rPr>
              <m:t>it</m:t>
            </m:r>
          </m:sub>
        </m:sSub>
      </m:oMath>
      <w:r w:rsidRPr="00A04EF0">
        <w:rPr>
          <w:rFonts w:ascii="Helvetica" w:hAnsi="Helvetica"/>
        </w:rPr>
        <w:t xml:space="preserve"> stands for the natural log of emissions intensity per country </w:t>
      </w:r>
      <w:r w:rsidRPr="00A04EF0">
        <w:rPr>
          <w:rFonts w:ascii="Helvetica" w:hAnsi="Helvetica"/>
          <w:i/>
          <w:iCs/>
        </w:rPr>
        <w:t>i</w:t>
      </w:r>
      <w:r w:rsidRPr="00A04EF0">
        <w:rPr>
          <w:rFonts w:ascii="Helvetica" w:hAnsi="Helvetica"/>
        </w:rPr>
        <w:t xml:space="preserve"> and year </w:t>
      </w:r>
      <w:r w:rsidRPr="00A04EF0">
        <w:rPr>
          <w:rFonts w:ascii="Helvetica" w:hAnsi="Helvetica"/>
          <w:i/>
          <w:iCs/>
        </w:rPr>
        <w:t>t</w:t>
      </w:r>
      <w:r w:rsidRPr="00A04EF0">
        <w:rPr>
          <w:rFonts w:ascii="Helvetica" w:hAnsi="Helvetica"/>
        </w:rPr>
        <w:t xml:space="preserve">; </w:t>
      </w:r>
      <m:oMath>
        <m:r>
          <w:rPr>
            <w:rFonts w:ascii="Cambria Math" w:hAnsi="Cambria Math"/>
            <w:lang w:val="el-GR"/>
          </w:rPr>
          <m:t>α</m:t>
        </m:r>
      </m:oMath>
      <w:r w:rsidRPr="00A04EF0">
        <w:rPr>
          <w:rFonts w:ascii="Helvetica" w:hAnsi="Helvetica"/>
        </w:rPr>
        <w:t xml:space="preserve"> is the constant parameter; </w:t>
      </w:r>
      <m:oMath>
        <m:sSubSup>
          <m:sSubSupPr>
            <m:ctrlPr>
              <w:rPr>
                <w:rFonts w:ascii="Cambria Math" w:hAnsi="Cambria Math"/>
                <w:i/>
                <w:iCs/>
              </w:rPr>
            </m:ctrlPr>
          </m:sSubSupPr>
          <m:e>
            <m:r>
              <w:rPr>
                <w:rFonts w:ascii="Cambria Math" w:hAnsi="Cambria Math"/>
              </w:rPr>
              <m:t>Pdens</m:t>
            </m:r>
          </m:e>
          <m:sub>
            <m:r>
              <w:rPr>
                <w:rFonts w:ascii="Cambria Math" w:hAnsi="Cambria Math"/>
              </w:rPr>
              <m:t>it</m:t>
            </m:r>
          </m:sub>
          <m:sup/>
        </m:sSubSup>
      </m:oMath>
      <w:r w:rsidRPr="00A04EF0">
        <w:rPr>
          <w:rFonts w:ascii="Helvetica" w:hAnsi="Helvetica"/>
        </w:rPr>
        <w:t xml:space="preserve"> is the total policy density measuring the cumulative number of climate policies per country </w:t>
      </w:r>
      <w:r w:rsidRPr="00A04EF0">
        <w:rPr>
          <w:rFonts w:ascii="Helvetica" w:hAnsi="Helvetica"/>
          <w:i/>
          <w:iCs/>
        </w:rPr>
        <w:t>i</w:t>
      </w:r>
      <w:r w:rsidRPr="00A04EF0">
        <w:rPr>
          <w:rFonts w:ascii="Helvetica" w:hAnsi="Helvetica"/>
        </w:rPr>
        <w:t xml:space="preserve"> for year </w:t>
      </w:r>
      <w:r w:rsidRPr="00A04EF0">
        <w:rPr>
          <w:rFonts w:ascii="Helvetica" w:hAnsi="Helvetica"/>
          <w:i/>
          <w:iCs/>
        </w:rPr>
        <w:t>t</w:t>
      </w:r>
      <w:r w:rsidRPr="00A04EF0">
        <w:rPr>
          <w:rFonts w:ascii="Helvetica" w:hAnsi="Helvetica"/>
        </w:rPr>
        <w:t xml:space="preserve">; </w:t>
      </w:r>
      <m:oMath>
        <m:sSub>
          <m:sSubPr>
            <m:ctrlPr>
              <w:rPr>
                <w:rFonts w:ascii="Cambria Math" w:hAnsi="Cambria Math"/>
                <w:i/>
                <w:iCs/>
              </w:rPr>
            </m:ctrlPr>
          </m:sSubPr>
          <m:e>
            <m:r>
              <w:rPr>
                <w:rFonts w:ascii="Cambria Math" w:hAnsi="Cambria Math"/>
                <w:lang w:val="el-GR"/>
              </w:rPr>
              <m:t>Χ</m:t>
            </m:r>
          </m:e>
          <m:sub>
            <m:r>
              <w:rPr>
                <w:rFonts w:ascii="Cambria Math" w:hAnsi="Cambria Math"/>
              </w:rPr>
              <m:t>it</m:t>
            </m:r>
          </m:sub>
        </m:sSub>
      </m:oMath>
      <w:r w:rsidRPr="00A04EF0">
        <w:rPr>
          <w:rFonts w:ascii="Helvetica" w:hAnsi="Helvetica"/>
        </w:rPr>
        <w:t xml:space="preserve"> stands for all controls;</w:t>
      </w:r>
      <w:r w:rsidRPr="00A04EF0">
        <w:rPr>
          <w:rFonts w:ascii="Helvetica" w:hAnsi="Helvetica"/>
          <w:i/>
          <w:iCs/>
        </w:rPr>
        <w:t xml:space="preserve"> </w:t>
      </w:r>
      <m:oMath>
        <m:sSub>
          <m:sSubPr>
            <m:ctrlPr>
              <w:rPr>
                <w:rFonts w:ascii="Cambria Math" w:hAnsi="Cambria Math"/>
                <w:i/>
                <w:iCs/>
              </w:rPr>
            </m:ctrlPr>
          </m:sSubPr>
          <m:e>
            <m:r>
              <w:rPr>
                <w:rFonts w:ascii="Cambria Math" w:hAnsi="Cambria Math"/>
              </w:rPr>
              <m:t>dummy</m:t>
            </m:r>
          </m:e>
          <m:sub>
            <m:r>
              <w:rPr>
                <w:rFonts w:ascii="Cambria Math" w:hAnsi="Cambria Math"/>
              </w:rPr>
              <m:t>it</m:t>
            </m:r>
          </m:sub>
        </m:sSub>
      </m:oMath>
      <w:r w:rsidRPr="00A04EF0">
        <w:rPr>
          <w:rFonts w:ascii="Helvetica" w:hAnsi="Helvetica"/>
        </w:rPr>
        <w:t xml:space="preserve"> accounts for the presence/absence of climate governance institutions; </w:t>
      </w:r>
      <m:oMath>
        <m:sSub>
          <m:sSubPr>
            <m:ctrlPr>
              <w:rPr>
                <w:rFonts w:ascii="Cambria Math" w:hAnsi="Cambria Math"/>
                <w:i/>
                <w:iCs/>
              </w:rPr>
            </m:ctrlPr>
          </m:sSubPr>
          <m:e>
            <m:r>
              <w:rPr>
                <w:rFonts w:ascii="Cambria Math" w:hAnsi="Cambria Math"/>
              </w:rPr>
              <m:t>Pdens*dummy</m:t>
            </m:r>
          </m:e>
          <m:sub>
            <m:r>
              <w:rPr>
                <w:rFonts w:ascii="Cambria Math" w:hAnsi="Cambria Math"/>
              </w:rPr>
              <m:t>it</m:t>
            </m:r>
          </m:sub>
        </m:sSub>
      </m:oMath>
      <w:r w:rsidRPr="00A04EF0">
        <w:rPr>
          <w:rFonts w:ascii="Helvetica" w:hAnsi="Helvetica"/>
          <w:iCs/>
        </w:rPr>
        <w:t xml:space="preserve"> </w:t>
      </w:r>
      <w:r w:rsidRPr="00A04EF0">
        <w:rPr>
          <w:rFonts w:ascii="Helvetica" w:hAnsi="Helvetica"/>
        </w:rPr>
        <w:t>is the interaction term between policy density and the dummy</w:t>
      </w:r>
      <w:r w:rsidRPr="00A04EF0">
        <w:rPr>
          <w:rFonts w:ascii="Helvetica" w:hAnsi="Helvetica"/>
          <w:iCs/>
        </w:rPr>
        <w:t>;</w:t>
      </w:r>
      <w:r w:rsidRPr="00A04EF0">
        <w:rPr>
          <w:rFonts w:ascii="Helvetica" w:hAnsi="Helvetica"/>
        </w:rPr>
        <w:t xml:space="preserve"> </w:t>
      </w:r>
      <m:oMath>
        <m:sSub>
          <m:sSubPr>
            <m:ctrlPr>
              <w:rPr>
                <w:rFonts w:ascii="Cambria Math" w:hAnsi="Cambria Math"/>
                <w:i/>
                <w:iCs/>
              </w:rPr>
            </m:ctrlPr>
          </m:sSubPr>
          <m:e>
            <m:r>
              <w:rPr>
                <w:rFonts w:ascii="Cambria Math" w:hAnsi="Cambria Math"/>
                <w:lang w:val="el-GR"/>
              </w:rPr>
              <m:t>θ</m:t>
            </m:r>
          </m:e>
          <m:sub>
            <m:r>
              <w:rPr>
                <w:rFonts w:ascii="Cambria Math" w:hAnsi="Cambria Math"/>
                <w:lang w:val="el-GR"/>
              </w:rPr>
              <m:t>ι</m:t>
            </m:r>
          </m:sub>
        </m:sSub>
      </m:oMath>
      <w:r w:rsidRPr="00A04EF0">
        <w:rPr>
          <w:rFonts w:ascii="Helvetica" w:hAnsi="Helvetica"/>
        </w:rPr>
        <w:t xml:space="preserve"> are the country fixed effects; </w:t>
      </w:r>
      <m:oMath>
        <m:sSub>
          <m:sSubPr>
            <m:ctrlPr>
              <w:rPr>
                <w:rFonts w:ascii="Cambria Math" w:hAnsi="Cambria Math"/>
                <w:i/>
                <w:iCs/>
              </w:rPr>
            </m:ctrlPr>
          </m:sSubPr>
          <m:e>
            <m:r>
              <w:rPr>
                <w:rFonts w:ascii="Cambria Math" w:hAnsi="Cambria Math"/>
                <w:lang w:val="el-GR"/>
              </w:rPr>
              <m:t>η</m:t>
            </m:r>
          </m:e>
          <m:sub>
            <m:r>
              <w:rPr>
                <w:rFonts w:ascii="Cambria Math" w:hAnsi="Cambria Math"/>
                <w:lang w:val="el-GR"/>
              </w:rPr>
              <m:t>τ</m:t>
            </m:r>
          </m:sub>
        </m:sSub>
      </m:oMath>
      <w:r w:rsidRPr="00A04EF0">
        <w:rPr>
          <w:rFonts w:ascii="Helvetica" w:hAnsi="Helvetica"/>
        </w:rPr>
        <w:t xml:space="preserve"> are year fixed effects; and </w:t>
      </w:r>
      <m:oMath>
        <m:sSub>
          <m:sSubPr>
            <m:ctrlPr>
              <w:rPr>
                <w:rFonts w:ascii="Cambria Math" w:hAnsi="Cambria Math"/>
                <w:i/>
                <w:iCs/>
              </w:rPr>
            </m:ctrlPr>
          </m:sSubPr>
          <m:e>
            <m:r>
              <w:rPr>
                <w:rFonts w:ascii="Cambria Math" w:hAnsi="Cambria Math"/>
                <w:lang w:val="el-GR"/>
              </w:rPr>
              <m:t>ε</m:t>
            </m:r>
          </m:e>
          <m:sub>
            <m:r>
              <w:rPr>
                <w:rFonts w:ascii="Cambria Math" w:hAnsi="Cambria Math"/>
              </w:rPr>
              <m:t>it</m:t>
            </m:r>
          </m:sub>
        </m:sSub>
      </m:oMath>
      <w:r w:rsidRPr="00A04EF0">
        <w:rPr>
          <w:rFonts w:ascii="Helvetica" w:hAnsi="Helvetica"/>
        </w:rPr>
        <w:t xml:space="preserve"> are the residuals that are independent and identically distributed (i.i.d.).</w:t>
      </w:r>
    </w:p>
    <w:p w14:paraId="2E25714B" w14:textId="721A67C5" w:rsidR="00791AFF" w:rsidRPr="00A04EF0" w:rsidRDefault="00005D93" w:rsidP="00954FAC">
      <w:pPr>
        <w:rPr>
          <w:rFonts w:ascii="Helvetica" w:hAnsi="Helvetica"/>
          <w:iCs/>
        </w:rPr>
      </w:pPr>
      <w:r w:rsidRPr="00A04EF0">
        <w:rPr>
          <w:rFonts w:ascii="Helvetica" w:hAnsi="Helvetica"/>
          <w:iCs/>
        </w:rPr>
        <w:t xml:space="preserve">The coefficients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oMath>
      <w:r w:rsidRPr="00A04EF0">
        <w:rPr>
          <w:rFonts w:ascii="Helvetica" w:hAnsi="Helvetica"/>
          <w:iCs/>
        </w:rPr>
        <w:t xml:space="preserve"> and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Pr="00A04EF0">
        <w:rPr>
          <w:rFonts w:ascii="Helvetica" w:hAnsi="Helvetica"/>
          <w:iCs/>
        </w:rPr>
        <w:t xml:space="preserve"> represent the intercept and slope parameters, respectively, for the effect of total policy density on emissions intensity when dummy=1, while </w:t>
      </w:r>
      <m:oMath>
        <m:r>
          <w:rPr>
            <w:rFonts w:ascii="Cambria Math" w:hAnsi="Cambria Math"/>
            <w:lang w:val="el-GR"/>
          </w:rPr>
          <m:t>α</m:t>
        </m:r>
      </m:oMath>
      <w:r w:rsidRPr="00A04EF0">
        <w:rPr>
          <w:rFonts w:ascii="Helvetica" w:hAnsi="Helvetica"/>
        </w:rPr>
        <w:t xml:space="preserve"> and </w:t>
      </w:r>
      <m:oMath>
        <m:sSub>
          <m:sSubPr>
            <m:ctrlPr>
              <w:rPr>
                <w:rFonts w:ascii="Cambria Math" w:hAnsi="Cambria Math"/>
                <w:i/>
                <w:iCs/>
              </w:rPr>
            </m:ctrlPr>
          </m:sSubPr>
          <m:e>
            <m:r>
              <w:rPr>
                <w:rFonts w:ascii="Cambria Math" w:hAnsi="Cambria Math"/>
                <w:lang w:val="el-GR"/>
              </w:rPr>
              <m:t>β</m:t>
            </m:r>
          </m:e>
          <m:sub>
            <m:r>
              <w:rPr>
                <w:rFonts w:ascii="Cambria Math" w:hAnsi="Cambria Math"/>
              </w:rPr>
              <m:t>1</m:t>
            </m:r>
          </m:sub>
        </m:sSub>
      </m:oMath>
      <w:r w:rsidRPr="00A04EF0">
        <w:rPr>
          <w:rFonts w:ascii="Helvetica" w:hAnsi="Helvetica"/>
          <w:iCs/>
        </w:rPr>
        <w:t xml:space="preserve"> represent the intercept and slope parameters for the effect of policy density on emissions intensity when dummy=0. More specifically, the coefficient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oMath>
      <w:r w:rsidRPr="00A04EF0">
        <w:rPr>
          <w:rFonts w:ascii="Helvetica" w:hAnsi="Helvetica"/>
          <w:iCs/>
        </w:rPr>
        <w:t xml:space="preserve"> captures the emission intensity differential, when total policy density is equal to 0, between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dummy=0 and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dummy=1. The c</w:t>
      </w:r>
      <w:r w:rsidRPr="00A04EF0">
        <w:rPr>
          <w:rFonts w:ascii="Helvetica" w:hAnsi="Helvetica"/>
        </w:rPr>
        <w:t xml:space="preserve">oefficient </w:t>
      </w:r>
      <m:oMath>
        <m:sSub>
          <m:sSubPr>
            <m:ctrlPr>
              <w:rPr>
                <w:rFonts w:ascii="Cambria Math" w:hAnsi="Cambria Math"/>
                <w:i/>
                <w:iCs/>
              </w:rPr>
            </m:ctrlPr>
          </m:sSubPr>
          <m:e>
            <m:r>
              <w:rPr>
                <w:rFonts w:ascii="Cambria Math" w:hAnsi="Cambria Math"/>
                <w:lang w:val="el-GR"/>
              </w:rPr>
              <m:t>β</m:t>
            </m:r>
          </m:e>
          <m:sub>
            <m:r>
              <w:rPr>
                <w:rFonts w:ascii="Cambria Math" w:hAnsi="Cambria Math"/>
              </w:rPr>
              <m:t>1</m:t>
            </m:r>
          </m:sub>
        </m:sSub>
      </m:oMath>
      <w:r w:rsidRPr="00A04EF0">
        <w:rPr>
          <w:rFonts w:ascii="Helvetica" w:hAnsi="Helvetica"/>
          <w:iCs/>
        </w:rPr>
        <w:t xml:space="preserve"> measures the effect of total policy density on historical emissions intensity when dummy=0, while the coefficient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Pr="00A04EF0">
        <w:rPr>
          <w:rFonts w:ascii="Helvetica" w:hAnsi="Helvetica"/>
          <w:iCs/>
        </w:rPr>
        <w:t xml:space="preserve"> (interaction term) measures the difference in the effect of total policy density on emission intensity between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dummy=1 and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dummy=0. Therefore, the overall estimated effect of total policy density on historical emissions intensity when dummy=1 can be acquired by summing coefficients </w:t>
      </w:r>
      <m:oMath>
        <m:sSub>
          <m:sSubPr>
            <m:ctrlPr>
              <w:rPr>
                <w:rFonts w:ascii="Cambria Math" w:hAnsi="Cambria Math"/>
                <w:i/>
                <w:iCs/>
              </w:rPr>
            </m:ctrlPr>
          </m:sSubPr>
          <m:e>
            <m:r>
              <w:rPr>
                <w:rFonts w:ascii="Cambria Math" w:hAnsi="Cambria Math"/>
                <w:lang w:val="el-GR"/>
              </w:rPr>
              <m:t>β</m:t>
            </m:r>
          </m:e>
          <m:sub>
            <m:r>
              <w:rPr>
                <w:rFonts w:ascii="Cambria Math" w:hAnsi="Cambria Math"/>
              </w:rPr>
              <m:t>1</m:t>
            </m:r>
          </m:sub>
        </m:sSub>
      </m:oMath>
      <w:r w:rsidRPr="00A04EF0">
        <w:rPr>
          <w:rFonts w:ascii="Helvetica" w:hAnsi="Helvetica"/>
          <w:iCs/>
        </w:rPr>
        <w:t xml:space="preserve"> and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Pr="00A04EF0">
        <w:rPr>
          <w:rFonts w:ascii="Helvetica" w:hAnsi="Helvetica"/>
          <w:iCs/>
        </w:rPr>
        <w:t xml:space="preserve"> (on the condition that both coefficients reject the null hypothesis).</w:t>
      </w:r>
    </w:p>
    <w:p w14:paraId="20CDBF25" w14:textId="70421CDA" w:rsidR="00791AFF" w:rsidRPr="00A04EF0" w:rsidRDefault="00005D93" w:rsidP="00954FAC">
      <w:pPr>
        <w:rPr>
          <w:rFonts w:ascii="Helvetica" w:hAnsi="Helvetica"/>
          <w:iCs/>
        </w:rPr>
      </w:pPr>
      <w:r w:rsidRPr="00A04EF0">
        <w:rPr>
          <w:rFonts w:ascii="Helvetica" w:hAnsi="Helvetica"/>
          <w:iCs/>
        </w:rPr>
        <w:t xml:space="preserve">If the coefficient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Pr="00A04EF0">
        <w:rPr>
          <w:rFonts w:ascii="Helvetica" w:hAnsi="Helvetica"/>
          <w:iCs/>
        </w:rPr>
        <w:t xml:space="preserve"> of the interaction term does not reject the null hypothesis</w:t>
      </w:r>
      <w:r w:rsidR="00791AFF" w:rsidRPr="00A04EF0">
        <w:rPr>
          <w:rFonts w:ascii="Helvetica" w:hAnsi="Helvetica"/>
          <w:iCs/>
        </w:rPr>
        <w:t xml:space="preserve"> but</w:t>
      </w:r>
      <w:r w:rsidRPr="00A04EF0">
        <w:rPr>
          <w:rFonts w:ascii="Helvetica" w:hAnsi="Helvetica"/>
          <w:iCs/>
        </w:rPr>
        <w:t xml:space="preserve"> the joint hypothesis (</w:t>
      </w:r>
      <w:r w:rsidRPr="00A04EF0">
        <w:rPr>
          <w:rFonts w:ascii="Helvetica" w:hAnsi="Helvetica"/>
          <w:i/>
        </w:rPr>
        <w:t>F</w:t>
      </w:r>
      <w:r w:rsidRPr="00A04EF0">
        <w:rPr>
          <w:rFonts w:ascii="Helvetica" w:hAnsi="Helvetica"/>
          <w:iCs/>
        </w:rPr>
        <w:t xml:space="preserve"> test with H</w:t>
      </w:r>
      <w:r w:rsidRPr="00A04EF0">
        <w:rPr>
          <w:rFonts w:ascii="Helvetica" w:hAnsi="Helvetica"/>
          <w:iCs/>
          <w:vertAlign w:val="subscript"/>
        </w:rPr>
        <w:t>0</w:t>
      </w:r>
      <w:r w:rsidRPr="00A04EF0">
        <w:rPr>
          <w:rFonts w:ascii="Helvetica" w:hAnsi="Helvetica"/>
          <w:iCs/>
        </w:rPr>
        <w:t>:</w:t>
      </w:r>
      <w:r w:rsidRPr="00A04EF0">
        <w:rPr>
          <w:rFonts w:ascii="Helvetica" w:hAnsi="Helvetica"/>
          <w:i/>
          <w:iCs/>
        </w:rPr>
        <w:t xml:space="preserve">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r>
          <w:rPr>
            <w:rFonts w:ascii="Cambria Math" w:hAnsi="Cambria Math"/>
          </w:rPr>
          <m:t>=0</m:t>
        </m:r>
      </m:oMath>
      <w:r w:rsidRPr="00A04EF0">
        <w:rPr>
          <w:rFonts w:ascii="Helvetica" w:hAnsi="Helvetica"/>
          <w:iCs/>
        </w:rPr>
        <w:t xml:space="preserve"> and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r>
          <w:rPr>
            <w:rFonts w:ascii="Cambria Math" w:hAnsi="Cambria Math"/>
          </w:rPr>
          <m:t>=0</m:t>
        </m:r>
      </m:oMath>
      <w:r w:rsidRPr="00A04EF0">
        <w:rPr>
          <w:rFonts w:ascii="Helvetica" w:hAnsi="Helvetica"/>
          <w:iCs/>
        </w:rPr>
        <w:t xml:space="preserve">) </w:t>
      </w:r>
      <w:r w:rsidR="00791AFF" w:rsidRPr="00A04EF0">
        <w:rPr>
          <w:rFonts w:ascii="Helvetica" w:hAnsi="Helvetica"/>
          <w:iCs/>
        </w:rPr>
        <w:t xml:space="preserve">does </w:t>
      </w:r>
      <w:r w:rsidRPr="00A04EF0">
        <w:rPr>
          <w:rFonts w:ascii="Helvetica" w:hAnsi="Helvetica"/>
          <w:iCs/>
        </w:rPr>
        <w:t>reject the null, then the two slope terms (</w:t>
      </w:r>
      <m:oMath>
        <m:sSub>
          <m:sSubPr>
            <m:ctrlPr>
              <w:rPr>
                <w:rFonts w:ascii="Cambria Math" w:hAnsi="Cambria Math"/>
                <w:i/>
                <w:iCs/>
              </w:rPr>
            </m:ctrlPr>
          </m:sSubPr>
          <m:e>
            <m:r>
              <w:rPr>
                <w:rFonts w:ascii="Cambria Math" w:hAnsi="Cambria Math"/>
                <w:lang w:val="el-GR"/>
              </w:rPr>
              <m:t>β</m:t>
            </m:r>
          </m:e>
          <m:sub>
            <m:r>
              <w:rPr>
                <w:rFonts w:ascii="Cambria Math" w:hAnsi="Cambria Math"/>
              </w:rPr>
              <m:t>1</m:t>
            </m:r>
          </m:sub>
        </m:sSub>
      </m:oMath>
      <w:r w:rsidRPr="00A04EF0">
        <w:rPr>
          <w:rFonts w:ascii="Helvetica" w:hAnsi="Helvetica"/>
          <w:iCs/>
        </w:rPr>
        <w:t xml:space="preserve"> and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Pr="00A04EF0">
        <w:rPr>
          <w:rFonts w:ascii="Helvetica" w:hAnsi="Helvetica"/>
          <w:iCs/>
        </w:rPr>
        <w:t xml:space="preserve">) are effectively parallel to each other, and constantly differ by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oMath>
      <w:r w:rsidRPr="00A04EF0">
        <w:rPr>
          <w:rFonts w:ascii="Helvetica" w:hAnsi="Helvetica"/>
          <w:iCs/>
        </w:rPr>
        <w:t>.</w:t>
      </w:r>
      <w:r w:rsidR="00791AFF" w:rsidRPr="00A04EF0">
        <w:rPr>
          <w:rFonts w:ascii="Helvetica" w:hAnsi="Helvetica"/>
          <w:iCs/>
        </w:rPr>
        <w:t xml:space="preserve"> </w:t>
      </w:r>
      <w:r w:rsidRPr="00A04EF0">
        <w:rPr>
          <w:rFonts w:ascii="Helvetica" w:hAnsi="Helvetica"/>
          <w:iCs/>
        </w:rPr>
        <w:t xml:space="preserve">This essentially indicates no difference in the effect of policy density between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dummy=1 and </w:t>
      </w:r>
      <w:r w:rsidRPr="00A04EF0">
        <w:rPr>
          <w:rFonts w:ascii="Helvetica" w:hAnsi="Helvetica"/>
          <w:i/>
          <w:iCs/>
        </w:rPr>
        <w:t>i</w:t>
      </w:r>
      <w:r w:rsidRPr="00A04EF0">
        <w:rPr>
          <w:rFonts w:ascii="Helvetica" w:hAnsi="Helvetica"/>
        </w:rPr>
        <w:t xml:space="preserve"> and </w:t>
      </w:r>
      <w:r w:rsidRPr="00A04EF0">
        <w:rPr>
          <w:rFonts w:ascii="Helvetica" w:hAnsi="Helvetica"/>
          <w:i/>
          <w:iCs/>
        </w:rPr>
        <w:t>t</w:t>
      </w:r>
      <w:r w:rsidRPr="00A04EF0">
        <w:rPr>
          <w:rFonts w:ascii="Helvetica" w:hAnsi="Helvetica"/>
          <w:iCs/>
        </w:rPr>
        <w:t xml:space="preserve"> whe</w:t>
      </w:r>
      <w:r w:rsidR="00791AFF" w:rsidRPr="00A04EF0">
        <w:rPr>
          <w:rFonts w:ascii="Helvetica" w:hAnsi="Helvetica"/>
          <w:iCs/>
        </w:rPr>
        <w:t>n</w:t>
      </w:r>
      <w:r w:rsidRPr="00A04EF0">
        <w:rPr>
          <w:rFonts w:ascii="Helvetica" w:hAnsi="Helvetica"/>
          <w:iCs/>
        </w:rPr>
        <w:t xml:space="preserve"> dummy=0, except </w:t>
      </w:r>
      <w:r w:rsidR="00791AFF" w:rsidRPr="00A04EF0">
        <w:rPr>
          <w:rFonts w:ascii="Helvetica" w:hAnsi="Helvetica"/>
          <w:iCs/>
        </w:rPr>
        <w:t xml:space="preserve">in </w:t>
      </w:r>
      <w:r w:rsidRPr="00A04EF0">
        <w:rPr>
          <w:rFonts w:ascii="Helvetica" w:hAnsi="Helvetica"/>
          <w:iCs/>
        </w:rPr>
        <w:t xml:space="preserve">the case that total policy density=0 (in which case they differ by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oMath>
      <w:r w:rsidRPr="00A04EF0">
        <w:rPr>
          <w:rFonts w:ascii="Helvetica" w:hAnsi="Helvetica"/>
          <w:iCs/>
        </w:rPr>
        <w:t>). However, this case has no practical meaning in our analysis as we are interested in the difference in the effect of total policy density when climate policies exist.</w:t>
      </w:r>
    </w:p>
    <w:p w14:paraId="5084E1D8" w14:textId="5E783E2B" w:rsidR="00D10BBD" w:rsidRPr="00A04EF0" w:rsidRDefault="00264A57" w:rsidP="00E8118A">
      <w:pPr>
        <w:rPr>
          <w:rFonts w:ascii="Helvetica" w:hAnsi="Helvetica"/>
          <w:iCs/>
        </w:rPr>
      </w:pPr>
      <w:r>
        <w:rPr>
          <w:rFonts w:ascii="Helvetica" w:hAnsi="Helvetica"/>
          <w:iCs/>
        </w:rPr>
        <w:t>I</w:t>
      </w:r>
      <w:r w:rsidR="00005D93" w:rsidRPr="00A04EF0">
        <w:rPr>
          <w:rFonts w:ascii="Helvetica" w:hAnsi="Helvetica"/>
          <w:iCs/>
        </w:rPr>
        <w:t xml:space="preserve">f both </w:t>
      </w:r>
      <m:oMath>
        <m:sSub>
          <m:sSubPr>
            <m:ctrlPr>
              <w:rPr>
                <w:rFonts w:ascii="Cambria Math" w:hAnsi="Cambria Math"/>
                <w:i/>
                <w:iCs/>
              </w:rPr>
            </m:ctrlPr>
          </m:sSubPr>
          <m:e>
            <m:r>
              <w:rPr>
                <w:rFonts w:ascii="Cambria Math" w:hAnsi="Cambria Math"/>
                <w:lang w:val="el-GR"/>
              </w:rPr>
              <m:t>δ</m:t>
            </m:r>
          </m:e>
          <m:sub>
            <m:r>
              <w:rPr>
                <w:rFonts w:ascii="Cambria Math" w:hAnsi="Cambria Math"/>
              </w:rPr>
              <m:t>0</m:t>
            </m:r>
          </m:sub>
        </m:sSub>
      </m:oMath>
      <w:r w:rsidR="00005D93" w:rsidRPr="00A04EF0">
        <w:rPr>
          <w:rFonts w:ascii="Helvetica" w:hAnsi="Helvetica"/>
          <w:iCs/>
        </w:rPr>
        <w:t xml:space="preserve"> and </w:t>
      </w:r>
      <m:oMath>
        <m:sSub>
          <m:sSubPr>
            <m:ctrlPr>
              <w:rPr>
                <w:rFonts w:ascii="Cambria Math" w:hAnsi="Cambria Math"/>
                <w:i/>
                <w:iCs/>
              </w:rPr>
            </m:ctrlPr>
          </m:sSubPr>
          <m:e>
            <m:r>
              <w:rPr>
                <w:rFonts w:ascii="Cambria Math" w:hAnsi="Cambria Math"/>
                <w:lang w:val="el-GR"/>
              </w:rPr>
              <m:t>δ</m:t>
            </m:r>
          </m:e>
          <m:sub>
            <m:r>
              <w:rPr>
                <w:rFonts w:ascii="Cambria Math" w:hAnsi="Cambria Math"/>
              </w:rPr>
              <m:t>1</m:t>
            </m:r>
          </m:sub>
        </m:sSub>
      </m:oMath>
      <w:r w:rsidR="00005D93" w:rsidRPr="00A04EF0">
        <w:rPr>
          <w:rFonts w:ascii="Helvetica" w:hAnsi="Helvetica"/>
          <w:iCs/>
        </w:rPr>
        <w:t xml:space="preserve"> parameters are zero (this holds if we cannot reject the null hypothesis of the joint </w:t>
      </w:r>
      <w:r w:rsidR="00005D93" w:rsidRPr="00A04EF0">
        <w:rPr>
          <w:rFonts w:ascii="Helvetica" w:hAnsi="Helvetica"/>
          <w:i/>
        </w:rPr>
        <w:t>F</w:t>
      </w:r>
      <w:r w:rsidR="00005D93" w:rsidRPr="00A04EF0">
        <w:rPr>
          <w:rFonts w:ascii="Helvetica" w:hAnsi="Helvetica"/>
          <w:iCs/>
        </w:rPr>
        <w:t xml:space="preserve"> test), then the coefficient </w:t>
      </w:r>
      <m:oMath>
        <m:sSub>
          <m:sSubPr>
            <m:ctrlPr>
              <w:rPr>
                <w:rFonts w:ascii="Cambria Math" w:hAnsi="Cambria Math"/>
                <w:i/>
                <w:iCs/>
              </w:rPr>
            </m:ctrlPr>
          </m:sSubPr>
          <m:e>
            <m:r>
              <w:rPr>
                <w:rFonts w:ascii="Cambria Math" w:hAnsi="Cambria Math"/>
                <w:lang w:val="el-GR"/>
              </w:rPr>
              <m:t>β</m:t>
            </m:r>
          </m:e>
          <m:sub>
            <m:r>
              <w:rPr>
                <w:rFonts w:ascii="Cambria Math" w:hAnsi="Cambria Math"/>
              </w:rPr>
              <m:t>1</m:t>
            </m:r>
          </m:sub>
        </m:sSub>
      </m:oMath>
      <w:r w:rsidR="00005D93" w:rsidRPr="00A04EF0">
        <w:rPr>
          <w:rFonts w:ascii="Helvetica" w:hAnsi="Helvetica"/>
          <w:iCs/>
        </w:rPr>
        <w:t xml:space="preserve"> captures the effect of total policy density on emissions intensity for all cases. This means that the effect of total policy density on emissions intensity reduction is identical between </w:t>
      </w:r>
      <w:r w:rsidR="00005D93" w:rsidRPr="00A04EF0">
        <w:rPr>
          <w:rFonts w:ascii="Helvetica" w:hAnsi="Helvetica"/>
          <w:i/>
          <w:iCs/>
        </w:rPr>
        <w:t>i</w:t>
      </w:r>
      <w:r w:rsidR="00005D93" w:rsidRPr="00A04EF0">
        <w:rPr>
          <w:rFonts w:ascii="Helvetica" w:hAnsi="Helvetica"/>
        </w:rPr>
        <w:t xml:space="preserve"> and </w:t>
      </w:r>
      <w:r w:rsidR="00005D93" w:rsidRPr="00A04EF0">
        <w:rPr>
          <w:rFonts w:ascii="Helvetica" w:hAnsi="Helvetica"/>
          <w:i/>
          <w:iCs/>
        </w:rPr>
        <w:t>t</w:t>
      </w:r>
      <w:r w:rsidR="00005D93" w:rsidRPr="00A04EF0">
        <w:rPr>
          <w:rFonts w:ascii="Helvetica" w:hAnsi="Helvetica"/>
          <w:iCs/>
        </w:rPr>
        <w:t xml:space="preserve"> whe</w:t>
      </w:r>
      <w:r w:rsidR="00791AFF" w:rsidRPr="00A04EF0">
        <w:rPr>
          <w:rFonts w:ascii="Helvetica" w:hAnsi="Helvetica"/>
          <w:iCs/>
        </w:rPr>
        <w:t>n</w:t>
      </w:r>
      <w:r w:rsidR="00005D93" w:rsidRPr="00A04EF0">
        <w:rPr>
          <w:rFonts w:ascii="Helvetica" w:hAnsi="Helvetica"/>
          <w:iCs/>
        </w:rPr>
        <w:t xml:space="preserve"> dummy=1 and </w:t>
      </w:r>
      <w:r w:rsidR="00005D93" w:rsidRPr="00A04EF0">
        <w:rPr>
          <w:rFonts w:ascii="Helvetica" w:hAnsi="Helvetica"/>
          <w:i/>
          <w:iCs/>
        </w:rPr>
        <w:t>i</w:t>
      </w:r>
      <w:r w:rsidR="00005D93" w:rsidRPr="00A04EF0">
        <w:rPr>
          <w:rFonts w:ascii="Helvetica" w:hAnsi="Helvetica"/>
        </w:rPr>
        <w:t xml:space="preserve"> and </w:t>
      </w:r>
      <w:r w:rsidR="00005D93" w:rsidRPr="00A04EF0">
        <w:rPr>
          <w:rFonts w:ascii="Helvetica" w:hAnsi="Helvetica"/>
          <w:i/>
          <w:iCs/>
        </w:rPr>
        <w:t>t</w:t>
      </w:r>
      <w:r w:rsidR="00005D93" w:rsidRPr="00A04EF0">
        <w:rPr>
          <w:rFonts w:ascii="Helvetica" w:hAnsi="Helvetica"/>
          <w:iCs/>
        </w:rPr>
        <w:t xml:space="preserve"> whe</w:t>
      </w:r>
      <w:r w:rsidR="00791AFF" w:rsidRPr="00A04EF0">
        <w:rPr>
          <w:rFonts w:ascii="Helvetica" w:hAnsi="Helvetica"/>
          <w:iCs/>
        </w:rPr>
        <w:t>n</w:t>
      </w:r>
      <w:r w:rsidR="00005D93" w:rsidRPr="00A04EF0">
        <w:rPr>
          <w:rFonts w:ascii="Helvetica" w:hAnsi="Helvetica"/>
          <w:iCs/>
        </w:rPr>
        <w:t xml:space="preserve"> dummy=0.</w:t>
      </w:r>
    </w:p>
    <w:p w14:paraId="041BA9DE" w14:textId="372DF243" w:rsidR="00DA5961" w:rsidRDefault="00264A57">
      <w:pPr>
        <w:rPr>
          <w:rFonts w:ascii="Helvetica" w:eastAsia="Times New Roman" w:hAnsi="Helvetica" w:cs="Helvetica"/>
        </w:rPr>
      </w:pPr>
      <w:r w:rsidRPr="00A04EF0">
        <w:rPr>
          <w:rFonts w:ascii="Helvetica" w:eastAsia="Times New Roman" w:hAnsi="Helvetica" w:cs="Helvetica"/>
        </w:rPr>
        <w:t>Finally, focusing on the interpretation of the regression model coefficients, in our base model (</w:t>
      </w:r>
      <w:r w:rsidR="00DA5961">
        <w:rPr>
          <w:rFonts w:ascii="Helvetica" w:eastAsia="Times New Roman" w:hAnsi="Helvetica" w:cs="Helvetica"/>
        </w:rPr>
        <w:t xml:space="preserve">column 1, </w:t>
      </w:r>
      <w:r w:rsidR="00D23C25">
        <w:rPr>
          <w:rFonts w:ascii="Helvetica" w:eastAsia="Times New Roman" w:hAnsi="Helvetica" w:cs="Helvetica"/>
        </w:rPr>
        <w:t xml:space="preserve">Table </w:t>
      </w:r>
      <w:r w:rsidR="00DA5961">
        <w:rPr>
          <w:rFonts w:ascii="Helvetica" w:eastAsia="Times New Roman" w:hAnsi="Helvetica" w:cs="Helvetica"/>
        </w:rPr>
        <w:t>2 in main text</w:t>
      </w:r>
      <w:r w:rsidRPr="00A04EF0">
        <w:rPr>
          <w:rFonts w:ascii="Helvetica" w:eastAsia="Times New Roman" w:hAnsi="Helvetica" w:cs="Helvetica"/>
        </w:rPr>
        <w:t xml:space="preserve">) </w:t>
      </w:r>
      <w:r w:rsidR="00954B57">
        <w:rPr>
          <w:rFonts w:ascii="Helvetica" w:eastAsia="Times New Roman" w:hAnsi="Helvetica" w:cs="Helvetica"/>
        </w:rPr>
        <w:t xml:space="preserve">the </w:t>
      </w:r>
      <w:r w:rsidRPr="00A04EF0">
        <w:rPr>
          <w:rFonts w:ascii="Helvetica" w:eastAsia="Times New Roman" w:hAnsi="Helvetica" w:cs="Helvetica"/>
        </w:rPr>
        <w:t xml:space="preserve">coefficient for policy density </w:t>
      </w:r>
      <w:r w:rsidR="00954B57">
        <w:rPr>
          <w:rFonts w:ascii="Helvetica" w:eastAsia="Times New Roman" w:hAnsi="Helvetica" w:cs="Helvetica"/>
        </w:rPr>
        <w:t>is equal to</w:t>
      </w:r>
      <w:r w:rsidRPr="00A04EF0">
        <w:rPr>
          <w:rFonts w:ascii="Helvetica" w:eastAsia="Times New Roman" w:hAnsi="Helvetica" w:cs="Helvetica"/>
        </w:rPr>
        <w:t xml:space="preserve"> -0.0004</w:t>
      </w:r>
      <w:r w:rsidR="00D23C25">
        <w:rPr>
          <w:rFonts w:ascii="Helvetica" w:eastAsia="Times New Roman" w:hAnsi="Helvetica" w:cs="Helvetica"/>
        </w:rPr>
        <w:t>61</w:t>
      </w:r>
      <w:r w:rsidR="00A156CB" w:rsidRPr="00A04EF0">
        <w:rPr>
          <w:rFonts w:ascii="Helvetica" w:eastAsia="Times New Roman" w:hAnsi="Helvetica" w:cs="Helvetica"/>
        </w:rPr>
        <w:t>. This is</w:t>
      </w:r>
      <w:r w:rsidRPr="00A04EF0">
        <w:rPr>
          <w:rFonts w:ascii="Helvetica" w:eastAsia="Times New Roman" w:hAnsi="Helvetica" w:cs="Helvetica"/>
        </w:rPr>
        <w:t xml:space="preserve"> an order o</w:t>
      </w:r>
      <w:r w:rsidR="00DA5961">
        <w:rPr>
          <w:rFonts w:ascii="Helvetica" w:eastAsia="Times New Roman" w:hAnsi="Helvetica" w:cs="Helvetica"/>
        </w:rPr>
        <w:t>f</w:t>
      </w:r>
      <w:r w:rsidRPr="00A04EF0">
        <w:rPr>
          <w:rFonts w:ascii="Helvetica" w:eastAsia="Times New Roman" w:hAnsi="Helvetica" w:cs="Helvetica"/>
        </w:rPr>
        <w:t xml:space="preserve"> magnitude smaller </w:t>
      </w:r>
      <w:r w:rsidR="00954B57">
        <w:rPr>
          <w:rFonts w:ascii="Helvetica" w:eastAsia="Times New Roman" w:hAnsi="Helvetica" w:cs="Helvetica"/>
        </w:rPr>
        <w:t>t</w:t>
      </w:r>
      <w:r w:rsidR="00DA5961">
        <w:rPr>
          <w:rFonts w:ascii="Helvetica" w:eastAsia="Times New Roman" w:hAnsi="Helvetica" w:cs="Helvetica"/>
        </w:rPr>
        <w:t xml:space="preserve">han </w:t>
      </w:r>
      <w:r w:rsidRPr="00A04EF0">
        <w:rPr>
          <w:rFonts w:ascii="Helvetica" w:eastAsia="Times New Roman" w:hAnsi="Helvetica" w:cs="Helvetica"/>
        </w:rPr>
        <w:t xml:space="preserve">in </w:t>
      </w:r>
      <w:bookmarkStart w:id="41" w:name="_Hlk166760687"/>
      <w:r w:rsidR="00A156CB" w:rsidRPr="00A156CB">
        <w:rPr>
          <w:rFonts w:ascii="Helvetica" w:hAnsi="Helvetica" w:cs="Helvetica"/>
          <w:color w:val="000000" w:themeColor="text1"/>
        </w:rPr>
        <w:fldChar w:fldCharType="begin"/>
      </w:r>
      <w:r w:rsidR="00DA5961">
        <w:rPr>
          <w:rFonts w:ascii="Helvetica" w:hAnsi="Helvetica" w:cs="Helvetica"/>
          <w:color w:val="000000" w:themeColor="text1"/>
        </w:rPr>
        <w:instrText xml:space="preserve"> ADDIN EN.CITE &lt;EndNote&gt;&lt;Cite AuthorYear="1"&gt;&lt;Author&gt;Eskander&lt;/Author&gt;&lt;Year&gt;2020&lt;/Year&gt;&lt;RecNum&gt;6077&lt;/RecNum&gt;&lt;DisplayText&gt;Eskander and Fankhauser (2020)&lt;/DisplayText&gt;&lt;record&gt;&lt;rec-number&gt;6077&lt;/rec-number&gt;&lt;foreign-keys&gt;&lt;key app="EN" db-id="pzwxerf5sf52xoef20m52s5jxpa0wpaspvpd" timestamp="1598101149"&gt;6077&lt;/key&gt;&lt;/foreign-keys&gt;&lt;ref-type name="Journal Article"&gt;17&lt;/ref-type&gt;&lt;contributors&gt;&lt;authors&gt;&lt;author&gt;Eskander, Shaikh M. S. U.&lt;/author&gt;&lt;author&gt;Fankhauser, Sam&lt;/author&gt;&lt;/authors&gt;&lt;/contributors&gt;&lt;titles&gt;&lt;title&gt;Reduction in greenhouse gas emissions from national climate legislation&lt;/title&gt;&lt;secondary-title&gt;Nature Climate Change&lt;/secondary-title&gt;&lt;/titles&gt;&lt;periodical&gt;&lt;full-title&gt;Nature Climate Change&lt;/full-title&gt;&lt;/periodical&gt;&lt;pages&gt;750-756&lt;/pages&gt;&lt;volume&gt;10&lt;/volume&gt;&lt;number&gt;8&lt;/number&gt;&lt;dates&gt;&lt;year&gt;2020&lt;/year&gt;&lt;pub-dates&gt;&lt;date&gt;2020/08/01&lt;/date&gt;&lt;/pub-dates&gt;&lt;/dates&gt;&lt;isbn&gt;1758-6798&lt;/isbn&gt;&lt;urls&gt;&lt;related-urls&gt;&lt;url&gt;https://doi.org/10.1038/s41558-020-0831-z&lt;/url&gt;&lt;/related-urls&gt;&lt;/urls&gt;&lt;electronic-resource-num&gt;10.1038/s41558-020-0831-z&lt;/electronic-resource-num&gt;&lt;/record&gt;&lt;/Cite&gt;&lt;/EndNote&gt;</w:instrText>
      </w:r>
      <w:r w:rsidR="00A156CB" w:rsidRPr="00A156CB">
        <w:rPr>
          <w:rFonts w:ascii="Helvetica" w:hAnsi="Helvetica" w:cs="Helvetica"/>
          <w:color w:val="000000" w:themeColor="text1"/>
        </w:rPr>
        <w:fldChar w:fldCharType="separate"/>
      </w:r>
      <w:r w:rsidR="00DA5961">
        <w:rPr>
          <w:rFonts w:ascii="Helvetica" w:hAnsi="Helvetica" w:cs="Helvetica"/>
          <w:noProof/>
          <w:color w:val="000000" w:themeColor="text1"/>
        </w:rPr>
        <w:t>Eskander and Fankhauser (2020)</w:t>
      </w:r>
      <w:r w:rsidR="00A156CB" w:rsidRPr="00A156CB">
        <w:rPr>
          <w:rFonts w:ascii="Helvetica" w:hAnsi="Helvetica" w:cs="Helvetica"/>
          <w:color w:val="000000" w:themeColor="text1"/>
        </w:rPr>
        <w:fldChar w:fldCharType="end"/>
      </w:r>
      <w:bookmarkEnd w:id="41"/>
      <w:r w:rsidR="00DA5961">
        <w:rPr>
          <w:rFonts w:ascii="Helvetica" w:hAnsi="Helvetica" w:cs="Helvetica"/>
          <w:color w:val="000000" w:themeColor="text1"/>
        </w:rPr>
        <w:t xml:space="preserve"> for which the coefficient</w:t>
      </w:r>
      <w:r w:rsidR="00A156CB" w:rsidRPr="00A156CB">
        <w:rPr>
          <w:rFonts w:ascii="Helvetica" w:hAnsi="Helvetica" w:cs="Helvetica"/>
          <w:color w:val="000000" w:themeColor="text1"/>
        </w:rPr>
        <w:t xml:space="preserve"> for current policy stock (t-1) is </w:t>
      </w:r>
      <w:r w:rsidR="00A156CB" w:rsidRPr="00A04EF0">
        <w:rPr>
          <w:rFonts w:ascii="Helvetica" w:eastAsia="Times New Roman" w:hAnsi="Helvetica" w:cs="Helvetica"/>
        </w:rPr>
        <w:t xml:space="preserve">-0.0078 and for older policy stock (t-3) is </w:t>
      </w:r>
      <w:r w:rsidRPr="00A04EF0">
        <w:rPr>
          <w:rFonts w:ascii="Helvetica" w:eastAsia="Times New Roman" w:hAnsi="Helvetica" w:cs="Helvetica"/>
        </w:rPr>
        <w:t>-0.0179.</w:t>
      </w:r>
      <w:r w:rsidR="00A156CB">
        <w:rPr>
          <w:rFonts w:ascii="Helvetica" w:eastAsia="Times New Roman" w:hAnsi="Helvetica" w:cs="Helvetica"/>
        </w:rPr>
        <w:t xml:space="preserve"> </w:t>
      </w:r>
      <w:r w:rsidRPr="00A04EF0">
        <w:rPr>
          <w:rFonts w:ascii="Helvetica" w:eastAsia="Times New Roman" w:hAnsi="Helvetica" w:cs="Helvetica"/>
        </w:rPr>
        <w:t xml:space="preserve">Accounting for the fact that there are </w:t>
      </w:r>
      <w:r w:rsidR="00954B57">
        <w:rPr>
          <w:rFonts w:ascii="Helvetica" w:eastAsia="Times New Roman" w:hAnsi="Helvetica" w:cs="Helvetica"/>
        </w:rPr>
        <w:t xml:space="preserve">various </w:t>
      </w:r>
      <w:r w:rsidRPr="00A04EF0">
        <w:rPr>
          <w:rFonts w:ascii="Helvetica" w:eastAsia="Times New Roman" w:hAnsi="Helvetica" w:cs="Helvetica"/>
        </w:rPr>
        <w:t>difference</w:t>
      </w:r>
      <w:r w:rsidR="00A156CB">
        <w:rPr>
          <w:rFonts w:ascii="Helvetica" w:eastAsia="Times New Roman" w:hAnsi="Helvetica" w:cs="Helvetica"/>
        </w:rPr>
        <w:t>s in the samples used in the two studies (</w:t>
      </w:r>
      <w:r w:rsidRPr="00A04EF0">
        <w:rPr>
          <w:rFonts w:ascii="Helvetica" w:eastAsia="Times New Roman" w:hAnsi="Helvetica" w:cs="Helvetica"/>
        </w:rPr>
        <w:t>countr</w:t>
      </w:r>
      <w:r w:rsidR="00A156CB">
        <w:rPr>
          <w:rFonts w:ascii="Helvetica" w:eastAsia="Times New Roman" w:hAnsi="Helvetica" w:cs="Helvetica"/>
        </w:rPr>
        <w:t>ies</w:t>
      </w:r>
      <w:r w:rsidRPr="00A04EF0">
        <w:rPr>
          <w:rFonts w:ascii="Helvetica" w:eastAsia="Times New Roman" w:hAnsi="Helvetica" w:cs="Helvetica"/>
        </w:rPr>
        <w:t>, time</w:t>
      </w:r>
      <w:r w:rsidR="00A156CB">
        <w:rPr>
          <w:rFonts w:ascii="Helvetica" w:eastAsia="Times New Roman" w:hAnsi="Helvetica" w:cs="Helvetica"/>
        </w:rPr>
        <w:t>-period</w:t>
      </w:r>
      <w:r w:rsidRPr="00A04EF0">
        <w:rPr>
          <w:rFonts w:ascii="Helvetica" w:eastAsia="Times New Roman" w:hAnsi="Helvetica" w:cs="Helvetica"/>
        </w:rPr>
        <w:t>, and policy dat</w:t>
      </w:r>
      <w:r w:rsidR="00A156CB">
        <w:rPr>
          <w:rFonts w:ascii="Helvetica" w:eastAsia="Times New Roman" w:hAnsi="Helvetica" w:cs="Helvetica"/>
        </w:rPr>
        <w:t>a)</w:t>
      </w:r>
      <w:r w:rsidRPr="00A04EF0">
        <w:rPr>
          <w:rFonts w:ascii="Helvetica" w:eastAsia="Times New Roman" w:hAnsi="Helvetica" w:cs="Helvetica"/>
        </w:rPr>
        <w:t xml:space="preserve">, the difference in magnitude </w:t>
      </w:r>
      <w:r w:rsidR="00A156CB">
        <w:rPr>
          <w:rFonts w:ascii="Helvetica" w:eastAsia="Times New Roman" w:hAnsi="Helvetica" w:cs="Helvetica"/>
        </w:rPr>
        <w:t>can be</w:t>
      </w:r>
      <w:r w:rsidR="00DA5961">
        <w:rPr>
          <w:rFonts w:ascii="Helvetica" w:eastAsia="Times New Roman" w:hAnsi="Helvetica" w:cs="Helvetica"/>
        </w:rPr>
        <w:t xml:space="preserve"> </w:t>
      </w:r>
      <w:r w:rsidR="00A156CB">
        <w:rPr>
          <w:rFonts w:ascii="Helvetica" w:eastAsia="Times New Roman" w:hAnsi="Helvetica" w:cs="Helvetica"/>
        </w:rPr>
        <w:t>explained by</w:t>
      </w:r>
      <w:r w:rsidRPr="00A04EF0">
        <w:rPr>
          <w:rFonts w:ascii="Helvetica" w:eastAsia="Times New Roman" w:hAnsi="Helvetica" w:cs="Helvetica"/>
        </w:rPr>
        <w:t xml:space="preserve"> the fact </w:t>
      </w:r>
      <w:r w:rsidR="00DA5961">
        <w:rPr>
          <w:rFonts w:ascii="Helvetica" w:eastAsia="Times New Roman" w:hAnsi="Helvetica" w:cs="Helvetica"/>
        </w:rPr>
        <w:t xml:space="preserve">that </w:t>
      </w:r>
      <w:r w:rsidRPr="00A04EF0">
        <w:rPr>
          <w:rFonts w:ascii="Helvetica" w:eastAsia="Times New Roman" w:hAnsi="Helvetica" w:cs="Helvetica"/>
        </w:rPr>
        <w:t xml:space="preserve">we account for ‘policies’ </w:t>
      </w:r>
      <w:r w:rsidR="00DA5961">
        <w:rPr>
          <w:rFonts w:ascii="Helvetica" w:eastAsia="Times New Roman" w:hAnsi="Helvetica" w:cs="Helvetica"/>
        </w:rPr>
        <w:t xml:space="preserve">(including, for example, informational and voluntary measures) </w:t>
      </w:r>
      <w:r w:rsidRPr="00A04EF0">
        <w:rPr>
          <w:rFonts w:ascii="Helvetica" w:eastAsia="Times New Roman" w:hAnsi="Helvetica" w:cs="Helvetica"/>
        </w:rPr>
        <w:t xml:space="preserve">which </w:t>
      </w:r>
      <w:r w:rsidR="00DA5961">
        <w:rPr>
          <w:rFonts w:ascii="Helvetica" w:eastAsia="Times New Roman" w:hAnsi="Helvetica" w:cs="Helvetica"/>
        </w:rPr>
        <w:t>can be</w:t>
      </w:r>
      <w:r w:rsidRPr="00A04EF0">
        <w:rPr>
          <w:rFonts w:ascii="Helvetica" w:eastAsia="Times New Roman" w:hAnsi="Helvetica" w:cs="Helvetica"/>
        </w:rPr>
        <w:t xml:space="preserve"> weaker than ‘</w:t>
      </w:r>
      <w:proofErr w:type="gramStart"/>
      <w:r w:rsidRPr="00A04EF0">
        <w:rPr>
          <w:rFonts w:ascii="Helvetica" w:eastAsia="Times New Roman" w:hAnsi="Helvetica" w:cs="Helvetica"/>
        </w:rPr>
        <w:t>laws’</w:t>
      </w:r>
      <w:proofErr w:type="gramEnd"/>
      <w:r w:rsidRPr="00A04EF0">
        <w:rPr>
          <w:rFonts w:ascii="Helvetica" w:eastAsia="Times New Roman" w:hAnsi="Helvetica" w:cs="Helvetica"/>
        </w:rPr>
        <w:t>.</w:t>
      </w:r>
    </w:p>
    <w:p w14:paraId="0756AEC4" w14:textId="3CAD4DD4" w:rsidR="00264A57" w:rsidRDefault="00A156CB">
      <w:pPr>
        <w:rPr>
          <w:rFonts w:ascii="Helvetica" w:eastAsia="Times New Roman" w:hAnsi="Helvetica" w:cs="Helvetica"/>
        </w:rPr>
      </w:pPr>
      <w:r>
        <w:rPr>
          <w:rFonts w:ascii="Helvetica" w:eastAsia="Times New Roman" w:hAnsi="Helvetica" w:cs="Helvetica"/>
        </w:rPr>
        <w:t>Indee</w:t>
      </w:r>
      <w:r w:rsidR="00954B57">
        <w:rPr>
          <w:rFonts w:ascii="Helvetica" w:eastAsia="Times New Roman" w:hAnsi="Helvetica" w:cs="Helvetica"/>
        </w:rPr>
        <w:t>d</w:t>
      </w:r>
      <w:r>
        <w:rPr>
          <w:rFonts w:ascii="Helvetica" w:eastAsia="Times New Roman" w:hAnsi="Helvetica" w:cs="Helvetica"/>
        </w:rPr>
        <w:t>,</w:t>
      </w:r>
      <w:r w:rsidR="00264A57" w:rsidRPr="00A04EF0">
        <w:rPr>
          <w:rFonts w:ascii="Helvetica" w:eastAsia="Times New Roman" w:hAnsi="Helvetica" w:cs="Helvetica"/>
        </w:rPr>
        <w:t xml:space="preserve"> once we control for the interaction between </w:t>
      </w:r>
      <w:r w:rsidR="009309CC">
        <w:rPr>
          <w:rFonts w:ascii="Helvetica" w:eastAsia="Times New Roman" w:hAnsi="Helvetica" w:cs="Helvetica"/>
        </w:rPr>
        <w:t xml:space="preserve">policies and </w:t>
      </w:r>
      <w:r w:rsidR="00264A57" w:rsidRPr="00A04EF0">
        <w:rPr>
          <w:rFonts w:ascii="Helvetica" w:eastAsia="Times New Roman" w:hAnsi="Helvetica" w:cs="Helvetica"/>
        </w:rPr>
        <w:t>absolute emission</w:t>
      </w:r>
      <w:r w:rsidR="009309CC">
        <w:rPr>
          <w:rFonts w:ascii="Helvetica" w:eastAsia="Times New Roman" w:hAnsi="Helvetica" w:cs="Helvetica"/>
        </w:rPr>
        <w:t>-reduction</w:t>
      </w:r>
      <w:r w:rsidR="00264A57" w:rsidRPr="00A04EF0">
        <w:rPr>
          <w:rFonts w:ascii="Helvetica" w:eastAsia="Times New Roman" w:hAnsi="Helvetica" w:cs="Helvetica"/>
        </w:rPr>
        <w:t xml:space="preserve"> targets </w:t>
      </w:r>
      <w:r w:rsidR="009309CC">
        <w:rPr>
          <w:rFonts w:ascii="Helvetica" w:eastAsia="Times New Roman" w:hAnsi="Helvetica" w:cs="Helvetica"/>
        </w:rPr>
        <w:t>(or the C</w:t>
      </w:r>
      <w:r w:rsidR="00264A57" w:rsidRPr="00A04EF0">
        <w:rPr>
          <w:rFonts w:ascii="Helvetica" w:eastAsia="Times New Roman" w:hAnsi="Helvetica" w:cs="Helvetica"/>
        </w:rPr>
        <w:t xml:space="preserve">lean </w:t>
      </w:r>
      <w:r w:rsidR="009309CC">
        <w:rPr>
          <w:rFonts w:ascii="Helvetica" w:eastAsia="Times New Roman" w:hAnsi="Helvetica" w:cs="Helvetica"/>
        </w:rPr>
        <w:t>E</w:t>
      </w:r>
      <w:r w:rsidR="00264A57" w:rsidRPr="00A04EF0">
        <w:rPr>
          <w:rFonts w:ascii="Helvetica" w:eastAsia="Times New Roman" w:hAnsi="Helvetica" w:cs="Helvetica"/>
        </w:rPr>
        <w:t xml:space="preserve">nergy </w:t>
      </w:r>
      <w:r w:rsidR="009309CC">
        <w:rPr>
          <w:rFonts w:ascii="Helvetica" w:eastAsia="Times New Roman" w:hAnsi="Helvetica" w:cs="Helvetica"/>
        </w:rPr>
        <w:t>M</w:t>
      </w:r>
      <w:r w:rsidR="00264A57" w:rsidRPr="00A04EF0">
        <w:rPr>
          <w:rFonts w:ascii="Helvetica" w:eastAsia="Times New Roman" w:hAnsi="Helvetica" w:cs="Helvetica"/>
        </w:rPr>
        <w:t>inisterial</w:t>
      </w:r>
      <w:r w:rsidR="009309CC">
        <w:rPr>
          <w:rFonts w:ascii="Helvetica" w:eastAsia="Times New Roman" w:hAnsi="Helvetica" w:cs="Helvetica"/>
        </w:rPr>
        <w:t>)</w:t>
      </w:r>
      <w:r w:rsidR="00264A57" w:rsidRPr="00A04EF0">
        <w:rPr>
          <w:rFonts w:ascii="Helvetica" w:eastAsia="Times New Roman" w:hAnsi="Helvetica" w:cs="Helvetica"/>
        </w:rPr>
        <w:t xml:space="preserve">, the corresponding interaction coefficients </w:t>
      </w:r>
      <w:r w:rsidR="009309CC">
        <w:rPr>
          <w:rFonts w:ascii="Helvetica" w:eastAsia="Times New Roman" w:hAnsi="Helvetica" w:cs="Helvetica"/>
        </w:rPr>
        <w:t>are of</w:t>
      </w:r>
      <w:r w:rsidR="00264A57" w:rsidRPr="00A04EF0">
        <w:rPr>
          <w:rFonts w:ascii="Helvetica" w:eastAsia="Times New Roman" w:hAnsi="Helvetica" w:cs="Helvetica"/>
        </w:rPr>
        <w:t xml:space="preserve"> the same order of magnitude (-0.00137 and -0.00109) to th</w:t>
      </w:r>
      <w:r w:rsidR="00DA5961">
        <w:rPr>
          <w:rFonts w:ascii="Helvetica" w:eastAsia="Times New Roman" w:hAnsi="Helvetica" w:cs="Helvetica"/>
        </w:rPr>
        <w:t>ose</w:t>
      </w:r>
      <w:r w:rsidR="00264A57" w:rsidRPr="00A04EF0">
        <w:rPr>
          <w:rFonts w:ascii="Helvetica" w:eastAsia="Times New Roman" w:hAnsi="Helvetica" w:cs="Helvetica"/>
        </w:rPr>
        <w:t xml:space="preserve"> for policy density in </w:t>
      </w:r>
      <w:r w:rsidR="00D23C25" w:rsidRPr="00A156CB">
        <w:rPr>
          <w:rFonts w:ascii="Helvetica" w:hAnsi="Helvetica" w:cs="Helvetica"/>
          <w:color w:val="000000" w:themeColor="text1"/>
        </w:rPr>
        <w:fldChar w:fldCharType="begin"/>
      </w:r>
      <w:r w:rsidR="00DA5961">
        <w:rPr>
          <w:rFonts w:ascii="Helvetica" w:hAnsi="Helvetica" w:cs="Helvetica"/>
          <w:color w:val="000000" w:themeColor="text1"/>
        </w:rPr>
        <w:instrText xml:space="preserve"> ADDIN EN.CITE &lt;EndNote&gt;&lt;Cite AuthorYear="1"&gt;&lt;Author&gt;Eskander&lt;/Author&gt;&lt;Year&gt;2020&lt;/Year&gt;&lt;RecNum&gt;6077&lt;/RecNum&gt;&lt;DisplayText&gt;Eskander and Fankhauser (2020)&lt;/DisplayText&gt;&lt;record&gt;&lt;rec-number&gt;6077&lt;/rec-number&gt;&lt;foreign-keys&gt;&lt;key app="EN" db-id="pzwxerf5sf52xoef20m52s5jxpa0wpaspvpd" timestamp="1598101149"&gt;6077&lt;/key&gt;&lt;/foreign-keys&gt;&lt;ref-type name="Journal Article"&gt;17&lt;/ref-type&gt;&lt;contributors&gt;&lt;authors&gt;&lt;author&gt;Eskander, Shaikh M. S. U.&lt;/author&gt;&lt;author&gt;Fankhauser, Sam&lt;/author&gt;&lt;/authors&gt;&lt;/contributors&gt;&lt;titles&gt;&lt;title&gt;Reduction in greenhouse gas emissions from national climate legislation&lt;/title&gt;&lt;secondary-title&gt;Nature Climate Change&lt;/secondary-title&gt;&lt;/titles&gt;&lt;periodical&gt;&lt;full-title&gt;Nature Climate Change&lt;/full-title&gt;&lt;/periodical&gt;&lt;pages&gt;750-756&lt;/pages&gt;&lt;volume&gt;10&lt;/volume&gt;&lt;number&gt;8&lt;/number&gt;&lt;dates&gt;&lt;year&gt;2020&lt;/year&gt;&lt;pub-dates&gt;&lt;date&gt;2020/08/01&lt;/date&gt;&lt;/pub-dates&gt;&lt;/dates&gt;&lt;isbn&gt;1758-6798&lt;/isbn&gt;&lt;urls&gt;&lt;related-urls&gt;&lt;url&gt;https://doi.org/10.1038/s41558-020-0831-z&lt;/url&gt;&lt;/related-urls&gt;&lt;/urls&gt;&lt;electronic-resource-num&gt;10.1038/s41558-020-0831-z&lt;/electronic-resource-num&gt;&lt;/record&gt;&lt;/Cite&gt;&lt;/EndNote&gt;</w:instrText>
      </w:r>
      <w:r w:rsidR="00D23C25" w:rsidRPr="00A156CB">
        <w:rPr>
          <w:rFonts w:ascii="Helvetica" w:hAnsi="Helvetica" w:cs="Helvetica"/>
          <w:color w:val="000000" w:themeColor="text1"/>
        </w:rPr>
        <w:fldChar w:fldCharType="separate"/>
      </w:r>
      <w:r w:rsidR="00DA5961">
        <w:rPr>
          <w:rFonts w:ascii="Helvetica" w:hAnsi="Helvetica" w:cs="Helvetica"/>
          <w:noProof/>
          <w:color w:val="000000" w:themeColor="text1"/>
        </w:rPr>
        <w:t>Eskander and Fankhauser (2020)</w:t>
      </w:r>
      <w:r w:rsidR="00D23C25" w:rsidRPr="00A156CB">
        <w:rPr>
          <w:rFonts w:ascii="Helvetica" w:hAnsi="Helvetica" w:cs="Helvetica"/>
          <w:color w:val="000000" w:themeColor="text1"/>
        </w:rPr>
        <w:fldChar w:fldCharType="end"/>
      </w:r>
      <w:r w:rsidR="00954B57">
        <w:rPr>
          <w:rFonts w:ascii="Helvetica" w:eastAsia="Times New Roman" w:hAnsi="Helvetica" w:cs="Helvetica"/>
        </w:rPr>
        <w:t xml:space="preserve">. This is </w:t>
      </w:r>
      <w:r w:rsidR="00264A57" w:rsidRPr="00A04EF0">
        <w:rPr>
          <w:rFonts w:ascii="Helvetica" w:eastAsia="Times New Roman" w:hAnsi="Helvetica" w:cs="Helvetica"/>
        </w:rPr>
        <w:t xml:space="preserve">specifically </w:t>
      </w:r>
      <w:r w:rsidR="00954B57">
        <w:rPr>
          <w:rFonts w:ascii="Helvetica" w:eastAsia="Times New Roman" w:hAnsi="Helvetica" w:cs="Helvetica"/>
        </w:rPr>
        <w:t xml:space="preserve">true </w:t>
      </w:r>
      <w:r w:rsidR="00264A57" w:rsidRPr="00A04EF0">
        <w:rPr>
          <w:rFonts w:ascii="Helvetica" w:eastAsia="Times New Roman" w:hAnsi="Helvetica" w:cs="Helvetica"/>
        </w:rPr>
        <w:t>for the case of EU</w:t>
      </w:r>
      <w:r w:rsidR="009F06D5">
        <w:rPr>
          <w:rFonts w:ascii="Helvetica" w:eastAsia="Times New Roman" w:hAnsi="Helvetica" w:cs="Helvetica"/>
        </w:rPr>
        <w:t xml:space="preserve"> </w:t>
      </w:r>
      <w:r w:rsidR="00264A57" w:rsidRPr="00A04EF0">
        <w:rPr>
          <w:rFonts w:ascii="Helvetica" w:eastAsia="Times New Roman" w:hAnsi="Helvetica" w:cs="Helvetica"/>
        </w:rPr>
        <w:t xml:space="preserve">OECD countries </w:t>
      </w:r>
      <w:r w:rsidR="00D23C25">
        <w:rPr>
          <w:rFonts w:ascii="Helvetica" w:eastAsia="Times New Roman" w:hAnsi="Helvetica" w:cs="Helvetica"/>
        </w:rPr>
        <w:t xml:space="preserve">included </w:t>
      </w:r>
      <w:r w:rsidR="00264A57" w:rsidRPr="00A04EF0">
        <w:rPr>
          <w:rFonts w:ascii="Helvetica" w:eastAsia="Times New Roman" w:hAnsi="Helvetica" w:cs="Helvetica"/>
        </w:rPr>
        <w:t>in</w:t>
      </w:r>
      <w:r w:rsidR="00D23C25">
        <w:rPr>
          <w:rFonts w:ascii="Helvetica" w:eastAsia="Times New Roman" w:hAnsi="Helvetica" w:cs="Helvetica"/>
        </w:rPr>
        <w:t xml:space="preserve"> Appendix</w:t>
      </w:r>
      <w:r w:rsidR="00264A57" w:rsidRPr="00A04EF0">
        <w:rPr>
          <w:rFonts w:ascii="Helvetica" w:eastAsia="Times New Roman" w:hAnsi="Helvetica" w:cs="Helvetica"/>
        </w:rPr>
        <w:t xml:space="preserve"> Table S2 </w:t>
      </w:r>
      <w:r w:rsidR="00954B57" w:rsidRPr="002E356C">
        <w:rPr>
          <w:rFonts w:ascii="Helvetica" w:eastAsia="Times New Roman" w:hAnsi="Helvetica" w:cs="Helvetica"/>
        </w:rPr>
        <w:t xml:space="preserve">in </w:t>
      </w:r>
      <w:r w:rsidR="00954B57" w:rsidRPr="00A156CB">
        <w:rPr>
          <w:rFonts w:ascii="Helvetica" w:hAnsi="Helvetica" w:cs="Helvetica"/>
          <w:color w:val="000000" w:themeColor="text1"/>
        </w:rPr>
        <w:fldChar w:fldCharType="begin"/>
      </w:r>
      <w:r w:rsidR="009F06D5">
        <w:rPr>
          <w:rFonts w:ascii="Helvetica" w:hAnsi="Helvetica" w:cs="Helvetica"/>
          <w:color w:val="000000" w:themeColor="text1"/>
        </w:rPr>
        <w:instrText xml:space="preserve"> ADDIN EN.CITE &lt;EndNote&gt;&lt;Cite AuthorYear="1"&gt;&lt;Author&gt;Eskander&lt;/Author&gt;&lt;Year&gt;2020&lt;/Year&gt;&lt;RecNum&gt;6077&lt;/RecNum&gt;&lt;DisplayText&gt;Eskander and Fankhauser (2020)&lt;/DisplayText&gt;&lt;record&gt;&lt;rec-number&gt;6077&lt;/rec-number&gt;&lt;foreign-keys&gt;&lt;key app="EN" db-id="pzwxerf5sf52xoef20m52s5jxpa0wpaspvpd" timestamp="1598101149"&gt;6077&lt;/key&gt;&lt;/foreign-keys&gt;&lt;ref-type name="Journal Article"&gt;17&lt;/ref-type&gt;&lt;contributors&gt;&lt;authors&gt;&lt;author&gt;Eskander, Shaikh M. S. U.&lt;/author&gt;&lt;author&gt;Fankhauser, Sam&lt;/author&gt;&lt;/authors&gt;&lt;/contributors&gt;&lt;titles&gt;&lt;title&gt;Reduction in greenhouse gas emissions from national climate legislation&lt;/title&gt;&lt;secondary-title&gt;Nature Climate Change&lt;/secondary-title&gt;&lt;/titles&gt;&lt;periodical&gt;&lt;full-title&gt;Nature Climate Change&lt;/full-title&gt;&lt;/periodical&gt;&lt;pages&gt;750-756&lt;/pages&gt;&lt;volume&gt;10&lt;/volume&gt;&lt;number&gt;8&lt;/number&gt;&lt;dates&gt;&lt;year&gt;2020&lt;/year&gt;&lt;pub-dates&gt;&lt;date&gt;2020/08/01&lt;/date&gt;&lt;/pub-dates&gt;&lt;/dates&gt;&lt;isbn&gt;1758-6798&lt;/isbn&gt;&lt;urls&gt;&lt;related-urls&gt;&lt;url&gt;https://doi.org/10.1038/s41558-020-0831-z&lt;/url&gt;&lt;/related-urls&gt;&lt;/urls&gt;&lt;electronic-resource-num&gt;10.1038/s41558-020-0831-z&lt;/electronic-resource-num&gt;&lt;/record&gt;&lt;/Cite&gt;&lt;/EndNote&gt;</w:instrText>
      </w:r>
      <w:r w:rsidR="00954B57" w:rsidRPr="00A156CB">
        <w:rPr>
          <w:rFonts w:ascii="Helvetica" w:hAnsi="Helvetica" w:cs="Helvetica"/>
          <w:color w:val="000000" w:themeColor="text1"/>
        </w:rPr>
        <w:fldChar w:fldCharType="separate"/>
      </w:r>
      <w:r w:rsidR="009F06D5">
        <w:rPr>
          <w:rFonts w:ascii="Helvetica" w:hAnsi="Helvetica" w:cs="Helvetica"/>
          <w:noProof/>
          <w:color w:val="000000" w:themeColor="text1"/>
        </w:rPr>
        <w:t>Eskander and Fankhauser (2020)</w:t>
      </w:r>
      <w:r w:rsidR="00954B57" w:rsidRPr="00A156CB">
        <w:rPr>
          <w:rFonts w:ascii="Helvetica" w:hAnsi="Helvetica" w:cs="Helvetica"/>
          <w:color w:val="000000" w:themeColor="text1"/>
        </w:rPr>
        <w:fldChar w:fldCharType="end"/>
      </w:r>
      <w:r w:rsidR="00954B57">
        <w:rPr>
          <w:rFonts w:ascii="Helvetica" w:hAnsi="Helvetica" w:cs="Helvetica"/>
          <w:color w:val="000000" w:themeColor="text1"/>
        </w:rPr>
        <w:t xml:space="preserve">, </w:t>
      </w:r>
      <w:r w:rsidR="00954B57">
        <w:rPr>
          <w:rFonts w:ascii="Helvetica" w:eastAsia="Times New Roman" w:hAnsi="Helvetica" w:cs="Helvetica"/>
        </w:rPr>
        <w:t>which</w:t>
      </w:r>
      <w:r w:rsidR="00264A57" w:rsidRPr="00A04EF0">
        <w:rPr>
          <w:rFonts w:ascii="Helvetica" w:eastAsia="Times New Roman" w:hAnsi="Helvetica" w:cs="Helvetica"/>
        </w:rPr>
        <w:t xml:space="preserve"> is more closely comparable to our analysis (recent laws -0.0046 and stock of laws -0.0083). This suggests </w:t>
      </w:r>
      <w:r w:rsidR="00954B57">
        <w:rPr>
          <w:rFonts w:ascii="Helvetica" w:eastAsia="Times New Roman" w:hAnsi="Helvetica" w:cs="Helvetica"/>
        </w:rPr>
        <w:t xml:space="preserve">that </w:t>
      </w:r>
      <w:r w:rsidR="00D23C25">
        <w:rPr>
          <w:rFonts w:ascii="Helvetica" w:eastAsia="Times New Roman" w:hAnsi="Helvetica" w:cs="Helvetica"/>
        </w:rPr>
        <w:t>under the presence of</w:t>
      </w:r>
      <w:r w:rsidR="00264A57" w:rsidRPr="00A04EF0">
        <w:rPr>
          <w:rFonts w:ascii="Helvetica" w:eastAsia="Times New Roman" w:hAnsi="Helvetica" w:cs="Helvetica"/>
        </w:rPr>
        <w:t xml:space="preserve"> absolute targets and </w:t>
      </w:r>
      <w:r w:rsidR="009309CC">
        <w:rPr>
          <w:rFonts w:ascii="Helvetica" w:eastAsia="Times New Roman" w:hAnsi="Helvetica" w:cs="Helvetica"/>
        </w:rPr>
        <w:t>membership of the C</w:t>
      </w:r>
      <w:r w:rsidR="00264A57" w:rsidRPr="00A04EF0">
        <w:rPr>
          <w:rFonts w:ascii="Helvetica" w:eastAsia="Times New Roman" w:hAnsi="Helvetica" w:cs="Helvetica"/>
        </w:rPr>
        <w:t xml:space="preserve">lean </w:t>
      </w:r>
      <w:r w:rsidR="009309CC">
        <w:rPr>
          <w:rFonts w:ascii="Helvetica" w:eastAsia="Times New Roman" w:hAnsi="Helvetica" w:cs="Helvetica"/>
        </w:rPr>
        <w:t>E</w:t>
      </w:r>
      <w:r w:rsidR="00264A57" w:rsidRPr="00A04EF0">
        <w:rPr>
          <w:rFonts w:ascii="Helvetica" w:eastAsia="Times New Roman" w:hAnsi="Helvetica" w:cs="Helvetica"/>
        </w:rPr>
        <w:t xml:space="preserve">nergy </w:t>
      </w:r>
      <w:r w:rsidR="009309CC">
        <w:rPr>
          <w:rFonts w:ascii="Helvetica" w:eastAsia="Times New Roman" w:hAnsi="Helvetica" w:cs="Helvetica"/>
        </w:rPr>
        <w:t>M</w:t>
      </w:r>
      <w:r w:rsidR="00264A57" w:rsidRPr="00A04EF0">
        <w:rPr>
          <w:rFonts w:ascii="Helvetica" w:eastAsia="Times New Roman" w:hAnsi="Helvetica" w:cs="Helvetica"/>
        </w:rPr>
        <w:t xml:space="preserve">inisterial the effectiveness of policies increases to </w:t>
      </w:r>
      <w:r w:rsidR="00D23C25">
        <w:rPr>
          <w:rFonts w:ascii="Helvetica" w:eastAsia="Times New Roman" w:hAnsi="Helvetica" w:cs="Helvetica"/>
        </w:rPr>
        <w:t xml:space="preserve">a </w:t>
      </w:r>
      <w:r w:rsidR="00264A57" w:rsidRPr="00A04EF0">
        <w:rPr>
          <w:rFonts w:ascii="Helvetica" w:eastAsia="Times New Roman" w:hAnsi="Helvetica" w:cs="Helvetica"/>
        </w:rPr>
        <w:t xml:space="preserve">comparable magnitude </w:t>
      </w:r>
      <w:r w:rsidR="00D23C25">
        <w:rPr>
          <w:rFonts w:ascii="Helvetica" w:eastAsia="Times New Roman" w:hAnsi="Helvetica" w:cs="Helvetica"/>
        </w:rPr>
        <w:t xml:space="preserve">to that </w:t>
      </w:r>
      <w:r w:rsidR="00264A57" w:rsidRPr="00A04EF0">
        <w:rPr>
          <w:rFonts w:ascii="Helvetica" w:eastAsia="Times New Roman" w:hAnsi="Helvetica" w:cs="Helvetica"/>
        </w:rPr>
        <w:t xml:space="preserve">observed for ‘laws’ in </w:t>
      </w:r>
      <w:r w:rsidR="00D23C25" w:rsidRPr="00A156CB">
        <w:rPr>
          <w:rFonts w:ascii="Helvetica" w:hAnsi="Helvetica" w:cs="Helvetica"/>
          <w:color w:val="000000" w:themeColor="text1"/>
        </w:rPr>
        <w:fldChar w:fldCharType="begin"/>
      </w:r>
      <w:r w:rsidR="009F06D5">
        <w:rPr>
          <w:rFonts w:ascii="Helvetica" w:hAnsi="Helvetica" w:cs="Helvetica"/>
          <w:color w:val="000000" w:themeColor="text1"/>
        </w:rPr>
        <w:instrText xml:space="preserve"> ADDIN EN.CITE &lt;EndNote&gt;&lt;Cite AuthorYear="1"&gt;&lt;Author&gt;Eskander&lt;/Author&gt;&lt;Year&gt;2020&lt;/Year&gt;&lt;RecNum&gt;6077&lt;/RecNum&gt;&lt;DisplayText&gt;Eskander and Fankhauser (2020)&lt;/DisplayText&gt;&lt;record&gt;&lt;rec-number&gt;6077&lt;/rec-number&gt;&lt;foreign-keys&gt;&lt;key app="EN" db-id="pzwxerf5sf52xoef20m52s5jxpa0wpaspvpd" timestamp="1598101149"&gt;6077&lt;/key&gt;&lt;/foreign-keys&gt;&lt;ref-type name="Journal Article"&gt;17&lt;/ref-type&gt;&lt;contributors&gt;&lt;authors&gt;&lt;author&gt;Eskander, Shaikh M. S. U.&lt;/author&gt;&lt;author&gt;Fankhauser, Sam&lt;/author&gt;&lt;/authors&gt;&lt;/contributors&gt;&lt;titles&gt;&lt;title&gt;Reduction in greenhouse gas emissions from national climate legislation&lt;/title&gt;&lt;secondary-title&gt;Nature Climate Change&lt;/secondary-title&gt;&lt;/titles&gt;&lt;periodical&gt;&lt;full-title&gt;Nature Climate Change&lt;/full-title&gt;&lt;/periodical&gt;&lt;pages&gt;750-756&lt;/pages&gt;&lt;volume&gt;10&lt;/volume&gt;&lt;number&gt;8&lt;/number&gt;&lt;dates&gt;&lt;year&gt;2020&lt;/year&gt;&lt;pub-dates&gt;&lt;date&gt;2020/08/01&lt;/date&gt;&lt;/pub-dates&gt;&lt;/dates&gt;&lt;isbn&gt;1758-6798&lt;/isbn&gt;&lt;urls&gt;&lt;related-urls&gt;&lt;url&gt;https://doi.org/10.1038/s41558-020-0831-z&lt;/url&gt;&lt;/related-urls&gt;&lt;/urls&gt;&lt;electronic-resource-num&gt;10.1038/s41558-020-0831-z&lt;/electronic-resource-num&gt;&lt;/record&gt;&lt;/Cite&gt;&lt;/EndNote&gt;</w:instrText>
      </w:r>
      <w:r w:rsidR="00D23C25" w:rsidRPr="00A156CB">
        <w:rPr>
          <w:rFonts w:ascii="Helvetica" w:hAnsi="Helvetica" w:cs="Helvetica"/>
          <w:color w:val="000000" w:themeColor="text1"/>
        </w:rPr>
        <w:fldChar w:fldCharType="separate"/>
      </w:r>
      <w:r w:rsidR="009F06D5">
        <w:rPr>
          <w:rFonts w:ascii="Helvetica" w:hAnsi="Helvetica" w:cs="Helvetica"/>
          <w:noProof/>
          <w:color w:val="000000" w:themeColor="text1"/>
        </w:rPr>
        <w:t>Eskander and Fankhauser (2020)</w:t>
      </w:r>
      <w:r w:rsidR="00D23C25" w:rsidRPr="00A156CB">
        <w:rPr>
          <w:rFonts w:ascii="Helvetica" w:hAnsi="Helvetica" w:cs="Helvetica"/>
          <w:color w:val="000000" w:themeColor="text1"/>
        </w:rPr>
        <w:fldChar w:fldCharType="end"/>
      </w:r>
      <w:r w:rsidR="00264A57" w:rsidRPr="00A04EF0">
        <w:rPr>
          <w:rFonts w:ascii="Helvetica" w:eastAsia="Times New Roman" w:hAnsi="Helvetica" w:cs="Helvetica"/>
        </w:rPr>
        <w:t>.</w:t>
      </w:r>
    </w:p>
    <w:p w14:paraId="696FD894" w14:textId="78469288" w:rsidR="009309CC" w:rsidRPr="00A04EF0" w:rsidRDefault="009309CC" w:rsidP="009309CC">
      <w:pPr>
        <w:outlineLvl w:val="4"/>
        <w:rPr>
          <w:rFonts w:ascii="Helvetica" w:hAnsi="Helvetica"/>
        </w:rPr>
      </w:pPr>
      <w:r w:rsidRPr="009309CC">
        <w:rPr>
          <w:rFonts w:ascii="Helvetica" w:hAnsi="Helvetica"/>
        </w:rPr>
        <w:lastRenderedPageBreak/>
        <w:t xml:space="preserve">Similar results to those for the Clean Energy Ministerial are found for membership of the IEA and EU-EFTA (Extended Data Table ED5). </w:t>
      </w:r>
      <w:r w:rsidRPr="00A04EF0">
        <w:rPr>
          <w:rFonts w:ascii="Helvetica" w:hAnsi="Helvetica"/>
        </w:rPr>
        <w:t>The coefficient for the interaction term for countries that are members of IEA is statistically significant, negative, and smaller in magnitude (in absolute terms) than the coefficient for the interaction term for members of the EU-EFTA, which is also negative and statistically significant.</w:t>
      </w:r>
    </w:p>
    <w:p w14:paraId="143F8B09" w14:textId="513CDC23" w:rsidR="00264A57" w:rsidRDefault="009309CC" w:rsidP="00E8118A">
      <w:pPr>
        <w:rPr>
          <w:rFonts w:ascii="Helvetica" w:hAnsi="Helvetica"/>
        </w:rPr>
      </w:pPr>
      <w:r w:rsidRPr="00A04EF0">
        <w:rPr>
          <w:rFonts w:ascii="Helvetica" w:hAnsi="Helvetica"/>
        </w:rPr>
        <w:t>The negative and statistically significant dummy coefficients for membership of the IEA and EU-EFTA indicate that these countries start off with lower emission intensities than the rest. In comparison, the dummy coefficients for energy ministries and membership of the Clean Energy Ministerial are statistically significant and positive, indicating that these countries start off with higher emission intensities than the rest, accounting for the fact that non-IEA and non-EU-EFTA were among the first to introduce dedicated energy ministries (such as Colombia, and the BRIICS excluding China) and are members of the Clean Energy Ministerial.</w:t>
      </w:r>
    </w:p>
    <w:p w14:paraId="29E5D22E" w14:textId="77777777" w:rsidR="002C5A76" w:rsidRDefault="002C5A76" w:rsidP="00E8118A">
      <w:pPr>
        <w:rPr>
          <w:rFonts w:ascii="Helvetica" w:hAnsi="Helvetica"/>
          <w:b/>
          <w:bCs/>
          <w:lang w:val="en-US"/>
        </w:rPr>
      </w:pPr>
    </w:p>
    <w:p w14:paraId="06FAE76B" w14:textId="3CA43E2E" w:rsidR="00D10BBD" w:rsidRPr="00A04EF0" w:rsidRDefault="0025280E" w:rsidP="00E8118A">
      <w:pPr>
        <w:rPr>
          <w:rFonts w:ascii="Helvetica" w:hAnsi="Helvetica"/>
          <w:b/>
          <w:bCs/>
          <w:lang w:val="en-US"/>
        </w:rPr>
      </w:pPr>
      <w:r w:rsidRPr="00A04EF0">
        <w:rPr>
          <w:rFonts w:ascii="Helvetica" w:hAnsi="Helvetica"/>
          <w:b/>
          <w:bCs/>
          <w:lang w:val="en-US"/>
        </w:rPr>
        <w:t>References</w:t>
      </w:r>
    </w:p>
    <w:p w14:paraId="4A93A24B" w14:textId="77777777" w:rsidR="002C5A76" w:rsidRPr="002C5A76" w:rsidRDefault="00FD0828" w:rsidP="002C5A76">
      <w:pPr>
        <w:pStyle w:val="EndNoteBibliography"/>
        <w:spacing w:after="360"/>
        <w:rPr>
          <w:noProof/>
        </w:rPr>
      </w:pPr>
      <w:r w:rsidRPr="00A04EF0">
        <w:rPr>
          <w:rFonts w:ascii="Helvetica" w:eastAsia="Times New Roman" w:hAnsi="Helvetica"/>
          <w:b/>
          <w:bCs/>
        </w:rPr>
        <w:fldChar w:fldCharType="begin"/>
      </w:r>
      <w:r w:rsidRPr="00A04EF0">
        <w:rPr>
          <w:rFonts w:ascii="Helvetica" w:eastAsia="Times New Roman" w:hAnsi="Helvetica"/>
          <w:b/>
          <w:bCs/>
        </w:rPr>
        <w:instrText xml:space="preserve"> ADDIN EN.REFLIST </w:instrText>
      </w:r>
      <w:r w:rsidRPr="00A04EF0">
        <w:rPr>
          <w:rFonts w:ascii="Helvetica" w:eastAsia="Times New Roman" w:hAnsi="Helvetica"/>
          <w:b/>
          <w:bCs/>
        </w:rPr>
        <w:fldChar w:fldCharType="separate"/>
      </w:r>
      <w:r w:rsidR="002C5A76" w:rsidRPr="002C5A76">
        <w:rPr>
          <w:noProof/>
        </w:rPr>
        <w:t xml:space="preserve">Averchenkova, A., S. Fankhauser and J. J. Finnegan (2021). "The influence of climate change advisory bodies on political debates: evidence from the UK Committee on Climate Change." </w:t>
      </w:r>
      <w:r w:rsidR="002C5A76" w:rsidRPr="002C5A76">
        <w:rPr>
          <w:noProof/>
          <w:u w:val="single"/>
        </w:rPr>
        <w:t>Climate Policy</w:t>
      </w:r>
      <w:r w:rsidR="002C5A76" w:rsidRPr="002C5A76">
        <w:rPr>
          <w:noProof/>
        </w:rPr>
        <w:t xml:space="preserve"> </w:t>
      </w:r>
      <w:r w:rsidR="002C5A76" w:rsidRPr="002C5A76">
        <w:rPr>
          <w:b/>
          <w:noProof/>
        </w:rPr>
        <w:t>21</w:t>
      </w:r>
      <w:r w:rsidR="002C5A76" w:rsidRPr="002C5A76">
        <w:rPr>
          <w:noProof/>
        </w:rPr>
        <w:t>(9): 1218-1233.</w:t>
      </w:r>
    </w:p>
    <w:p w14:paraId="25F6DD39" w14:textId="1B45E1ED" w:rsidR="002C5A76" w:rsidRPr="002C5A76" w:rsidRDefault="002C5A76" w:rsidP="002C5A76">
      <w:pPr>
        <w:pStyle w:val="EndNoteBibliography"/>
        <w:spacing w:after="360"/>
        <w:rPr>
          <w:noProof/>
        </w:rPr>
      </w:pPr>
      <w:r w:rsidRPr="002C5A76">
        <w:rPr>
          <w:noProof/>
        </w:rPr>
        <w:t xml:space="preserve">CCLW (2023). Climate Change Laws of the World Database. </w:t>
      </w:r>
      <w:hyperlink r:id="rId20" w:history="1">
        <w:r w:rsidRPr="002C5A76">
          <w:rPr>
            <w:rStyle w:val="Hyperlink"/>
            <w:noProof/>
          </w:rPr>
          <w:t>https://climate-laws.org</w:t>
        </w:r>
      </w:hyperlink>
      <w:r w:rsidRPr="002C5A76">
        <w:rPr>
          <w:noProof/>
        </w:rPr>
        <w:t>, Grantham Research Institute on Climate Change and the Environment,.</w:t>
      </w:r>
    </w:p>
    <w:p w14:paraId="7E6EF0B2" w14:textId="77777777" w:rsidR="002C5A76" w:rsidRPr="002C5A76" w:rsidRDefault="002C5A76" w:rsidP="002C5A76">
      <w:pPr>
        <w:pStyle w:val="EndNoteBibliography"/>
        <w:spacing w:after="360"/>
        <w:rPr>
          <w:noProof/>
        </w:rPr>
      </w:pPr>
      <w:r w:rsidRPr="002C5A76">
        <w:rPr>
          <w:noProof/>
        </w:rPr>
        <w:t xml:space="preserve">Dubash, N. K., C. Mitchell, E. L. Boasson, M. J. Borbor-Cordova, S. Fifita, E. Haites, M. Jaccard, F. Jotzo, S. Naidoo, P. Romero-Lankao, M. Shlapak, W. Shen and L. Wu (2022). National and sub-national policies and institutions. </w:t>
      </w:r>
      <w:r w:rsidRPr="002C5A76">
        <w:rPr>
          <w:noProof/>
          <w:u w:val="single"/>
        </w:rPr>
        <w:t>Climate Change 2022: Mitigation of Climate Change. Working Group III contribution to the Sixth Assessment Report of the Intergovernmental Panel on Climate Change (IPCC)</w:t>
      </w:r>
      <w:r w:rsidRPr="002C5A76">
        <w:rPr>
          <w:noProof/>
        </w:rPr>
        <w:t>. P. R. Shukla, J. Skea, R. Slade et al. Geneva, Switzerland, Intergovernmental Panel on Climate Change (IPCC)</w:t>
      </w:r>
      <w:r w:rsidRPr="002C5A76">
        <w:rPr>
          <w:b/>
          <w:noProof/>
        </w:rPr>
        <w:t xml:space="preserve">: </w:t>
      </w:r>
      <w:r w:rsidRPr="002C5A76">
        <w:rPr>
          <w:noProof/>
        </w:rPr>
        <w:t>1355-1450.</w:t>
      </w:r>
    </w:p>
    <w:p w14:paraId="3628F744" w14:textId="77777777" w:rsidR="002C5A76" w:rsidRPr="002C5A76" w:rsidRDefault="002C5A76" w:rsidP="002C5A76">
      <w:pPr>
        <w:pStyle w:val="EndNoteBibliography"/>
        <w:spacing w:after="360"/>
        <w:rPr>
          <w:noProof/>
        </w:rPr>
      </w:pPr>
      <w:r w:rsidRPr="002C5A76">
        <w:rPr>
          <w:noProof/>
        </w:rPr>
        <w:t xml:space="preserve">Dudley, H., A. Jordan and I. Lorenzoni (2022). "Advising national climate policy makers: A longitudinal analysis of the UK Climate Change Committee." </w:t>
      </w:r>
      <w:r w:rsidRPr="002C5A76">
        <w:rPr>
          <w:noProof/>
          <w:u w:val="single"/>
        </w:rPr>
        <w:t>Global Environmental Change</w:t>
      </w:r>
      <w:r w:rsidRPr="002C5A76">
        <w:rPr>
          <w:noProof/>
        </w:rPr>
        <w:t xml:space="preserve"> </w:t>
      </w:r>
      <w:r w:rsidRPr="002C5A76">
        <w:rPr>
          <w:b/>
          <w:noProof/>
        </w:rPr>
        <w:t>76</w:t>
      </w:r>
      <w:r w:rsidRPr="002C5A76">
        <w:rPr>
          <w:noProof/>
        </w:rPr>
        <w:t>: 102589.</w:t>
      </w:r>
    </w:p>
    <w:p w14:paraId="6952205B" w14:textId="77777777" w:rsidR="002C5A76" w:rsidRPr="002C5A76" w:rsidRDefault="002C5A76" w:rsidP="002C5A76">
      <w:pPr>
        <w:pStyle w:val="EndNoteBibliography"/>
        <w:spacing w:after="360"/>
        <w:rPr>
          <w:noProof/>
        </w:rPr>
      </w:pPr>
      <w:r w:rsidRPr="002C5A76">
        <w:rPr>
          <w:noProof/>
        </w:rPr>
        <w:t xml:space="preserve">Eskander, S. M. S. U. and S. Fankhauser (2020). "Reduction in greenhouse gas emissions from national climate legislation." </w:t>
      </w:r>
      <w:r w:rsidRPr="002C5A76">
        <w:rPr>
          <w:noProof/>
          <w:u w:val="single"/>
        </w:rPr>
        <w:t>Nature Climate Change</w:t>
      </w:r>
      <w:r w:rsidRPr="002C5A76">
        <w:rPr>
          <w:noProof/>
        </w:rPr>
        <w:t xml:space="preserve"> </w:t>
      </w:r>
      <w:r w:rsidRPr="002C5A76">
        <w:rPr>
          <w:b/>
          <w:noProof/>
        </w:rPr>
        <w:t>10</w:t>
      </w:r>
      <w:r w:rsidRPr="002C5A76">
        <w:rPr>
          <w:noProof/>
        </w:rPr>
        <w:t>(8): 750-756.</w:t>
      </w:r>
    </w:p>
    <w:p w14:paraId="76050902" w14:textId="77777777" w:rsidR="002C5A76" w:rsidRPr="002C5A76" w:rsidRDefault="002C5A76" w:rsidP="002C5A76">
      <w:pPr>
        <w:pStyle w:val="EndNoteBibliography"/>
        <w:spacing w:after="360"/>
        <w:rPr>
          <w:noProof/>
        </w:rPr>
      </w:pPr>
      <w:r w:rsidRPr="002C5A76">
        <w:rPr>
          <w:noProof/>
        </w:rPr>
        <w:t>Evans, N. and M. Duwe (2021). Climate governance systems in Europe: the role of national advisory bodies. Berlin &amp; Paris, Ecologic Institute &amp; IDDRI.</w:t>
      </w:r>
    </w:p>
    <w:p w14:paraId="7E5F663A" w14:textId="5E1FE27F" w:rsidR="002C5A76" w:rsidRPr="002C5A76" w:rsidRDefault="002C5A76" w:rsidP="002C5A76">
      <w:pPr>
        <w:pStyle w:val="EndNoteBibliography"/>
        <w:spacing w:after="360"/>
        <w:rPr>
          <w:noProof/>
        </w:rPr>
      </w:pPr>
      <w:r w:rsidRPr="002C5A76">
        <w:rPr>
          <w:noProof/>
        </w:rPr>
        <w:t xml:space="preserve">IEA (2023). </w:t>
      </w:r>
      <w:r w:rsidRPr="002C5A76">
        <w:rPr>
          <w:noProof/>
          <w:u w:val="single"/>
        </w:rPr>
        <w:t>Policies &amp; measures database</w:t>
      </w:r>
      <w:r w:rsidRPr="002C5A76">
        <w:rPr>
          <w:noProof/>
        </w:rPr>
        <w:t xml:space="preserve">. </w:t>
      </w:r>
      <w:hyperlink r:id="rId21" w:history="1">
        <w:r w:rsidRPr="002C5A76">
          <w:rPr>
            <w:rStyle w:val="Hyperlink"/>
            <w:noProof/>
          </w:rPr>
          <w:t>https://www.iea.org/policies/about</w:t>
        </w:r>
      </w:hyperlink>
      <w:r w:rsidRPr="002C5A76">
        <w:rPr>
          <w:noProof/>
        </w:rPr>
        <w:t>, International Energy Agency.</w:t>
      </w:r>
    </w:p>
    <w:p w14:paraId="34CBE9FB" w14:textId="77777777" w:rsidR="002C5A76" w:rsidRPr="002C5A76" w:rsidRDefault="002C5A76" w:rsidP="002C5A76">
      <w:pPr>
        <w:pStyle w:val="EndNoteBibliography"/>
        <w:spacing w:after="360"/>
        <w:rPr>
          <w:noProof/>
        </w:rPr>
      </w:pPr>
      <w:r w:rsidRPr="002C5A76">
        <w:rPr>
          <w:noProof/>
        </w:rPr>
        <w:t>Moore, B., S. Oberthür, M. Duwe, N. Kögel, N. Evans, I. v. Homeyer, K. Kulovesi, B. Kampman, A. Hilke, M. Mähönen and K. Varis (2023). Transformative procedural climate governance: Mechanisms, functions, and assessment criteria. . Brussels, Belgium, Vrije Universiteit Brussel.</w:t>
      </w:r>
    </w:p>
    <w:p w14:paraId="12366298" w14:textId="77777777" w:rsidR="002C5A76" w:rsidRPr="002C5A76" w:rsidRDefault="002C5A76" w:rsidP="002C5A76">
      <w:pPr>
        <w:pStyle w:val="EndNoteBibliography"/>
        <w:spacing w:after="360"/>
        <w:rPr>
          <w:noProof/>
        </w:rPr>
      </w:pPr>
      <w:r w:rsidRPr="002C5A76">
        <w:rPr>
          <w:noProof/>
        </w:rPr>
        <w:lastRenderedPageBreak/>
        <w:t xml:space="preserve">Patt, A., L. Rajamani, P. Bhandari, A. I. Boncheva, A. Caparrós, K. Djemouai, I. Kubota, J. Peel, A. P. Sari, D. F. Sprinz and J. Wettestad (2022). International Cooperation. </w:t>
      </w:r>
      <w:r w:rsidRPr="002C5A76">
        <w:rPr>
          <w:noProof/>
          <w:u w:val="single"/>
        </w:rPr>
        <w:t>Climate Change 2022: Mitigation of Climate Change. Working Group III contribution to the Sixth Assessment Report of the Intergovernmental Panel on Climate Change (IPCC)</w:t>
      </w:r>
      <w:r w:rsidRPr="002C5A76">
        <w:rPr>
          <w:noProof/>
        </w:rPr>
        <w:t>. P. R. Shukla, J. Skea, R. Slade et al. Geneva, Switzerland, Intergovernmental Panel on Climate Change (IPCC)</w:t>
      </w:r>
      <w:r w:rsidRPr="002C5A76">
        <w:rPr>
          <w:b/>
          <w:noProof/>
        </w:rPr>
        <w:t xml:space="preserve">: </w:t>
      </w:r>
      <w:r w:rsidRPr="002C5A76">
        <w:rPr>
          <w:noProof/>
        </w:rPr>
        <w:t>1451-1546.</w:t>
      </w:r>
    </w:p>
    <w:p w14:paraId="3CF7FC5D" w14:textId="77777777" w:rsidR="002C5A76" w:rsidRPr="002C5A76" w:rsidRDefault="002C5A76" w:rsidP="002C5A76">
      <w:pPr>
        <w:pStyle w:val="EndNoteBibliography"/>
        <w:spacing w:after="360"/>
        <w:rPr>
          <w:noProof/>
        </w:rPr>
      </w:pPr>
      <w:r w:rsidRPr="002C5A76">
        <w:rPr>
          <w:noProof/>
        </w:rPr>
        <w:t xml:space="preserve">Pischke, E. C., B. D. Solomon and A. M. Wellstead (2018). "A historical analysis of US climate change policy in the Pan-American context." </w:t>
      </w:r>
      <w:r w:rsidRPr="002C5A76">
        <w:rPr>
          <w:noProof/>
          <w:u w:val="single"/>
        </w:rPr>
        <w:t>Journal of Environmental Studies and Sciences</w:t>
      </w:r>
      <w:r w:rsidRPr="002C5A76">
        <w:rPr>
          <w:noProof/>
        </w:rPr>
        <w:t xml:space="preserve"> </w:t>
      </w:r>
      <w:r w:rsidRPr="002C5A76">
        <w:rPr>
          <w:b/>
          <w:noProof/>
        </w:rPr>
        <w:t>8</w:t>
      </w:r>
      <w:r w:rsidRPr="002C5A76">
        <w:rPr>
          <w:noProof/>
        </w:rPr>
        <w:t>(2): 225-232.</w:t>
      </w:r>
    </w:p>
    <w:p w14:paraId="7F0A4F0B" w14:textId="77777777" w:rsidR="002C5A76" w:rsidRPr="002C5A76" w:rsidRDefault="002C5A76" w:rsidP="002C5A76">
      <w:pPr>
        <w:pStyle w:val="EndNoteBibliography"/>
        <w:spacing w:after="360"/>
        <w:rPr>
          <w:noProof/>
        </w:rPr>
      </w:pPr>
      <w:r w:rsidRPr="002C5A76">
        <w:rPr>
          <w:noProof/>
        </w:rPr>
        <w:t xml:space="preserve">Schaub, S., J. Tosun, A. Jordan and J. Enguer (2022). "Climate Policy Ambition: Exploring A Policy Density Perspective." </w:t>
      </w:r>
      <w:r w:rsidRPr="002C5A76">
        <w:rPr>
          <w:noProof/>
          <w:u w:val="single"/>
        </w:rPr>
        <w:t>Politics and Governance</w:t>
      </w:r>
      <w:r w:rsidRPr="002C5A76">
        <w:rPr>
          <w:noProof/>
        </w:rPr>
        <w:t xml:space="preserve"> </w:t>
      </w:r>
      <w:r w:rsidRPr="002C5A76">
        <w:rPr>
          <w:b/>
          <w:noProof/>
        </w:rPr>
        <w:t>10</w:t>
      </w:r>
      <w:r w:rsidRPr="002C5A76">
        <w:rPr>
          <w:noProof/>
        </w:rPr>
        <w:t>(3): 13.</w:t>
      </w:r>
    </w:p>
    <w:p w14:paraId="6A08392B" w14:textId="77777777" w:rsidR="002C5A76" w:rsidRPr="002C5A76" w:rsidRDefault="002C5A76" w:rsidP="002C5A76">
      <w:pPr>
        <w:pStyle w:val="EndNoteBibliography"/>
        <w:spacing w:after="360"/>
        <w:rPr>
          <w:noProof/>
        </w:rPr>
      </w:pPr>
      <w:r w:rsidRPr="002C5A76">
        <w:rPr>
          <w:noProof/>
        </w:rPr>
        <w:t xml:space="preserve">Tosun, J. (2018). "Investigating Ministry Names for Comparative Policy Analysis: Lessons from Energy Governance." </w:t>
      </w:r>
      <w:r w:rsidRPr="002C5A76">
        <w:rPr>
          <w:noProof/>
          <w:u w:val="single"/>
        </w:rPr>
        <w:t>Journal of Comparative Policy Analysis: Research and Practice</w:t>
      </w:r>
      <w:r w:rsidRPr="002C5A76">
        <w:rPr>
          <w:noProof/>
        </w:rPr>
        <w:t xml:space="preserve"> </w:t>
      </w:r>
      <w:r w:rsidRPr="002C5A76">
        <w:rPr>
          <w:b/>
          <w:noProof/>
        </w:rPr>
        <w:t>20</w:t>
      </w:r>
      <w:r w:rsidRPr="002C5A76">
        <w:rPr>
          <w:noProof/>
        </w:rPr>
        <w:t>(3): 324-335.</w:t>
      </w:r>
    </w:p>
    <w:p w14:paraId="47D9BE32" w14:textId="77777777" w:rsidR="002C5A76" w:rsidRPr="002C5A76" w:rsidRDefault="002C5A76" w:rsidP="002C5A76">
      <w:pPr>
        <w:pStyle w:val="EndNoteBibliography"/>
        <w:spacing w:after="360"/>
        <w:rPr>
          <w:noProof/>
        </w:rPr>
      </w:pPr>
      <w:r w:rsidRPr="002C5A76">
        <w:rPr>
          <w:noProof/>
        </w:rPr>
        <w:t xml:space="preserve">Tosun, J. and M. Mišić (2022). "Post-Communist Countries’ Participation in Global Forums on Climate Action." </w:t>
      </w:r>
      <w:r w:rsidRPr="002C5A76">
        <w:rPr>
          <w:noProof/>
          <w:u w:val="single"/>
        </w:rPr>
        <w:t>Problems of Post-Communism</w:t>
      </w:r>
      <w:r w:rsidRPr="002C5A76">
        <w:rPr>
          <w:noProof/>
        </w:rPr>
        <w:t xml:space="preserve"> </w:t>
      </w:r>
      <w:r w:rsidRPr="002C5A76">
        <w:rPr>
          <w:b/>
          <w:noProof/>
        </w:rPr>
        <w:t>69</w:t>
      </w:r>
      <w:r w:rsidRPr="002C5A76">
        <w:rPr>
          <w:noProof/>
        </w:rPr>
        <w:t>(4-5): 380-395.</w:t>
      </w:r>
    </w:p>
    <w:p w14:paraId="72B88CFA" w14:textId="77777777" w:rsidR="002C5A76" w:rsidRPr="002C5A76" w:rsidRDefault="002C5A76" w:rsidP="002C5A76">
      <w:pPr>
        <w:pStyle w:val="EndNoteBibliography"/>
        <w:spacing w:after="360"/>
        <w:rPr>
          <w:noProof/>
        </w:rPr>
      </w:pPr>
      <w:r w:rsidRPr="002C5A76">
        <w:rPr>
          <w:noProof/>
        </w:rPr>
        <w:t xml:space="preserve">Tosun, J. and A. Rinscheid (2023). "What drives engagement in the Clean Energy Ministerial? An assessment of domestic-level factors." </w:t>
      </w:r>
      <w:r w:rsidRPr="002C5A76">
        <w:rPr>
          <w:noProof/>
          <w:u w:val="single"/>
        </w:rPr>
        <w:t>Journal of European Public Policy</w:t>
      </w:r>
      <w:r w:rsidRPr="002C5A76">
        <w:rPr>
          <w:noProof/>
        </w:rPr>
        <w:t xml:space="preserve"> </w:t>
      </w:r>
      <w:r w:rsidRPr="002C5A76">
        <w:rPr>
          <w:b/>
          <w:noProof/>
        </w:rPr>
        <w:t>30</w:t>
      </w:r>
      <w:r w:rsidRPr="002C5A76">
        <w:rPr>
          <w:noProof/>
        </w:rPr>
        <w:t>(3): 469-487.</w:t>
      </w:r>
    </w:p>
    <w:p w14:paraId="3D2CE2EF" w14:textId="77777777" w:rsidR="002C5A76" w:rsidRPr="002C5A76" w:rsidRDefault="002C5A76" w:rsidP="002C5A76">
      <w:pPr>
        <w:pStyle w:val="EndNoteBibliography"/>
        <w:spacing w:after="360"/>
        <w:rPr>
          <w:noProof/>
        </w:rPr>
      </w:pPr>
      <w:r w:rsidRPr="002C5A76">
        <w:rPr>
          <w:noProof/>
        </w:rPr>
        <w:t xml:space="preserve">Valdmaa, K. (2014). "Development of the environmental taxes and charges system in Estonia: international convergence mechanisms and local factors." </w:t>
      </w:r>
      <w:r w:rsidRPr="002C5A76">
        <w:rPr>
          <w:noProof/>
          <w:u w:val="single"/>
        </w:rPr>
        <w:t>Policy Studies</w:t>
      </w:r>
      <w:r w:rsidRPr="002C5A76">
        <w:rPr>
          <w:noProof/>
        </w:rPr>
        <w:t xml:space="preserve"> </w:t>
      </w:r>
      <w:r w:rsidRPr="002C5A76">
        <w:rPr>
          <w:b/>
          <w:noProof/>
        </w:rPr>
        <w:t>35</w:t>
      </w:r>
      <w:r w:rsidRPr="002C5A76">
        <w:rPr>
          <w:noProof/>
        </w:rPr>
        <w:t>(4): 339-356.</w:t>
      </w:r>
    </w:p>
    <w:p w14:paraId="4089C8B9" w14:textId="77777777" w:rsidR="002C5A76" w:rsidRPr="002C5A76" w:rsidRDefault="002C5A76" w:rsidP="002C5A76">
      <w:pPr>
        <w:pStyle w:val="EndNoteBibliography"/>
        <w:spacing w:after="360"/>
        <w:rPr>
          <w:noProof/>
        </w:rPr>
      </w:pPr>
      <w:r w:rsidRPr="002C5A76">
        <w:rPr>
          <w:noProof/>
        </w:rPr>
        <w:t xml:space="preserve">Viola, E. and L. Basso (2015). "Brazilian Energy-Climate Policy and Politics towards Low Carbon Development." </w:t>
      </w:r>
      <w:r w:rsidRPr="002C5A76">
        <w:rPr>
          <w:noProof/>
          <w:u w:val="single"/>
        </w:rPr>
        <w:t>Global Society</w:t>
      </w:r>
      <w:r w:rsidRPr="002C5A76">
        <w:rPr>
          <w:noProof/>
        </w:rPr>
        <w:t xml:space="preserve"> </w:t>
      </w:r>
      <w:r w:rsidRPr="002C5A76">
        <w:rPr>
          <w:b/>
          <w:noProof/>
        </w:rPr>
        <w:t>29</w:t>
      </w:r>
      <w:r w:rsidRPr="002C5A76">
        <w:rPr>
          <w:noProof/>
        </w:rPr>
        <w:t>(3): 427-446.</w:t>
      </w:r>
    </w:p>
    <w:p w14:paraId="4C7C1B72" w14:textId="77777777" w:rsidR="002C5A76" w:rsidRPr="002C5A76" w:rsidRDefault="002C5A76" w:rsidP="002C5A76">
      <w:pPr>
        <w:pStyle w:val="EndNoteBibliography"/>
        <w:rPr>
          <w:noProof/>
        </w:rPr>
      </w:pPr>
      <w:r w:rsidRPr="002C5A76">
        <w:rPr>
          <w:noProof/>
        </w:rPr>
        <w:t>Weaver, S., S. Lötjönen and M. Ollikainen (2019). Overview of national climate change advisory councils. Helsinki, Finland, University of Helsinki.</w:t>
      </w:r>
    </w:p>
    <w:p w14:paraId="48EB67EA" w14:textId="1996E281" w:rsidR="00260068" w:rsidRPr="00A04EF0" w:rsidRDefault="00FD0828" w:rsidP="006323F2">
      <w:pPr>
        <w:jc w:val="both"/>
        <w:rPr>
          <w:rFonts w:ascii="Helvetica" w:eastAsia="Times New Roman" w:hAnsi="Helvetica" w:cs="Arial"/>
          <w:b/>
          <w:bCs/>
          <w:lang w:val="en-US"/>
        </w:rPr>
      </w:pPr>
      <w:r w:rsidRPr="00A04EF0">
        <w:rPr>
          <w:rFonts w:ascii="Helvetica" w:eastAsia="Times New Roman" w:hAnsi="Helvetica" w:cs="Arial"/>
          <w:b/>
          <w:bCs/>
          <w:lang w:val="en-US"/>
        </w:rPr>
        <w:fldChar w:fldCharType="end"/>
      </w:r>
    </w:p>
    <w:sectPr w:rsidR="00260068" w:rsidRPr="00A04E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F0A74" w14:textId="77777777" w:rsidR="00B06F01" w:rsidRDefault="00B06F01" w:rsidP="00A87E54">
      <w:pPr>
        <w:spacing w:after="0" w:line="240" w:lineRule="auto"/>
      </w:pPr>
      <w:r>
        <w:separator/>
      </w:r>
    </w:p>
  </w:endnote>
  <w:endnote w:type="continuationSeparator" w:id="0">
    <w:p w14:paraId="255B6845" w14:textId="77777777" w:rsidR="00B06F01" w:rsidRDefault="00B06F01" w:rsidP="00A87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926720092"/>
      <w:docPartObj>
        <w:docPartGallery w:val="Page Numbers (Bottom of Page)"/>
        <w:docPartUnique/>
      </w:docPartObj>
    </w:sdtPr>
    <w:sdtEndPr>
      <w:rPr>
        <w:rStyle w:val="Seitenzahl"/>
      </w:rPr>
    </w:sdtEndPr>
    <w:sdtContent>
      <w:p w14:paraId="264E68B5" w14:textId="11ADE222" w:rsidR="00BE70A8" w:rsidRDefault="00BE70A8" w:rsidP="00BE70A8">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B224D8">
          <w:rPr>
            <w:rStyle w:val="Seitenzahl"/>
            <w:noProof/>
          </w:rPr>
          <w:t>6</w:t>
        </w:r>
        <w:r>
          <w:rPr>
            <w:rStyle w:val="Seitenzahl"/>
          </w:rPr>
          <w:fldChar w:fldCharType="end"/>
        </w:r>
      </w:p>
    </w:sdtContent>
  </w:sdt>
  <w:p w14:paraId="1635BADD" w14:textId="77777777" w:rsidR="00BE70A8" w:rsidRDefault="00BE70A8" w:rsidP="00A87E54">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46813423"/>
      <w:docPartObj>
        <w:docPartGallery w:val="Page Numbers (Bottom of Page)"/>
        <w:docPartUnique/>
      </w:docPartObj>
    </w:sdtPr>
    <w:sdtEndPr>
      <w:rPr>
        <w:rStyle w:val="Seitenzahl"/>
        <w:color w:val="7F7F7F" w:themeColor="text1" w:themeTint="80"/>
      </w:rPr>
    </w:sdtEndPr>
    <w:sdtContent>
      <w:p w14:paraId="2FBDDCA5" w14:textId="17C512F3" w:rsidR="00BE70A8" w:rsidRPr="006D1183" w:rsidRDefault="00BE70A8" w:rsidP="00BE70A8">
        <w:pPr>
          <w:pStyle w:val="Fuzeile"/>
          <w:framePr w:wrap="none" w:vAnchor="text" w:hAnchor="margin" w:xAlign="right" w:y="1"/>
          <w:rPr>
            <w:rStyle w:val="Seitenzahl"/>
            <w:color w:val="7F7F7F" w:themeColor="text1" w:themeTint="80"/>
          </w:rPr>
        </w:pPr>
        <w:r>
          <w:rPr>
            <w:rStyle w:val="Seitenzahl"/>
          </w:rPr>
          <w:fldChar w:fldCharType="begin"/>
        </w:r>
        <w:r>
          <w:rPr>
            <w:rStyle w:val="Seitenzahl"/>
          </w:rPr>
          <w:instrText xml:space="preserve"> PAGE </w:instrText>
        </w:r>
        <w:r>
          <w:rPr>
            <w:rStyle w:val="Seitenzahl"/>
          </w:rPr>
          <w:fldChar w:fldCharType="separate"/>
        </w:r>
        <w:r w:rsidR="00D17061">
          <w:rPr>
            <w:rStyle w:val="Seitenzahl"/>
            <w:noProof/>
          </w:rPr>
          <w:t>4</w:t>
        </w:r>
        <w:r>
          <w:rPr>
            <w:rStyle w:val="Seitenzahl"/>
          </w:rPr>
          <w:fldChar w:fldCharType="end"/>
        </w:r>
      </w:p>
    </w:sdtContent>
  </w:sdt>
  <w:p w14:paraId="1AA10EB4" w14:textId="34A34109" w:rsidR="00BE70A8" w:rsidRPr="006D1183" w:rsidRDefault="006D1183" w:rsidP="00A87E54">
    <w:pPr>
      <w:pStyle w:val="Fuzeile"/>
      <w:ind w:right="360"/>
      <w:rPr>
        <w:color w:val="7F7F7F" w:themeColor="text1" w:themeTint="80"/>
      </w:rPr>
    </w:pPr>
    <w:r w:rsidRPr="006D1183">
      <w:rPr>
        <w:color w:val="7F7F7F" w:themeColor="text1" w:themeTint="80"/>
      </w:rPr>
      <w:t>Policies CO</w:t>
    </w:r>
    <w:r w:rsidRPr="006D1183">
      <w:rPr>
        <w:color w:val="7F7F7F" w:themeColor="text1" w:themeTint="80"/>
        <w:vertAlign w:val="subscript"/>
      </w:rPr>
      <w:t>2</w:t>
    </w:r>
    <w:r w:rsidRPr="006D1183">
      <w:rPr>
        <w:color w:val="7F7F7F" w:themeColor="text1" w:themeTint="80"/>
      </w:rPr>
      <w:t xml:space="preserve"> – Supplementary Information 1 (SI1)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EB176" w14:textId="77777777" w:rsidR="00B06F01" w:rsidRDefault="00B06F01" w:rsidP="00A87E54">
      <w:pPr>
        <w:spacing w:after="0" w:line="240" w:lineRule="auto"/>
      </w:pPr>
      <w:r>
        <w:separator/>
      </w:r>
    </w:p>
  </w:footnote>
  <w:footnote w:type="continuationSeparator" w:id="0">
    <w:p w14:paraId="1194D60D" w14:textId="77777777" w:rsidR="00B06F01" w:rsidRDefault="00B06F01" w:rsidP="00A87E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1214B"/>
    <w:multiLevelType w:val="hybridMultilevel"/>
    <w:tmpl w:val="20F4AC1A"/>
    <w:lvl w:ilvl="0" w:tplc="E2F2E67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C77232"/>
    <w:multiLevelType w:val="hybridMultilevel"/>
    <w:tmpl w:val="6DB41486"/>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107F1C1F"/>
    <w:multiLevelType w:val="hybridMultilevel"/>
    <w:tmpl w:val="10B08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B606D0"/>
    <w:multiLevelType w:val="multilevel"/>
    <w:tmpl w:val="116A71A6"/>
    <w:styleLink w:val="CurrentList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9297C92"/>
    <w:multiLevelType w:val="hybridMultilevel"/>
    <w:tmpl w:val="99247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C84446"/>
    <w:multiLevelType w:val="hybridMultilevel"/>
    <w:tmpl w:val="8C8663D8"/>
    <w:lvl w:ilvl="0" w:tplc="E230D5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021387"/>
    <w:multiLevelType w:val="multilevel"/>
    <w:tmpl w:val="61766CE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61B0188"/>
    <w:multiLevelType w:val="hybridMultilevel"/>
    <w:tmpl w:val="DC624F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CC1C2F"/>
    <w:multiLevelType w:val="multilevel"/>
    <w:tmpl w:val="E68880F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9" w15:restartNumberingAfterBreak="0">
    <w:nsid w:val="3B197BF4"/>
    <w:multiLevelType w:val="hybridMultilevel"/>
    <w:tmpl w:val="0A723A4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5DD5574"/>
    <w:multiLevelType w:val="multilevel"/>
    <w:tmpl w:val="FFA61972"/>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D051C9"/>
    <w:multiLevelType w:val="multilevel"/>
    <w:tmpl w:val="B99E746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BBB002D"/>
    <w:multiLevelType w:val="hybridMultilevel"/>
    <w:tmpl w:val="6D2826E4"/>
    <w:lvl w:ilvl="0" w:tplc="A9F821BE">
      <w:start w:val="1"/>
      <w:numFmt w:val="lowerRoman"/>
      <w:lvlText w:val="%1)"/>
      <w:lvlJc w:val="left"/>
      <w:pPr>
        <w:ind w:left="1080" w:hanging="720"/>
      </w:pPr>
      <w:rPr>
        <w:rFonts w:hint="default"/>
      </w:rPr>
    </w:lvl>
    <w:lvl w:ilvl="1" w:tplc="08090019">
      <w:start w:val="1"/>
      <w:numFmt w:val="lowerLetter"/>
      <w:lvlText w:val="%2."/>
      <w:lvlJc w:val="left"/>
      <w:pPr>
        <w:ind w:left="644" w:hanging="360"/>
      </w:pPr>
    </w:lvl>
    <w:lvl w:ilvl="2" w:tplc="54FC9B34">
      <w:start w:val="1"/>
      <w:numFmt w:val="lowerLetter"/>
      <w:lvlText w:val="%3)"/>
      <w:lvlJc w:val="left"/>
      <w:pPr>
        <w:ind w:left="36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11"/>
  </w:num>
  <w:num w:numId="6">
    <w:abstractNumId w:val="3"/>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4"/>
  </w:num>
  <w:num w:numId="12">
    <w:abstractNumId w:val="12"/>
  </w:num>
  <w:num w:numId="13">
    <w:abstractNumId w:val="6"/>
  </w:num>
  <w:num w:numId="14">
    <w:abstractNumId w:val="9"/>
  </w:num>
  <w:num w:numId="15">
    <w:abstractNumId w:val="8"/>
  </w:num>
  <w:num w:numId="16">
    <w:abstractNumId w:val="8"/>
  </w:num>
  <w:num w:numId="17">
    <w:abstractNumId w:val="8"/>
  </w:num>
  <w:num w:numId="18">
    <w:abstractNumId w:val="8"/>
  </w:num>
  <w:num w:numId="19">
    <w:abstractNumId w:val="8"/>
  </w:num>
  <w:num w:numId="20">
    <w:abstractNumId w:val="8"/>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E2tzS1MLUwtDQ3NDBR0lEKTi0uzszPAykwrAUAGVrbEiwAAAA="/>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2&lt;/SpaceAfter&gt;&lt;HyperlinksEnabled&gt;0&lt;/HyperlinksEnabled&gt;&lt;HyperlinksVisible&gt;0&lt;/HyperlinksVisible&gt;&lt;EnableBibliographyCategories&gt;0&lt;/EnableBibliographyCategories&gt;&lt;/ENLayout&gt;"/>
    <w:docVar w:name="EN.Libraries" w:val="&lt;Libraries&gt;&lt;item db-id=&quot;pzwxerf5sf52xoef20m52s5jxpa0wpaspvpd&quot;&gt;Bibliography_Charlie-X20.2&lt;record-ids&gt;&lt;item&gt;6077&lt;/item&gt;&lt;item&gt;6833&lt;/item&gt;&lt;item&gt;6834&lt;/item&gt;&lt;item&gt;6859&lt;/item&gt;&lt;item&gt;6863&lt;/item&gt;&lt;item&gt;6905&lt;/item&gt;&lt;item&gt;6906&lt;/item&gt;&lt;item&gt;6907&lt;/item&gt;&lt;item&gt;6908&lt;/item&gt;&lt;item&gt;6909&lt;/item&gt;&lt;item&gt;7230&lt;/item&gt;&lt;item&gt;7274&lt;/item&gt;&lt;item&gt;7275&lt;/item&gt;&lt;item&gt;7349&lt;/item&gt;&lt;item&gt;7350&lt;/item&gt;&lt;item&gt;7351&lt;/item&gt;&lt;item&gt;7352&lt;/item&gt;&lt;/record-ids&gt;&lt;/item&gt;&lt;/Libraries&gt;"/>
  </w:docVars>
  <w:rsids>
    <w:rsidRoot w:val="006323F2"/>
    <w:rsid w:val="00002F35"/>
    <w:rsid w:val="00005D93"/>
    <w:rsid w:val="000065AE"/>
    <w:rsid w:val="00011F76"/>
    <w:rsid w:val="000179E0"/>
    <w:rsid w:val="00023832"/>
    <w:rsid w:val="000330B6"/>
    <w:rsid w:val="00034723"/>
    <w:rsid w:val="000355A3"/>
    <w:rsid w:val="000404AE"/>
    <w:rsid w:val="00044BC4"/>
    <w:rsid w:val="000455CE"/>
    <w:rsid w:val="000506E1"/>
    <w:rsid w:val="00052469"/>
    <w:rsid w:val="00061392"/>
    <w:rsid w:val="00061E68"/>
    <w:rsid w:val="00066356"/>
    <w:rsid w:val="000710ED"/>
    <w:rsid w:val="000A37FB"/>
    <w:rsid w:val="000B09A0"/>
    <w:rsid w:val="000C1DE9"/>
    <w:rsid w:val="000D30D7"/>
    <w:rsid w:val="000D3BA3"/>
    <w:rsid w:val="000E0E25"/>
    <w:rsid w:val="000E1A6F"/>
    <w:rsid w:val="000E3262"/>
    <w:rsid w:val="000E7DAE"/>
    <w:rsid w:val="000E7F65"/>
    <w:rsid w:val="000F1A6D"/>
    <w:rsid w:val="000F793E"/>
    <w:rsid w:val="00100EFD"/>
    <w:rsid w:val="00106E89"/>
    <w:rsid w:val="0011571E"/>
    <w:rsid w:val="001202F8"/>
    <w:rsid w:val="001212AC"/>
    <w:rsid w:val="00121485"/>
    <w:rsid w:val="00122CDF"/>
    <w:rsid w:val="00131135"/>
    <w:rsid w:val="00135C59"/>
    <w:rsid w:val="001366EB"/>
    <w:rsid w:val="001433A1"/>
    <w:rsid w:val="00144C47"/>
    <w:rsid w:val="00145D88"/>
    <w:rsid w:val="00146B8E"/>
    <w:rsid w:val="00146CA3"/>
    <w:rsid w:val="00152B59"/>
    <w:rsid w:val="001548C7"/>
    <w:rsid w:val="00154DF7"/>
    <w:rsid w:val="00155B27"/>
    <w:rsid w:val="001633E2"/>
    <w:rsid w:val="00166B27"/>
    <w:rsid w:val="00167F61"/>
    <w:rsid w:val="001742E4"/>
    <w:rsid w:val="00180FAB"/>
    <w:rsid w:val="00181CE0"/>
    <w:rsid w:val="00194C96"/>
    <w:rsid w:val="00195642"/>
    <w:rsid w:val="00196918"/>
    <w:rsid w:val="001C0415"/>
    <w:rsid w:val="001C0B10"/>
    <w:rsid w:val="001C5961"/>
    <w:rsid w:val="001D617D"/>
    <w:rsid w:val="001E1A9C"/>
    <w:rsid w:val="001E220F"/>
    <w:rsid w:val="001E37AF"/>
    <w:rsid w:val="001E6A37"/>
    <w:rsid w:val="001F4329"/>
    <w:rsid w:val="001F71A5"/>
    <w:rsid w:val="00202511"/>
    <w:rsid w:val="00202CD4"/>
    <w:rsid w:val="00214B59"/>
    <w:rsid w:val="00215475"/>
    <w:rsid w:val="00215A9E"/>
    <w:rsid w:val="00221E62"/>
    <w:rsid w:val="00227F63"/>
    <w:rsid w:val="00234DE4"/>
    <w:rsid w:val="002366B8"/>
    <w:rsid w:val="00240AD2"/>
    <w:rsid w:val="002434EA"/>
    <w:rsid w:val="00243C40"/>
    <w:rsid w:val="00251BC6"/>
    <w:rsid w:val="0025280E"/>
    <w:rsid w:val="00252A39"/>
    <w:rsid w:val="00253B04"/>
    <w:rsid w:val="00255D81"/>
    <w:rsid w:val="0025628B"/>
    <w:rsid w:val="00260068"/>
    <w:rsid w:val="00264A57"/>
    <w:rsid w:val="00276669"/>
    <w:rsid w:val="002831BF"/>
    <w:rsid w:val="00284879"/>
    <w:rsid w:val="00285D0C"/>
    <w:rsid w:val="00287DE7"/>
    <w:rsid w:val="002A3A93"/>
    <w:rsid w:val="002A78CC"/>
    <w:rsid w:val="002B38D6"/>
    <w:rsid w:val="002B55C5"/>
    <w:rsid w:val="002C5A76"/>
    <w:rsid w:val="002D093E"/>
    <w:rsid w:val="002D238C"/>
    <w:rsid w:val="002D47D4"/>
    <w:rsid w:val="002E305E"/>
    <w:rsid w:val="002F04A4"/>
    <w:rsid w:val="0030571B"/>
    <w:rsid w:val="0030752B"/>
    <w:rsid w:val="003109F1"/>
    <w:rsid w:val="00314561"/>
    <w:rsid w:val="003350C5"/>
    <w:rsid w:val="00335BB9"/>
    <w:rsid w:val="00335D08"/>
    <w:rsid w:val="00336CF1"/>
    <w:rsid w:val="00337570"/>
    <w:rsid w:val="00341713"/>
    <w:rsid w:val="003463ED"/>
    <w:rsid w:val="00356703"/>
    <w:rsid w:val="00357823"/>
    <w:rsid w:val="00363DED"/>
    <w:rsid w:val="003653C7"/>
    <w:rsid w:val="003717F9"/>
    <w:rsid w:val="003726B5"/>
    <w:rsid w:val="00373AD9"/>
    <w:rsid w:val="00376C43"/>
    <w:rsid w:val="0037780C"/>
    <w:rsid w:val="00377C69"/>
    <w:rsid w:val="00384692"/>
    <w:rsid w:val="0039426C"/>
    <w:rsid w:val="003A4223"/>
    <w:rsid w:val="003B0CE4"/>
    <w:rsid w:val="003B32B7"/>
    <w:rsid w:val="003B7EFF"/>
    <w:rsid w:val="003C07BF"/>
    <w:rsid w:val="003C180A"/>
    <w:rsid w:val="003C285F"/>
    <w:rsid w:val="003C3821"/>
    <w:rsid w:val="003C4804"/>
    <w:rsid w:val="003D0219"/>
    <w:rsid w:val="003D525B"/>
    <w:rsid w:val="003E1A12"/>
    <w:rsid w:val="003E38B0"/>
    <w:rsid w:val="003E609F"/>
    <w:rsid w:val="003E78E4"/>
    <w:rsid w:val="003F280A"/>
    <w:rsid w:val="0040578E"/>
    <w:rsid w:val="004131E0"/>
    <w:rsid w:val="00415421"/>
    <w:rsid w:val="004159C4"/>
    <w:rsid w:val="00416460"/>
    <w:rsid w:val="004165C0"/>
    <w:rsid w:val="004415C8"/>
    <w:rsid w:val="00442BCD"/>
    <w:rsid w:val="0044575B"/>
    <w:rsid w:val="0044692E"/>
    <w:rsid w:val="00446A4A"/>
    <w:rsid w:val="00450500"/>
    <w:rsid w:val="00451555"/>
    <w:rsid w:val="00455F41"/>
    <w:rsid w:val="00462B87"/>
    <w:rsid w:val="00465B4F"/>
    <w:rsid w:val="00466924"/>
    <w:rsid w:val="00474D4D"/>
    <w:rsid w:val="00481881"/>
    <w:rsid w:val="0048244E"/>
    <w:rsid w:val="0048245E"/>
    <w:rsid w:val="00484125"/>
    <w:rsid w:val="00484459"/>
    <w:rsid w:val="004946D0"/>
    <w:rsid w:val="004A0A38"/>
    <w:rsid w:val="004A0A3D"/>
    <w:rsid w:val="004A11DE"/>
    <w:rsid w:val="004B176D"/>
    <w:rsid w:val="004B2B99"/>
    <w:rsid w:val="004B3B14"/>
    <w:rsid w:val="004C5211"/>
    <w:rsid w:val="004C5256"/>
    <w:rsid w:val="004C711C"/>
    <w:rsid w:val="004D1C8D"/>
    <w:rsid w:val="004D2CDF"/>
    <w:rsid w:val="004D37C1"/>
    <w:rsid w:val="004D5B92"/>
    <w:rsid w:val="004E6DB6"/>
    <w:rsid w:val="004F3E27"/>
    <w:rsid w:val="004F41B5"/>
    <w:rsid w:val="004F5E81"/>
    <w:rsid w:val="00501E4F"/>
    <w:rsid w:val="00513462"/>
    <w:rsid w:val="00521D36"/>
    <w:rsid w:val="00524129"/>
    <w:rsid w:val="005256DA"/>
    <w:rsid w:val="005308AA"/>
    <w:rsid w:val="00531404"/>
    <w:rsid w:val="00533F6A"/>
    <w:rsid w:val="005356EB"/>
    <w:rsid w:val="005412C2"/>
    <w:rsid w:val="00543884"/>
    <w:rsid w:val="00550204"/>
    <w:rsid w:val="0055384A"/>
    <w:rsid w:val="00561729"/>
    <w:rsid w:val="00566667"/>
    <w:rsid w:val="00566A53"/>
    <w:rsid w:val="00573CDE"/>
    <w:rsid w:val="00575BD8"/>
    <w:rsid w:val="00576D8C"/>
    <w:rsid w:val="0058796D"/>
    <w:rsid w:val="00592A5F"/>
    <w:rsid w:val="00594075"/>
    <w:rsid w:val="0059714B"/>
    <w:rsid w:val="005B1D15"/>
    <w:rsid w:val="005B3445"/>
    <w:rsid w:val="005B3BC2"/>
    <w:rsid w:val="005B4329"/>
    <w:rsid w:val="005B68D3"/>
    <w:rsid w:val="005C4657"/>
    <w:rsid w:val="005C6294"/>
    <w:rsid w:val="005D10C7"/>
    <w:rsid w:val="005E617D"/>
    <w:rsid w:val="005E7501"/>
    <w:rsid w:val="00600BFF"/>
    <w:rsid w:val="00600EAB"/>
    <w:rsid w:val="00602D29"/>
    <w:rsid w:val="006062D6"/>
    <w:rsid w:val="00610F90"/>
    <w:rsid w:val="0061563F"/>
    <w:rsid w:val="00616EDF"/>
    <w:rsid w:val="0062494A"/>
    <w:rsid w:val="00625F88"/>
    <w:rsid w:val="00626588"/>
    <w:rsid w:val="006323F2"/>
    <w:rsid w:val="00636705"/>
    <w:rsid w:val="006428BB"/>
    <w:rsid w:val="006506BE"/>
    <w:rsid w:val="00661014"/>
    <w:rsid w:val="0066194F"/>
    <w:rsid w:val="00661C4D"/>
    <w:rsid w:val="006677C0"/>
    <w:rsid w:val="00671398"/>
    <w:rsid w:val="00676016"/>
    <w:rsid w:val="00683D96"/>
    <w:rsid w:val="00693570"/>
    <w:rsid w:val="006A1E90"/>
    <w:rsid w:val="006A2DC5"/>
    <w:rsid w:val="006A5496"/>
    <w:rsid w:val="006A5AE5"/>
    <w:rsid w:val="006B13A2"/>
    <w:rsid w:val="006B3D34"/>
    <w:rsid w:val="006C1CB4"/>
    <w:rsid w:val="006C73C7"/>
    <w:rsid w:val="006C7B1B"/>
    <w:rsid w:val="006D1183"/>
    <w:rsid w:val="006D1DAD"/>
    <w:rsid w:val="006D2950"/>
    <w:rsid w:val="006D4E58"/>
    <w:rsid w:val="006D5B40"/>
    <w:rsid w:val="006D6550"/>
    <w:rsid w:val="006D6C1C"/>
    <w:rsid w:val="006D71A7"/>
    <w:rsid w:val="006D77E0"/>
    <w:rsid w:val="006F0C20"/>
    <w:rsid w:val="006F3225"/>
    <w:rsid w:val="006F35A8"/>
    <w:rsid w:val="006F3C90"/>
    <w:rsid w:val="006F4F93"/>
    <w:rsid w:val="006F574A"/>
    <w:rsid w:val="006F5CDC"/>
    <w:rsid w:val="006F756C"/>
    <w:rsid w:val="0070589C"/>
    <w:rsid w:val="00705DE9"/>
    <w:rsid w:val="00706EC3"/>
    <w:rsid w:val="0071452A"/>
    <w:rsid w:val="0072034F"/>
    <w:rsid w:val="007372B6"/>
    <w:rsid w:val="00737419"/>
    <w:rsid w:val="00741745"/>
    <w:rsid w:val="0074246E"/>
    <w:rsid w:val="0075515A"/>
    <w:rsid w:val="00757706"/>
    <w:rsid w:val="00760258"/>
    <w:rsid w:val="00760B29"/>
    <w:rsid w:val="007616E1"/>
    <w:rsid w:val="00770150"/>
    <w:rsid w:val="00771E97"/>
    <w:rsid w:val="00772A15"/>
    <w:rsid w:val="00773C21"/>
    <w:rsid w:val="00773C93"/>
    <w:rsid w:val="00782504"/>
    <w:rsid w:val="00791AFF"/>
    <w:rsid w:val="007B550A"/>
    <w:rsid w:val="007B66A6"/>
    <w:rsid w:val="007C1E9A"/>
    <w:rsid w:val="007C6205"/>
    <w:rsid w:val="007C7261"/>
    <w:rsid w:val="007D1784"/>
    <w:rsid w:val="007D2A39"/>
    <w:rsid w:val="007D6003"/>
    <w:rsid w:val="007D7A80"/>
    <w:rsid w:val="007E0248"/>
    <w:rsid w:val="007E2116"/>
    <w:rsid w:val="007E4AEF"/>
    <w:rsid w:val="007E5FD8"/>
    <w:rsid w:val="00804AA3"/>
    <w:rsid w:val="0080674A"/>
    <w:rsid w:val="00810CD6"/>
    <w:rsid w:val="008233E1"/>
    <w:rsid w:val="0082392F"/>
    <w:rsid w:val="008264DC"/>
    <w:rsid w:val="008371B9"/>
    <w:rsid w:val="0084226C"/>
    <w:rsid w:val="0084280D"/>
    <w:rsid w:val="008451FD"/>
    <w:rsid w:val="008455F2"/>
    <w:rsid w:val="008465E4"/>
    <w:rsid w:val="00854CC1"/>
    <w:rsid w:val="0086084E"/>
    <w:rsid w:val="00861EAD"/>
    <w:rsid w:val="00864026"/>
    <w:rsid w:val="0086740F"/>
    <w:rsid w:val="00870B9C"/>
    <w:rsid w:val="008733D7"/>
    <w:rsid w:val="00873F61"/>
    <w:rsid w:val="00874D1A"/>
    <w:rsid w:val="00875B13"/>
    <w:rsid w:val="008771EF"/>
    <w:rsid w:val="008908A3"/>
    <w:rsid w:val="008A5695"/>
    <w:rsid w:val="008A6B6E"/>
    <w:rsid w:val="008B52D6"/>
    <w:rsid w:val="008C36E8"/>
    <w:rsid w:val="008C49DA"/>
    <w:rsid w:val="008C5D53"/>
    <w:rsid w:val="008D0E7E"/>
    <w:rsid w:val="008D181D"/>
    <w:rsid w:val="008D5C96"/>
    <w:rsid w:val="008D69BC"/>
    <w:rsid w:val="008E14C9"/>
    <w:rsid w:val="008E7EAA"/>
    <w:rsid w:val="008F2A13"/>
    <w:rsid w:val="008F55D6"/>
    <w:rsid w:val="008F6A0A"/>
    <w:rsid w:val="009023BD"/>
    <w:rsid w:val="00903D51"/>
    <w:rsid w:val="00904D60"/>
    <w:rsid w:val="009109D3"/>
    <w:rsid w:val="00913248"/>
    <w:rsid w:val="00921252"/>
    <w:rsid w:val="0092474C"/>
    <w:rsid w:val="0092562C"/>
    <w:rsid w:val="009309CC"/>
    <w:rsid w:val="0093450D"/>
    <w:rsid w:val="00934939"/>
    <w:rsid w:val="00944DBF"/>
    <w:rsid w:val="009454A9"/>
    <w:rsid w:val="00946E28"/>
    <w:rsid w:val="00951C8F"/>
    <w:rsid w:val="00954B57"/>
    <w:rsid w:val="00954FAC"/>
    <w:rsid w:val="00957A7B"/>
    <w:rsid w:val="00960A2A"/>
    <w:rsid w:val="00964478"/>
    <w:rsid w:val="009644C4"/>
    <w:rsid w:val="00975038"/>
    <w:rsid w:val="00975DAD"/>
    <w:rsid w:val="0098288C"/>
    <w:rsid w:val="009831E0"/>
    <w:rsid w:val="009835F5"/>
    <w:rsid w:val="00984E71"/>
    <w:rsid w:val="00991128"/>
    <w:rsid w:val="00994C68"/>
    <w:rsid w:val="0099680E"/>
    <w:rsid w:val="0099745D"/>
    <w:rsid w:val="009A531B"/>
    <w:rsid w:val="009B2BB3"/>
    <w:rsid w:val="009B69B9"/>
    <w:rsid w:val="009C2700"/>
    <w:rsid w:val="009C3A32"/>
    <w:rsid w:val="009C450A"/>
    <w:rsid w:val="009D2E24"/>
    <w:rsid w:val="009D2E58"/>
    <w:rsid w:val="009D7B2A"/>
    <w:rsid w:val="009E0A38"/>
    <w:rsid w:val="009E4A0C"/>
    <w:rsid w:val="009E4C73"/>
    <w:rsid w:val="009F06D5"/>
    <w:rsid w:val="009F5F71"/>
    <w:rsid w:val="00A021B2"/>
    <w:rsid w:val="00A04EF0"/>
    <w:rsid w:val="00A13199"/>
    <w:rsid w:val="00A14A6E"/>
    <w:rsid w:val="00A156CB"/>
    <w:rsid w:val="00A2081B"/>
    <w:rsid w:val="00A2444D"/>
    <w:rsid w:val="00A33E35"/>
    <w:rsid w:val="00A34F9D"/>
    <w:rsid w:val="00A41315"/>
    <w:rsid w:val="00A42E44"/>
    <w:rsid w:val="00A533FC"/>
    <w:rsid w:val="00A56139"/>
    <w:rsid w:val="00A60DCA"/>
    <w:rsid w:val="00A6233D"/>
    <w:rsid w:val="00A63F23"/>
    <w:rsid w:val="00A63FB0"/>
    <w:rsid w:val="00A86228"/>
    <w:rsid w:val="00A87E54"/>
    <w:rsid w:val="00A92874"/>
    <w:rsid w:val="00A944AF"/>
    <w:rsid w:val="00AA12B7"/>
    <w:rsid w:val="00AA2C52"/>
    <w:rsid w:val="00AA5059"/>
    <w:rsid w:val="00AA5EF0"/>
    <w:rsid w:val="00AA75D6"/>
    <w:rsid w:val="00AD0C89"/>
    <w:rsid w:val="00AD0CD7"/>
    <w:rsid w:val="00AD26B1"/>
    <w:rsid w:val="00AD26B2"/>
    <w:rsid w:val="00AD2E74"/>
    <w:rsid w:val="00AD45E2"/>
    <w:rsid w:val="00AE44D5"/>
    <w:rsid w:val="00AF16DE"/>
    <w:rsid w:val="00AF2C4A"/>
    <w:rsid w:val="00AF3B5B"/>
    <w:rsid w:val="00AF40E0"/>
    <w:rsid w:val="00AF4297"/>
    <w:rsid w:val="00AF698D"/>
    <w:rsid w:val="00AF73D8"/>
    <w:rsid w:val="00B00B6B"/>
    <w:rsid w:val="00B045D6"/>
    <w:rsid w:val="00B04D36"/>
    <w:rsid w:val="00B06617"/>
    <w:rsid w:val="00B06F01"/>
    <w:rsid w:val="00B12FA4"/>
    <w:rsid w:val="00B16954"/>
    <w:rsid w:val="00B224D8"/>
    <w:rsid w:val="00B25234"/>
    <w:rsid w:val="00B27141"/>
    <w:rsid w:val="00B320EC"/>
    <w:rsid w:val="00B453A3"/>
    <w:rsid w:val="00B46F98"/>
    <w:rsid w:val="00B52177"/>
    <w:rsid w:val="00B544B7"/>
    <w:rsid w:val="00B54A61"/>
    <w:rsid w:val="00B55B4E"/>
    <w:rsid w:val="00B61435"/>
    <w:rsid w:val="00B73722"/>
    <w:rsid w:val="00B849F4"/>
    <w:rsid w:val="00B86DF1"/>
    <w:rsid w:val="00B933FD"/>
    <w:rsid w:val="00B9466F"/>
    <w:rsid w:val="00BA44FA"/>
    <w:rsid w:val="00BD26AB"/>
    <w:rsid w:val="00BD2847"/>
    <w:rsid w:val="00BD4063"/>
    <w:rsid w:val="00BE015F"/>
    <w:rsid w:val="00BE2F8F"/>
    <w:rsid w:val="00BE70A8"/>
    <w:rsid w:val="00C029CD"/>
    <w:rsid w:val="00C064B4"/>
    <w:rsid w:val="00C12688"/>
    <w:rsid w:val="00C131ED"/>
    <w:rsid w:val="00C14A0E"/>
    <w:rsid w:val="00C1682C"/>
    <w:rsid w:val="00C1748C"/>
    <w:rsid w:val="00C17B4E"/>
    <w:rsid w:val="00C2248A"/>
    <w:rsid w:val="00C234F8"/>
    <w:rsid w:val="00C23DD2"/>
    <w:rsid w:val="00C242CB"/>
    <w:rsid w:val="00C24921"/>
    <w:rsid w:val="00C24C95"/>
    <w:rsid w:val="00C367DC"/>
    <w:rsid w:val="00C45AFF"/>
    <w:rsid w:val="00C46BEF"/>
    <w:rsid w:val="00C50E6B"/>
    <w:rsid w:val="00C57B7C"/>
    <w:rsid w:val="00C62CD3"/>
    <w:rsid w:val="00C65963"/>
    <w:rsid w:val="00C6612A"/>
    <w:rsid w:val="00C67862"/>
    <w:rsid w:val="00C75C06"/>
    <w:rsid w:val="00C75F1A"/>
    <w:rsid w:val="00C80A4F"/>
    <w:rsid w:val="00C87AD1"/>
    <w:rsid w:val="00C87BB3"/>
    <w:rsid w:val="00C90D26"/>
    <w:rsid w:val="00CA15B1"/>
    <w:rsid w:val="00CA184E"/>
    <w:rsid w:val="00CA1AB1"/>
    <w:rsid w:val="00CA1B2D"/>
    <w:rsid w:val="00CA7D52"/>
    <w:rsid w:val="00CB06A4"/>
    <w:rsid w:val="00CC7159"/>
    <w:rsid w:val="00CC7A5C"/>
    <w:rsid w:val="00CE068B"/>
    <w:rsid w:val="00CE068F"/>
    <w:rsid w:val="00CF36AE"/>
    <w:rsid w:val="00CF5661"/>
    <w:rsid w:val="00CF67A6"/>
    <w:rsid w:val="00D016DB"/>
    <w:rsid w:val="00D074CC"/>
    <w:rsid w:val="00D10BBD"/>
    <w:rsid w:val="00D155C8"/>
    <w:rsid w:val="00D17061"/>
    <w:rsid w:val="00D202EF"/>
    <w:rsid w:val="00D20452"/>
    <w:rsid w:val="00D210C8"/>
    <w:rsid w:val="00D23C25"/>
    <w:rsid w:val="00D30770"/>
    <w:rsid w:val="00D31901"/>
    <w:rsid w:val="00D337EA"/>
    <w:rsid w:val="00D35FB4"/>
    <w:rsid w:val="00D45EA3"/>
    <w:rsid w:val="00D52C84"/>
    <w:rsid w:val="00D55554"/>
    <w:rsid w:val="00D56DCE"/>
    <w:rsid w:val="00D57642"/>
    <w:rsid w:val="00D633AC"/>
    <w:rsid w:val="00D65C83"/>
    <w:rsid w:val="00D67BEF"/>
    <w:rsid w:val="00D71613"/>
    <w:rsid w:val="00D71860"/>
    <w:rsid w:val="00D761B9"/>
    <w:rsid w:val="00D90984"/>
    <w:rsid w:val="00D90B90"/>
    <w:rsid w:val="00D91A1C"/>
    <w:rsid w:val="00D93066"/>
    <w:rsid w:val="00D97FEF"/>
    <w:rsid w:val="00DA2FB6"/>
    <w:rsid w:val="00DA525F"/>
    <w:rsid w:val="00DA5961"/>
    <w:rsid w:val="00DA5D34"/>
    <w:rsid w:val="00DA7D37"/>
    <w:rsid w:val="00DC2BC1"/>
    <w:rsid w:val="00DC6CA6"/>
    <w:rsid w:val="00DC7446"/>
    <w:rsid w:val="00DD4205"/>
    <w:rsid w:val="00DD586C"/>
    <w:rsid w:val="00DD7C9D"/>
    <w:rsid w:val="00DE3B7F"/>
    <w:rsid w:val="00DE748D"/>
    <w:rsid w:val="00DF4488"/>
    <w:rsid w:val="00E05D7D"/>
    <w:rsid w:val="00E11C13"/>
    <w:rsid w:val="00E12250"/>
    <w:rsid w:val="00E12A85"/>
    <w:rsid w:val="00E137C9"/>
    <w:rsid w:val="00E16ED8"/>
    <w:rsid w:val="00E21B5E"/>
    <w:rsid w:val="00E24AE6"/>
    <w:rsid w:val="00E25BF4"/>
    <w:rsid w:val="00E31972"/>
    <w:rsid w:val="00E3268F"/>
    <w:rsid w:val="00E32C72"/>
    <w:rsid w:val="00E34175"/>
    <w:rsid w:val="00E341D6"/>
    <w:rsid w:val="00E435D6"/>
    <w:rsid w:val="00E44D74"/>
    <w:rsid w:val="00E4683A"/>
    <w:rsid w:val="00E47BEA"/>
    <w:rsid w:val="00E53DFF"/>
    <w:rsid w:val="00E55DDC"/>
    <w:rsid w:val="00E73AEA"/>
    <w:rsid w:val="00E75995"/>
    <w:rsid w:val="00E767E5"/>
    <w:rsid w:val="00E8118A"/>
    <w:rsid w:val="00E901A6"/>
    <w:rsid w:val="00E976F4"/>
    <w:rsid w:val="00EA1452"/>
    <w:rsid w:val="00EA3129"/>
    <w:rsid w:val="00EB3835"/>
    <w:rsid w:val="00EB6885"/>
    <w:rsid w:val="00EB79D8"/>
    <w:rsid w:val="00EC7027"/>
    <w:rsid w:val="00ED36F8"/>
    <w:rsid w:val="00ED3D94"/>
    <w:rsid w:val="00ED413D"/>
    <w:rsid w:val="00ED4153"/>
    <w:rsid w:val="00ED6B1A"/>
    <w:rsid w:val="00EE100D"/>
    <w:rsid w:val="00EE7C63"/>
    <w:rsid w:val="00EF1A39"/>
    <w:rsid w:val="00EF27D4"/>
    <w:rsid w:val="00EF3081"/>
    <w:rsid w:val="00EF5F76"/>
    <w:rsid w:val="00EF62C4"/>
    <w:rsid w:val="00EF7E90"/>
    <w:rsid w:val="00F0007F"/>
    <w:rsid w:val="00F05CE8"/>
    <w:rsid w:val="00F11938"/>
    <w:rsid w:val="00F1373C"/>
    <w:rsid w:val="00F14D7E"/>
    <w:rsid w:val="00F17759"/>
    <w:rsid w:val="00F226B1"/>
    <w:rsid w:val="00F2411C"/>
    <w:rsid w:val="00F2475B"/>
    <w:rsid w:val="00F27677"/>
    <w:rsid w:val="00F349D0"/>
    <w:rsid w:val="00F4248D"/>
    <w:rsid w:val="00F5046B"/>
    <w:rsid w:val="00F51A70"/>
    <w:rsid w:val="00F51BC3"/>
    <w:rsid w:val="00F53793"/>
    <w:rsid w:val="00F6043D"/>
    <w:rsid w:val="00F60D42"/>
    <w:rsid w:val="00F651D3"/>
    <w:rsid w:val="00F66654"/>
    <w:rsid w:val="00F751D4"/>
    <w:rsid w:val="00F778A1"/>
    <w:rsid w:val="00F77CB6"/>
    <w:rsid w:val="00F8068F"/>
    <w:rsid w:val="00F8476A"/>
    <w:rsid w:val="00F94F61"/>
    <w:rsid w:val="00FA136F"/>
    <w:rsid w:val="00FB3722"/>
    <w:rsid w:val="00FB6F59"/>
    <w:rsid w:val="00FC12C7"/>
    <w:rsid w:val="00FC5839"/>
    <w:rsid w:val="00FD0828"/>
    <w:rsid w:val="00FD2F9C"/>
    <w:rsid w:val="00FE0665"/>
    <w:rsid w:val="00FF127A"/>
    <w:rsid w:val="00FF1AA7"/>
    <w:rsid w:val="00FF297D"/>
    <w:rsid w:val="00FF64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CC40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3BA3"/>
    <w:rPr>
      <w:rFonts w:ascii="Arial" w:hAnsi="Arial"/>
    </w:rPr>
  </w:style>
  <w:style w:type="paragraph" w:styleId="berschrift1">
    <w:name w:val="heading 1"/>
    <w:basedOn w:val="Standard"/>
    <w:next w:val="Standard"/>
    <w:link w:val="berschrift1Zchn"/>
    <w:uiPriority w:val="9"/>
    <w:qFormat/>
    <w:rsid w:val="000D3BA3"/>
    <w:pPr>
      <w:keepNext/>
      <w:keepLines/>
      <w:numPr>
        <w:numId w:val="15"/>
      </w:numPr>
      <w:spacing w:before="240" w:after="120"/>
      <w:outlineLvl w:val="0"/>
    </w:pPr>
    <w:rPr>
      <w:rFonts w:eastAsiaTheme="majorEastAsia" w:cs="Times New Roman (Headings CS)"/>
      <w:b/>
      <w:color w:val="000000" w:themeColor="text1"/>
      <w:sz w:val="24"/>
      <w:szCs w:val="32"/>
    </w:rPr>
  </w:style>
  <w:style w:type="paragraph" w:styleId="berschrift2">
    <w:name w:val="heading 2"/>
    <w:basedOn w:val="Standard"/>
    <w:next w:val="Standard"/>
    <w:link w:val="berschrift2Zchn"/>
    <w:uiPriority w:val="9"/>
    <w:unhideWhenUsed/>
    <w:qFormat/>
    <w:rsid w:val="00954FAC"/>
    <w:pPr>
      <w:keepNext/>
      <w:keepLines/>
      <w:numPr>
        <w:ilvl w:val="1"/>
        <w:numId w:val="15"/>
      </w:numPr>
      <w:spacing w:before="120" w:after="240"/>
      <w:outlineLvl w:val="1"/>
    </w:pPr>
    <w:rPr>
      <w:rFonts w:eastAsiaTheme="majorEastAsia" w:cstheme="majorBidi"/>
      <w:b/>
      <w:color w:val="000000" w:themeColor="text1"/>
      <w:szCs w:val="26"/>
    </w:rPr>
  </w:style>
  <w:style w:type="paragraph" w:styleId="berschrift3">
    <w:name w:val="heading 3"/>
    <w:basedOn w:val="Standard"/>
    <w:next w:val="Standard"/>
    <w:link w:val="berschrift3Zchn"/>
    <w:uiPriority w:val="9"/>
    <w:unhideWhenUsed/>
    <w:qFormat/>
    <w:rsid w:val="00CA184E"/>
    <w:pPr>
      <w:keepNext/>
      <w:keepLines/>
      <w:numPr>
        <w:ilvl w:val="2"/>
        <w:numId w:val="15"/>
      </w:numPr>
      <w:spacing w:before="120" w:after="120" w:line="240" w:lineRule="auto"/>
      <w:outlineLvl w:val="2"/>
    </w:pPr>
    <w:rPr>
      <w:rFonts w:ascii="Helvetica" w:eastAsiaTheme="majorEastAsia" w:hAnsi="Helvetica" w:cstheme="majorBidi"/>
      <w:color w:val="000000" w:themeColor="text1"/>
      <w:u w:val="single"/>
    </w:rPr>
  </w:style>
  <w:style w:type="paragraph" w:styleId="berschrift4">
    <w:name w:val="heading 4"/>
    <w:basedOn w:val="Standard"/>
    <w:next w:val="Standard"/>
    <w:link w:val="berschrift4Zchn"/>
    <w:uiPriority w:val="9"/>
    <w:semiHidden/>
    <w:unhideWhenUsed/>
    <w:qFormat/>
    <w:rsid w:val="009831E0"/>
    <w:pPr>
      <w:keepNext/>
      <w:keepLines/>
      <w:numPr>
        <w:ilvl w:val="3"/>
        <w:numId w:val="15"/>
      </w:numPr>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9831E0"/>
    <w:pPr>
      <w:keepNext/>
      <w:keepLines/>
      <w:numPr>
        <w:ilvl w:val="4"/>
        <w:numId w:val="15"/>
      </w:numPr>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9831E0"/>
    <w:pPr>
      <w:keepNext/>
      <w:keepLines/>
      <w:numPr>
        <w:ilvl w:val="5"/>
        <w:numId w:val="15"/>
      </w:numPr>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9831E0"/>
    <w:pPr>
      <w:keepNext/>
      <w:keepLines/>
      <w:numPr>
        <w:ilvl w:val="6"/>
        <w:numId w:val="15"/>
      </w:numPr>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9831E0"/>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9831E0"/>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323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6323F2"/>
    <w:pPr>
      <w:ind w:left="720"/>
      <w:contextualSpacing/>
    </w:pPr>
  </w:style>
  <w:style w:type="character" w:styleId="Kommentarzeichen">
    <w:name w:val="annotation reference"/>
    <w:basedOn w:val="Absatz-Standardschriftart"/>
    <w:uiPriority w:val="99"/>
    <w:semiHidden/>
    <w:unhideWhenUsed/>
    <w:rsid w:val="00AF698D"/>
    <w:rPr>
      <w:sz w:val="16"/>
      <w:szCs w:val="16"/>
    </w:rPr>
  </w:style>
  <w:style w:type="paragraph" w:styleId="Kommentartext">
    <w:name w:val="annotation text"/>
    <w:basedOn w:val="Standard"/>
    <w:link w:val="KommentartextZchn"/>
    <w:uiPriority w:val="99"/>
    <w:unhideWhenUsed/>
    <w:rsid w:val="00AF698D"/>
    <w:pPr>
      <w:spacing w:line="240" w:lineRule="auto"/>
    </w:pPr>
    <w:rPr>
      <w:sz w:val="20"/>
      <w:szCs w:val="20"/>
    </w:rPr>
  </w:style>
  <w:style w:type="character" w:customStyle="1" w:styleId="KommentartextZchn">
    <w:name w:val="Kommentartext Zchn"/>
    <w:basedOn w:val="Absatz-Standardschriftart"/>
    <w:link w:val="Kommentartext"/>
    <w:uiPriority w:val="99"/>
    <w:rsid w:val="00AF698D"/>
    <w:rPr>
      <w:rFonts w:ascii="Arial" w:hAnsi="Arial"/>
      <w:sz w:val="20"/>
      <w:szCs w:val="20"/>
    </w:rPr>
  </w:style>
  <w:style w:type="paragraph" w:styleId="Kommentarthema">
    <w:name w:val="annotation subject"/>
    <w:basedOn w:val="Kommentartext"/>
    <w:next w:val="Kommentartext"/>
    <w:link w:val="KommentarthemaZchn"/>
    <w:uiPriority w:val="99"/>
    <w:semiHidden/>
    <w:unhideWhenUsed/>
    <w:rsid w:val="00AF698D"/>
    <w:rPr>
      <w:b/>
      <w:bCs/>
    </w:rPr>
  </w:style>
  <w:style w:type="character" w:customStyle="1" w:styleId="KommentarthemaZchn">
    <w:name w:val="Kommentarthema Zchn"/>
    <w:basedOn w:val="KommentartextZchn"/>
    <w:link w:val="Kommentarthema"/>
    <w:uiPriority w:val="99"/>
    <w:semiHidden/>
    <w:rsid w:val="00AF698D"/>
    <w:rPr>
      <w:rFonts w:ascii="Arial" w:hAnsi="Arial"/>
      <w:b/>
      <w:bCs/>
      <w:sz w:val="20"/>
      <w:szCs w:val="20"/>
    </w:rPr>
  </w:style>
  <w:style w:type="paragraph" w:styleId="berarbeitung">
    <w:name w:val="Revision"/>
    <w:hidden/>
    <w:uiPriority w:val="99"/>
    <w:semiHidden/>
    <w:rsid w:val="00E05D7D"/>
    <w:pPr>
      <w:spacing w:after="0" w:line="240" w:lineRule="auto"/>
    </w:pPr>
    <w:rPr>
      <w:rFonts w:ascii="Arial" w:hAnsi="Arial"/>
    </w:rPr>
  </w:style>
  <w:style w:type="character" w:customStyle="1" w:styleId="berschrift1Zchn">
    <w:name w:val="Überschrift 1 Zchn"/>
    <w:basedOn w:val="Absatz-Standardschriftart"/>
    <w:link w:val="berschrift1"/>
    <w:uiPriority w:val="9"/>
    <w:rsid w:val="000D3BA3"/>
    <w:rPr>
      <w:rFonts w:ascii="Arial" w:eastAsiaTheme="majorEastAsia" w:hAnsi="Arial" w:cs="Times New Roman (Headings CS)"/>
      <w:b/>
      <w:color w:val="000000" w:themeColor="text1"/>
      <w:sz w:val="24"/>
      <w:szCs w:val="32"/>
    </w:rPr>
  </w:style>
  <w:style w:type="paragraph" w:styleId="Beschriftung">
    <w:name w:val="caption"/>
    <w:basedOn w:val="Standard"/>
    <w:next w:val="Standard"/>
    <w:uiPriority w:val="35"/>
    <w:unhideWhenUsed/>
    <w:qFormat/>
    <w:rsid w:val="00146CA3"/>
    <w:pPr>
      <w:spacing w:after="200" w:line="240" w:lineRule="auto"/>
    </w:pPr>
    <w:rPr>
      <w:i/>
      <w:iCs/>
      <w:color w:val="000000" w:themeColor="text1"/>
      <w:szCs w:val="18"/>
    </w:rPr>
  </w:style>
  <w:style w:type="character" w:customStyle="1" w:styleId="berschrift2Zchn">
    <w:name w:val="Überschrift 2 Zchn"/>
    <w:basedOn w:val="Absatz-Standardschriftart"/>
    <w:link w:val="berschrift2"/>
    <w:uiPriority w:val="9"/>
    <w:rsid w:val="00954FAC"/>
    <w:rPr>
      <w:rFonts w:ascii="Arial" w:eastAsiaTheme="majorEastAsia" w:hAnsi="Arial" w:cstheme="majorBidi"/>
      <w:b/>
      <w:color w:val="000000" w:themeColor="text1"/>
      <w:szCs w:val="26"/>
    </w:rPr>
  </w:style>
  <w:style w:type="table" w:styleId="TabellemithellemGitternetz">
    <w:name w:val="Grid Table Light"/>
    <w:basedOn w:val="NormaleTabelle"/>
    <w:uiPriority w:val="40"/>
    <w:rsid w:val="003E78E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CurrentList1">
    <w:name w:val="Current List1"/>
    <w:uiPriority w:val="99"/>
    <w:rsid w:val="000D3BA3"/>
    <w:pPr>
      <w:numPr>
        <w:numId w:val="6"/>
      </w:numPr>
    </w:pPr>
  </w:style>
  <w:style w:type="paragraph" w:styleId="Verzeichnis1">
    <w:name w:val="toc 1"/>
    <w:basedOn w:val="Standard"/>
    <w:next w:val="Standard"/>
    <w:autoRedefine/>
    <w:uiPriority w:val="39"/>
    <w:unhideWhenUsed/>
    <w:rsid w:val="00A87E54"/>
    <w:pPr>
      <w:spacing w:before="120" w:after="0"/>
    </w:pPr>
    <w:rPr>
      <w:rFonts w:asciiTheme="minorHAnsi" w:hAnsiTheme="minorHAnsi" w:cstheme="minorHAnsi"/>
      <w:b/>
      <w:bCs/>
      <w:i/>
      <w:iCs/>
      <w:sz w:val="24"/>
      <w:szCs w:val="24"/>
    </w:rPr>
  </w:style>
  <w:style w:type="character" w:styleId="Hyperlink">
    <w:name w:val="Hyperlink"/>
    <w:basedOn w:val="Absatz-Standardschriftart"/>
    <w:uiPriority w:val="99"/>
    <w:unhideWhenUsed/>
    <w:rsid w:val="004C5256"/>
    <w:rPr>
      <w:color w:val="0563C1" w:themeColor="hyperlink"/>
      <w:u w:val="single"/>
    </w:rPr>
  </w:style>
  <w:style w:type="paragraph" w:customStyle="1" w:styleId="EndNoteBibliographyTitle">
    <w:name w:val="EndNote Bibliography Title"/>
    <w:basedOn w:val="Standard"/>
    <w:link w:val="EndNoteBibliographyTitleChar"/>
    <w:rsid w:val="00FD0828"/>
    <w:pPr>
      <w:spacing w:after="0"/>
      <w:jc w:val="center"/>
    </w:pPr>
    <w:rPr>
      <w:rFonts w:cs="Arial"/>
      <w:lang w:val="en-US"/>
    </w:rPr>
  </w:style>
  <w:style w:type="character" w:customStyle="1" w:styleId="EndNoteBibliographyTitleChar">
    <w:name w:val="EndNote Bibliography Title Char"/>
    <w:basedOn w:val="Absatz-Standardschriftart"/>
    <w:link w:val="EndNoteBibliographyTitle"/>
    <w:rsid w:val="00FD0828"/>
    <w:rPr>
      <w:rFonts w:ascii="Arial" w:hAnsi="Arial" w:cs="Arial"/>
      <w:lang w:val="en-US"/>
    </w:rPr>
  </w:style>
  <w:style w:type="paragraph" w:customStyle="1" w:styleId="EndNoteBibliography">
    <w:name w:val="EndNote Bibliography"/>
    <w:basedOn w:val="Standard"/>
    <w:link w:val="EndNoteBibliographyChar"/>
    <w:rsid w:val="00FD0828"/>
    <w:pPr>
      <w:spacing w:line="240" w:lineRule="auto"/>
      <w:jc w:val="both"/>
    </w:pPr>
    <w:rPr>
      <w:rFonts w:cs="Arial"/>
      <w:lang w:val="en-US"/>
    </w:rPr>
  </w:style>
  <w:style w:type="character" w:customStyle="1" w:styleId="EndNoteBibliographyChar">
    <w:name w:val="EndNote Bibliography Char"/>
    <w:basedOn w:val="Absatz-Standardschriftart"/>
    <w:link w:val="EndNoteBibliography"/>
    <w:rsid w:val="00FD0828"/>
    <w:rPr>
      <w:rFonts w:ascii="Arial" w:hAnsi="Arial" w:cs="Arial"/>
      <w:lang w:val="en-US"/>
    </w:rPr>
  </w:style>
  <w:style w:type="character" w:customStyle="1" w:styleId="berschrift3Zchn">
    <w:name w:val="Überschrift 3 Zchn"/>
    <w:basedOn w:val="Absatz-Standardschriftart"/>
    <w:link w:val="berschrift3"/>
    <w:uiPriority w:val="9"/>
    <w:rsid w:val="00CA184E"/>
    <w:rPr>
      <w:rFonts w:ascii="Helvetica" w:eastAsiaTheme="majorEastAsia" w:hAnsi="Helvetica" w:cstheme="majorBidi"/>
      <w:color w:val="000000" w:themeColor="text1"/>
      <w:u w:val="single"/>
    </w:rPr>
  </w:style>
  <w:style w:type="character" w:customStyle="1" w:styleId="berschrift4Zchn">
    <w:name w:val="Überschrift 4 Zchn"/>
    <w:basedOn w:val="Absatz-Standardschriftart"/>
    <w:link w:val="berschrift4"/>
    <w:uiPriority w:val="9"/>
    <w:semiHidden/>
    <w:rsid w:val="009831E0"/>
    <w:rPr>
      <w:rFonts w:asciiTheme="majorHAnsi" w:eastAsiaTheme="majorEastAsia" w:hAnsiTheme="majorHAnsi"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9831E0"/>
    <w:rPr>
      <w:rFonts w:asciiTheme="majorHAnsi" w:eastAsiaTheme="majorEastAsia" w:hAnsiTheme="majorHAnsi" w:cstheme="majorBidi"/>
      <w:color w:val="2F5496" w:themeColor="accent1" w:themeShade="BF"/>
    </w:rPr>
  </w:style>
  <w:style w:type="character" w:customStyle="1" w:styleId="berschrift6Zchn">
    <w:name w:val="Überschrift 6 Zchn"/>
    <w:basedOn w:val="Absatz-Standardschriftart"/>
    <w:link w:val="berschrift6"/>
    <w:uiPriority w:val="9"/>
    <w:semiHidden/>
    <w:rsid w:val="009831E0"/>
    <w:rPr>
      <w:rFonts w:asciiTheme="majorHAnsi" w:eastAsiaTheme="majorEastAsia" w:hAnsiTheme="majorHAnsi" w:cstheme="majorBidi"/>
      <w:color w:val="1F3763" w:themeColor="accent1" w:themeShade="7F"/>
    </w:rPr>
  </w:style>
  <w:style w:type="character" w:customStyle="1" w:styleId="berschrift7Zchn">
    <w:name w:val="Überschrift 7 Zchn"/>
    <w:basedOn w:val="Absatz-Standardschriftart"/>
    <w:link w:val="berschrift7"/>
    <w:uiPriority w:val="9"/>
    <w:semiHidden/>
    <w:rsid w:val="009831E0"/>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9831E0"/>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9831E0"/>
    <w:rPr>
      <w:rFonts w:asciiTheme="majorHAnsi" w:eastAsiaTheme="majorEastAsia" w:hAnsiTheme="majorHAnsi" w:cstheme="majorBidi"/>
      <w:i/>
      <w:iCs/>
      <w:color w:val="272727" w:themeColor="text1" w:themeTint="D8"/>
      <w:sz w:val="21"/>
      <w:szCs w:val="21"/>
    </w:rPr>
  </w:style>
  <w:style w:type="paragraph" w:styleId="Verzeichnis2">
    <w:name w:val="toc 2"/>
    <w:basedOn w:val="Standard"/>
    <w:next w:val="Standard"/>
    <w:autoRedefine/>
    <w:uiPriority w:val="39"/>
    <w:unhideWhenUsed/>
    <w:rsid w:val="00A04EF0"/>
    <w:pPr>
      <w:spacing w:before="120" w:after="0"/>
      <w:ind w:left="220"/>
    </w:pPr>
    <w:rPr>
      <w:rFonts w:asciiTheme="minorHAnsi" w:hAnsiTheme="minorHAnsi" w:cstheme="minorHAnsi"/>
      <w:b/>
      <w:bCs/>
    </w:rPr>
  </w:style>
  <w:style w:type="paragraph" w:styleId="Verzeichnis3">
    <w:name w:val="toc 3"/>
    <w:basedOn w:val="Standard"/>
    <w:next w:val="Standard"/>
    <w:autoRedefine/>
    <w:uiPriority w:val="39"/>
    <w:unhideWhenUsed/>
    <w:rsid w:val="009B69B9"/>
    <w:pPr>
      <w:spacing w:after="0"/>
      <w:ind w:left="440"/>
    </w:pPr>
    <w:rPr>
      <w:rFonts w:asciiTheme="minorHAnsi" w:hAnsiTheme="minorHAnsi" w:cstheme="minorHAnsi"/>
      <w:sz w:val="20"/>
      <w:szCs w:val="20"/>
    </w:rPr>
  </w:style>
  <w:style w:type="paragraph" w:styleId="Verzeichnis4">
    <w:name w:val="toc 4"/>
    <w:basedOn w:val="Standard"/>
    <w:next w:val="Standard"/>
    <w:autoRedefine/>
    <w:uiPriority w:val="39"/>
    <w:unhideWhenUsed/>
    <w:rsid w:val="009B69B9"/>
    <w:pPr>
      <w:spacing w:after="0"/>
      <w:ind w:left="660"/>
    </w:pPr>
    <w:rPr>
      <w:rFonts w:asciiTheme="minorHAnsi" w:hAnsiTheme="minorHAnsi" w:cstheme="minorHAnsi"/>
      <w:sz w:val="20"/>
      <w:szCs w:val="20"/>
    </w:rPr>
  </w:style>
  <w:style w:type="paragraph" w:styleId="Verzeichnis5">
    <w:name w:val="toc 5"/>
    <w:basedOn w:val="Standard"/>
    <w:next w:val="Standard"/>
    <w:autoRedefine/>
    <w:uiPriority w:val="39"/>
    <w:unhideWhenUsed/>
    <w:rsid w:val="009B69B9"/>
    <w:pPr>
      <w:spacing w:after="0"/>
      <w:ind w:left="880"/>
    </w:pPr>
    <w:rPr>
      <w:rFonts w:asciiTheme="minorHAnsi" w:hAnsiTheme="minorHAnsi" w:cstheme="minorHAnsi"/>
      <w:sz w:val="20"/>
      <w:szCs w:val="20"/>
    </w:rPr>
  </w:style>
  <w:style w:type="paragraph" w:styleId="Verzeichnis6">
    <w:name w:val="toc 6"/>
    <w:basedOn w:val="Standard"/>
    <w:next w:val="Standard"/>
    <w:autoRedefine/>
    <w:uiPriority w:val="39"/>
    <w:unhideWhenUsed/>
    <w:rsid w:val="009B69B9"/>
    <w:pPr>
      <w:spacing w:after="0"/>
      <w:ind w:left="1100"/>
    </w:pPr>
    <w:rPr>
      <w:rFonts w:asciiTheme="minorHAnsi" w:hAnsiTheme="minorHAnsi" w:cstheme="minorHAnsi"/>
      <w:sz w:val="20"/>
      <w:szCs w:val="20"/>
    </w:rPr>
  </w:style>
  <w:style w:type="paragraph" w:styleId="Verzeichnis7">
    <w:name w:val="toc 7"/>
    <w:basedOn w:val="Standard"/>
    <w:next w:val="Standard"/>
    <w:autoRedefine/>
    <w:uiPriority w:val="39"/>
    <w:unhideWhenUsed/>
    <w:rsid w:val="009B69B9"/>
    <w:pPr>
      <w:spacing w:after="0"/>
      <w:ind w:left="1320"/>
    </w:pPr>
    <w:rPr>
      <w:rFonts w:asciiTheme="minorHAnsi" w:hAnsiTheme="minorHAnsi" w:cstheme="minorHAnsi"/>
      <w:sz w:val="20"/>
      <w:szCs w:val="20"/>
    </w:rPr>
  </w:style>
  <w:style w:type="paragraph" w:styleId="Verzeichnis8">
    <w:name w:val="toc 8"/>
    <w:basedOn w:val="Standard"/>
    <w:next w:val="Standard"/>
    <w:autoRedefine/>
    <w:uiPriority w:val="39"/>
    <w:unhideWhenUsed/>
    <w:rsid w:val="009B69B9"/>
    <w:pPr>
      <w:spacing w:after="0"/>
      <w:ind w:left="1540"/>
    </w:pPr>
    <w:rPr>
      <w:rFonts w:asciiTheme="minorHAnsi" w:hAnsiTheme="minorHAnsi" w:cstheme="minorHAnsi"/>
      <w:sz w:val="20"/>
      <w:szCs w:val="20"/>
    </w:rPr>
  </w:style>
  <w:style w:type="paragraph" w:styleId="Verzeichnis9">
    <w:name w:val="toc 9"/>
    <w:basedOn w:val="Standard"/>
    <w:next w:val="Standard"/>
    <w:autoRedefine/>
    <w:uiPriority w:val="39"/>
    <w:unhideWhenUsed/>
    <w:rsid w:val="009B69B9"/>
    <w:pPr>
      <w:spacing w:after="0"/>
      <w:ind w:left="1760"/>
    </w:pPr>
    <w:rPr>
      <w:rFonts w:asciiTheme="minorHAnsi" w:hAnsiTheme="minorHAnsi" w:cstheme="minorHAnsi"/>
      <w:sz w:val="20"/>
      <w:szCs w:val="20"/>
    </w:rPr>
  </w:style>
  <w:style w:type="paragraph" w:styleId="Sprechblasentext">
    <w:name w:val="Balloon Text"/>
    <w:basedOn w:val="Standard"/>
    <w:link w:val="SprechblasentextZchn"/>
    <w:uiPriority w:val="99"/>
    <w:semiHidden/>
    <w:unhideWhenUsed/>
    <w:rsid w:val="008C36E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C36E8"/>
    <w:rPr>
      <w:rFonts w:ascii="Segoe UI" w:hAnsi="Segoe UI" w:cs="Segoe UI"/>
      <w:sz w:val="18"/>
      <w:szCs w:val="18"/>
    </w:rPr>
  </w:style>
  <w:style w:type="character" w:customStyle="1" w:styleId="UnresolvedMention1">
    <w:name w:val="Unresolved Mention1"/>
    <w:basedOn w:val="Absatz-Standardschriftart"/>
    <w:uiPriority w:val="99"/>
    <w:semiHidden/>
    <w:unhideWhenUsed/>
    <w:rsid w:val="00C234F8"/>
    <w:rPr>
      <w:color w:val="605E5C"/>
      <w:shd w:val="clear" w:color="auto" w:fill="E1DFDD"/>
    </w:rPr>
  </w:style>
  <w:style w:type="paragraph" w:styleId="Fuzeile">
    <w:name w:val="footer"/>
    <w:basedOn w:val="Standard"/>
    <w:link w:val="FuzeileZchn"/>
    <w:uiPriority w:val="99"/>
    <w:unhideWhenUsed/>
    <w:rsid w:val="00A87E54"/>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A87E54"/>
    <w:rPr>
      <w:rFonts w:ascii="Arial" w:hAnsi="Arial"/>
    </w:rPr>
  </w:style>
  <w:style w:type="character" w:styleId="Seitenzahl">
    <w:name w:val="page number"/>
    <w:basedOn w:val="Absatz-Standardschriftart"/>
    <w:uiPriority w:val="99"/>
    <w:semiHidden/>
    <w:unhideWhenUsed/>
    <w:rsid w:val="00A87E54"/>
  </w:style>
  <w:style w:type="character" w:styleId="NichtaufgelsteErwhnung">
    <w:name w:val="Unresolved Mention"/>
    <w:basedOn w:val="Absatz-Standardschriftart"/>
    <w:uiPriority w:val="99"/>
    <w:semiHidden/>
    <w:unhideWhenUsed/>
    <w:rsid w:val="00904D60"/>
    <w:rPr>
      <w:color w:val="605E5C"/>
      <w:shd w:val="clear" w:color="auto" w:fill="E1DFDD"/>
    </w:rPr>
  </w:style>
  <w:style w:type="paragraph" w:styleId="Kopfzeile">
    <w:name w:val="header"/>
    <w:basedOn w:val="Standard"/>
    <w:link w:val="KopfzeileZchn"/>
    <w:uiPriority w:val="99"/>
    <w:unhideWhenUsed/>
    <w:rsid w:val="006D118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6D1183"/>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988952">
      <w:bodyDiv w:val="1"/>
      <w:marLeft w:val="0"/>
      <w:marRight w:val="0"/>
      <w:marTop w:val="0"/>
      <w:marBottom w:val="0"/>
      <w:divBdr>
        <w:top w:val="none" w:sz="0" w:space="0" w:color="auto"/>
        <w:left w:val="none" w:sz="0" w:space="0" w:color="auto"/>
        <w:bottom w:val="none" w:sz="0" w:space="0" w:color="auto"/>
        <w:right w:val="none" w:sz="0" w:space="0" w:color="auto"/>
      </w:divBdr>
    </w:div>
    <w:div w:id="1068651957">
      <w:bodyDiv w:val="1"/>
      <w:marLeft w:val="0"/>
      <w:marRight w:val="0"/>
      <w:marTop w:val="0"/>
      <w:marBottom w:val="0"/>
      <w:divBdr>
        <w:top w:val="none" w:sz="0" w:space="0" w:color="auto"/>
        <w:left w:val="none" w:sz="0" w:space="0" w:color="auto"/>
        <w:bottom w:val="none" w:sz="0" w:space="0" w:color="auto"/>
        <w:right w:val="none" w:sz="0" w:space="0" w:color="auto"/>
      </w:divBdr>
    </w:div>
    <w:div w:id="1553033824">
      <w:bodyDiv w:val="1"/>
      <w:marLeft w:val="0"/>
      <w:marRight w:val="0"/>
      <w:marTop w:val="0"/>
      <w:marBottom w:val="0"/>
      <w:divBdr>
        <w:top w:val="none" w:sz="0" w:space="0" w:color="auto"/>
        <w:left w:val="none" w:sz="0" w:space="0" w:color="auto"/>
        <w:bottom w:val="none" w:sz="0" w:space="0" w:color="auto"/>
        <w:right w:val="none" w:sz="0" w:space="0" w:color="auto"/>
      </w:divBdr>
    </w:div>
    <w:div w:id="189662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mate-laws.org/"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https://www.iea.org/policies/about"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climate-law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7C0B4-1C0D-4FB3-9C0F-C7111B4C4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8710</Words>
  <Characters>49648</Characters>
  <Application>Microsoft Office Word</Application>
  <DocSecurity>0</DocSecurity>
  <Lines>413</Lines>
  <Paragraphs>116</Paragraphs>
  <ScaleCrop>false</ScaleCrop>
  <Company/>
  <LinksUpToDate>false</LinksUpToDate>
  <CharactersWithSpaces>58242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2024-07-08T16:02:00Z</dcterms:created>
  <dcterms:modified xsi:type="dcterms:W3CDTF">2024-07-08T16:02:00Z</dcterms:modified>
</cp:coreProperties>
</file>