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B7130" w14:textId="77777777" w:rsidR="00D937C6" w:rsidRPr="00F80B82" w:rsidRDefault="00D937C6" w:rsidP="00F80B82">
      <w:pPr>
        <w:pStyle w:val="Ttulo"/>
        <w:spacing w:after="120" w:line="288" w:lineRule="auto"/>
        <w:jc w:val="center"/>
        <w:rPr>
          <w:rFonts w:ascii="Times New Roman" w:hAnsi="Times New Roman" w:cs="Times New Roman"/>
          <w:sz w:val="24"/>
          <w:szCs w:val="24"/>
          <w:lang w:val="en-US"/>
        </w:rPr>
      </w:pPr>
      <w:bookmarkStart w:id="0" w:name="_Hlk169093959"/>
      <w:bookmarkEnd w:id="0"/>
      <w:r w:rsidRPr="00F80B82">
        <w:rPr>
          <w:rFonts w:ascii="Times New Roman" w:hAnsi="Times New Roman" w:cs="Times New Roman"/>
          <w:sz w:val="24"/>
          <w:szCs w:val="24"/>
          <w:lang w:val="en-US"/>
        </w:rPr>
        <w:t xml:space="preserve">Supplementary Information </w:t>
      </w:r>
    </w:p>
    <w:p w14:paraId="615216DA" w14:textId="77777777" w:rsidR="00D937C6" w:rsidRPr="00F80B82" w:rsidRDefault="00D937C6" w:rsidP="00F80B82">
      <w:pPr>
        <w:spacing w:after="120" w:line="288" w:lineRule="auto"/>
        <w:rPr>
          <w:sz w:val="24"/>
          <w:szCs w:val="24"/>
        </w:rPr>
      </w:pPr>
    </w:p>
    <w:p w14:paraId="43624AEC" w14:textId="77777777" w:rsidR="00F06836" w:rsidRPr="004D3102" w:rsidRDefault="00F06836" w:rsidP="00F06836">
      <w:pPr>
        <w:pStyle w:val="Head"/>
        <w:spacing w:before="0" w:line="288" w:lineRule="auto"/>
      </w:pPr>
      <w:r w:rsidRPr="00AD7362">
        <w:t>Mixotrophy emerges as the optimal strategy in mature waters of the Amazon River plume</w:t>
      </w:r>
      <w:r w:rsidRPr="004D3102">
        <w:t xml:space="preserve"> </w:t>
      </w:r>
    </w:p>
    <w:p w14:paraId="2CE12111" w14:textId="77777777" w:rsidR="00F06836" w:rsidRPr="004D3102" w:rsidRDefault="00F06836" w:rsidP="00F06836">
      <w:pPr>
        <w:pStyle w:val="Authors"/>
        <w:spacing w:before="0" w:after="120" w:line="288" w:lineRule="auto"/>
      </w:pPr>
      <w:r w:rsidRPr="004D3102">
        <w:t>Ana Fernández-Carrera</w:t>
      </w:r>
      <w:r w:rsidRPr="004D3102">
        <w:rPr>
          <w:vertAlign w:val="superscript"/>
        </w:rPr>
        <w:t>1*†</w:t>
      </w:r>
      <w:r w:rsidRPr="004D3102">
        <w:t xml:space="preserve">, </w:t>
      </w:r>
      <w:proofErr w:type="spellStart"/>
      <w:r w:rsidRPr="004D3102">
        <w:t>Noémie</w:t>
      </w:r>
      <w:proofErr w:type="spellEnd"/>
      <w:r w:rsidRPr="004D3102">
        <w:t xml:space="preserve"> Choisnard</w:t>
      </w:r>
      <w:r w:rsidRPr="004D3102">
        <w:rPr>
          <w:vertAlign w:val="superscript"/>
        </w:rPr>
        <w:t>1</w:t>
      </w:r>
      <w:r w:rsidRPr="004D3102">
        <w:t>, Dirk Wodarg</w:t>
      </w:r>
      <w:r w:rsidRPr="004D3102">
        <w:rPr>
          <w:vertAlign w:val="superscript"/>
        </w:rPr>
        <w:t>1</w:t>
      </w:r>
      <w:r w:rsidRPr="004D3102">
        <w:t>, Iris Liskow</w:t>
      </w:r>
      <w:r w:rsidRPr="004D3102">
        <w:rPr>
          <w:vertAlign w:val="superscript"/>
        </w:rPr>
        <w:t>1</w:t>
      </w:r>
      <w:r w:rsidRPr="004D3102">
        <w:t>, Ajit Subramaniam</w:t>
      </w:r>
      <w:r w:rsidRPr="004D3102">
        <w:rPr>
          <w:vertAlign w:val="superscript"/>
        </w:rPr>
        <w:t>2</w:t>
      </w:r>
      <w:r w:rsidRPr="004D3102">
        <w:t>, Joseph P. Montoya</w:t>
      </w:r>
      <w:r w:rsidRPr="004D3102">
        <w:rPr>
          <w:vertAlign w:val="superscript"/>
        </w:rPr>
        <w:t>3</w:t>
      </w:r>
      <w:r w:rsidRPr="004D3102">
        <w:t>, Maren Voss</w:t>
      </w:r>
      <w:r w:rsidRPr="004D3102">
        <w:rPr>
          <w:vertAlign w:val="superscript"/>
        </w:rPr>
        <w:t>1</w:t>
      </w:r>
      <w:r w:rsidRPr="004D3102">
        <w:t>, Natalie Loick-Wilde</w:t>
      </w:r>
      <w:r w:rsidRPr="004D3102">
        <w:rPr>
          <w:vertAlign w:val="superscript"/>
        </w:rPr>
        <w:t>1**</w:t>
      </w:r>
    </w:p>
    <w:p w14:paraId="53BE6124" w14:textId="77777777" w:rsidR="00F06836" w:rsidRPr="004D3102" w:rsidRDefault="00F06836" w:rsidP="00F06836">
      <w:pPr>
        <w:pStyle w:val="Paragraph"/>
        <w:tabs>
          <w:tab w:val="left" w:pos="8130"/>
        </w:tabs>
        <w:spacing w:before="0" w:after="120" w:line="288" w:lineRule="auto"/>
        <w:ind w:firstLine="0"/>
        <w:rPr>
          <w:b/>
        </w:rPr>
      </w:pPr>
      <w:r w:rsidRPr="004D3102">
        <w:rPr>
          <w:b/>
        </w:rPr>
        <w:t>Affiliations:</w:t>
      </w:r>
      <w:r w:rsidRPr="004D3102">
        <w:rPr>
          <w:b/>
        </w:rPr>
        <w:tab/>
      </w:r>
    </w:p>
    <w:p w14:paraId="49A1855C" w14:textId="77777777" w:rsidR="00F06836" w:rsidRPr="004D3102" w:rsidRDefault="00F06836" w:rsidP="00F06836">
      <w:pPr>
        <w:pStyle w:val="Paragraph"/>
        <w:spacing w:before="0" w:after="120" w:line="288" w:lineRule="auto"/>
        <w:ind w:left="360" w:firstLine="0"/>
      </w:pPr>
      <w:r w:rsidRPr="004D3102">
        <w:rPr>
          <w:vertAlign w:val="superscript"/>
        </w:rPr>
        <w:t>1</w:t>
      </w:r>
      <w:r w:rsidRPr="004D3102">
        <w:t xml:space="preserve">Department of Biological Oceanography. Leibniz Institute for Baltic Sea Research </w:t>
      </w:r>
      <w:proofErr w:type="spellStart"/>
      <w:r w:rsidRPr="004D3102">
        <w:t>Warnemuende</w:t>
      </w:r>
      <w:proofErr w:type="spellEnd"/>
      <w:r w:rsidRPr="004D3102">
        <w:t>, 18119 - Rostock, Germany.</w:t>
      </w:r>
    </w:p>
    <w:p w14:paraId="5485E7BF" w14:textId="77777777" w:rsidR="00F06836" w:rsidRPr="004D3102" w:rsidRDefault="00F06836" w:rsidP="00F06836">
      <w:pPr>
        <w:pStyle w:val="Paragraph"/>
        <w:spacing w:before="0" w:after="120" w:line="288" w:lineRule="auto"/>
        <w:ind w:left="360" w:firstLine="0"/>
      </w:pPr>
      <w:r w:rsidRPr="004D3102">
        <w:rPr>
          <w:vertAlign w:val="superscript"/>
        </w:rPr>
        <w:t>2</w:t>
      </w:r>
      <w:r w:rsidRPr="004D3102">
        <w:t>Lamont-Doherty Earth Observatory, Columbia University, 10964 - Palisades NY, USA.</w:t>
      </w:r>
    </w:p>
    <w:p w14:paraId="3018759C" w14:textId="77777777" w:rsidR="00F06836" w:rsidRPr="004D3102" w:rsidRDefault="00F06836" w:rsidP="00F06836">
      <w:pPr>
        <w:pStyle w:val="Paragraph"/>
        <w:spacing w:before="0" w:after="120" w:line="288" w:lineRule="auto"/>
        <w:ind w:left="360" w:firstLine="0"/>
      </w:pPr>
      <w:r w:rsidRPr="004D3102">
        <w:rPr>
          <w:vertAlign w:val="superscript"/>
        </w:rPr>
        <w:t>3</w:t>
      </w:r>
      <w:r w:rsidRPr="004D3102">
        <w:t>School of Biological Sciences, Georgia Institute of Technology, 30332 - Atlanta GA, USA.</w:t>
      </w:r>
    </w:p>
    <w:p w14:paraId="3564B8BD" w14:textId="77777777" w:rsidR="00F06836" w:rsidRPr="004D3102" w:rsidRDefault="00F06836" w:rsidP="00F06836">
      <w:pPr>
        <w:pStyle w:val="Paragraph"/>
        <w:spacing w:before="0" w:after="120" w:line="288" w:lineRule="auto"/>
        <w:ind w:left="360" w:firstLine="0"/>
      </w:pPr>
      <w:r w:rsidRPr="004D3102">
        <w:rPr>
          <w:vertAlign w:val="superscript"/>
        </w:rPr>
        <w:t>†</w:t>
      </w:r>
      <w:r w:rsidRPr="004D3102">
        <w:t xml:space="preserve">Present address: Institute of Oceanography and Global Change. Universidad de Las Palmas de Gran </w:t>
      </w:r>
      <w:proofErr w:type="spellStart"/>
      <w:r w:rsidRPr="004D3102">
        <w:t>Canaria</w:t>
      </w:r>
      <w:proofErr w:type="spellEnd"/>
      <w:r w:rsidRPr="004D3102">
        <w:t>, 35214-Taliarte, Spain.</w:t>
      </w:r>
    </w:p>
    <w:p w14:paraId="7410070B" w14:textId="77777777" w:rsidR="00F06836" w:rsidRPr="004D3102" w:rsidRDefault="00F06836" w:rsidP="00F06836">
      <w:pPr>
        <w:pStyle w:val="Paragraph"/>
        <w:spacing w:before="0" w:after="120" w:line="288" w:lineRule="auto"/>
        <w:ind w:left="360" w:firstLine="0"/>
      </w:pPr>
    </w:p>
    <w:p w14:paraId="25EB2FC7" w14:textId="77777777" w:rsidR="00F06836" w:rsidRPr="004D3102" w:rsidRDefault="00F06836" w:rsidP="00F06836">
      <w:pPr>
        <w:pStyle w:val="Paragraph"/>
        <w:spacing w:before="0" w:after="120" w:line="288" w:lineRule="auto"/>
        <w:ind w:left="360" w:firstLine="0"/>
      </w:pPr>
      <w:r w:rsidRPr="004D3102">
        <w:t xml:space="preserve">Corresponding authors: *ana.carrera@ulpgc.es, **natalie.loick-wilde@io-warnemuende.de </w:t>
      </w:r>
    </w:p>
    <w:p w14:paraId="59E0B4FD" w14:textId="77777777" w:rsidR="00D937C6" w:rsidRPr="00F80B82" w:rsidRDefault="00D937C6" w:rsidP="00F80B82">
      <w:pPr>
        <w:pStyle w:val="Teaser"/>
        <w:spacing w:before="0" w:after="120" w:line="288" w:lineRule="auto"/>
      </w:pPr>
    </w:p>
    <w:p w14:paraId="4C3BF01D" w14:textId="22DE79C3" w:rsidR="00D937C6" w:rsidRDefault="00D937C6" w:rsidP="00F80B82">
      <w:pPr>
        <w:spacing w:after="120" w:line="288" w:lineRule="auto"/>
        <w:rPr>
          <w:sz w:val="24"/>
          <w:szCs w:val="24"/>
        </w:rPr>
      </w:pPr>
      <w:r w:rsidRPr="00F80B82">
        <w:rPr>
          <w:b/>
          <w:sz w:val="24"/>
          <w:szCs w:val="24"/>
        </w:rPr>
        <w:t>Supplementary Video 1 2018 and Supplementary Video 2 2021</w:t>
      </w:r>
      <w:r w:rsidRPr="00F80B82">
        <w:rPr>
          <w:sz w:val="24"/>
          <w:szCs w:val="24"/>
        </w:rPr>
        <w:t xml:space="preserve"> show the daily sea surface salinity (SSS) contours and geostrophic velocities for each cruise as well as the stations sampled each day. The shape of the symbols </w:t>
      </w:r>
      <w:r w:rsidR="00F06836" w:rsidRPr="00F80B82">
        <w:rPr>
          <w:sz w:val="24"/>
          <w:szCs w:val="24"/>
        </w:rPr>
        <w:t>represents</w:t>
      </w:r>
      <w:r w:rsidRPr="00F80B82">
        <w:rPr>
          <w:sz w:val="24"/>
          <w:szCs w:val="24"/>
        </w:rPr>
        <w:t xml:space="preserve"> the dominant trophic position (TP) in </w:t>
      </w:r>
      <w:proofErr w:type="spellStart"/>
      <w:r w:rsidRPr="00F80B82">
        <w:rPr>
          <w:sz w:val="24"/>
          <w:szCs w:val="24"/>
        </w:rPr>
        <w:t>seston</w:t>
      </w:r>
      <w:proofErr w:type="spellEnd"/>
      <w:r w:rsidRPr="00F80B82">
        <w:rPr>
          <w:sz w:val="24"/>
          <w:szCs w:val="24"/>
        </w:rPr>
        <w:t xml:space="preserve">, with inverted triangle for autotrophs and asterisk for mixotrophs. Both size fractions presented the same TP in all stations, except station 17.17 in 2021, where the large size fraction (&gt;3 µm) was mixotrophic and the small (0.2−3 µm) autotrophic. Colors of the symbols represent the habitats ordered by apparent age: Riverine Input (RI, dark gray), Young Plume Core (YPC, red), Outer Plume Margin (OPM, purple), Western Plume Margin (WPM, yellow), modified Oceanic Water (MOW, dark cyan) and Oceanic Water (OSW, blue). Arrows for the geostrophic </w:t>
      </w:r>
      <w:proofErr w:type="spellStart"/>
      <w:r w:rsidRPr="00F80B82">
        <w:rPr>
          <w:sz w:val="24"/>
          <w:szCs w:val="24"/>
        </w:rPr>
        <w:t>velocites</w:t>
      </w:r>
      <w:proofErr w:type="spellEnd"/>
      <w:r w:rsidRPr="00F80B82">
        <w:rPr>
          <w:sz w:val="24"/>
          <w:szCs w:val="24"/>
        </w:rPr>
        <w:t xml:space="preserve"> have the same scale as in Figure 1 in order to see differences in the northern sections of the area of study, for this reason, arrows on the Amazon shelf, where velocities were close to 6 m/s are very long.</w:t>
      </w:r>
    </w:p>
    <w:p w14:paraId="4BF1FE9D" w14:textId="77777777" w:rsidR="00F06836" w:rsidRPr="00F80B82" w:rsidRDefault="00F06836" w:rsidP="00F80B82">
      <w:pPr>
        <w:spacing w:after="120" w:line="288" w:lineRule="auto"/>
        <w:rPr>
          <w:sz w:val="24"/>
          <w:szCs w:val="24"/>
        </w:rPr>
      </w:pPr>
    </w:p>
    <w:p w14:paraId="234C8074" w14:textId="30FF6009" w:rsidR="00AE0685" w:rsidRPr="00F80B82" w:rsidRDefault="00AE0685" w:rsidP="00F80B82">
      <w:pPr>
        <w:spacing w:after="120" w:line="288" w:lineRule="auto"/>
        <w:rPr>
          <w:sz w:val="24"/>
          <w:szCs w:val="24"/>
        </w:rPr>
      </w:pPr>
      <w:r w:rsidRPr="00F80B82">
        <w:rPr>
          <w:b/>
          <w:sz w:val="24"/>
          <w:szCs w:val="24"/>
        </w:rPr>
        <w:t xml:space="preserve">Table </w:t>
      </w:r>
      <w:r w:rsidR="00E56245">
        <w:rPr>
          <w:b/>
          <w:sz w:val="24"/>
          <w:szCs w:val="24"/>
        </w:rPr>
        <w:t>S</w:t>
      </w:r>
      <w:r w:rsidRPr="00F80B82">
        <w:rPr>
          <w:b/>
          <w:sz w:val="24"/>
          <w:szCs w:val="24"/>
        </w:rPr>
        <w:t>1</w:t>
      </w:r>
      <w:r w:rsidRPr="00F80B82">
        <w:rPr>
          <w:sz w:val="24"/>
          <w:szCs w:val="24"/>
        </w:rPr>
        <w:t xml:space="preserve"> in excel contains the physicochemical variables at station, and the trophic position of the samples taken during 2018 and 2021.</w:t>
      </w:r>
    </w:p>
    <w:p w14:paraId="17E319CF" w14:textId="2761027B" w:rsidR="00AE0685" w:rsidRPr="00F80B82" w:rsidRDefault="00AE0685" w:rsidP="00F80B82">
      <w:pPr>
        <w:spacing w:after="120" w:line="288" w:lineRule="auto"/>
        <w:rPr>
          <w:sz w:val="24"/>
          <w:szCs w:val="24"/>
        </w:rPr>
      </w:pPr>
    </w:p>
    <w:p w14:paraId="70097BAA" w14:textId="77777777" w:rsidR="00AE0685" w:rsidRPr="00F80B82" w:rsidRDefault="00AE0685" w:rsidP="00F80B82">
      <w:pPr>
        <w:pStyle w:val="Subhead"/>
        <w:spacing w:before="0" w:after="120" w:line="288" w:lineRule="auto"/>
      </w:pPr>
      <w:r w:rsidRPr="00F80B82">
        <w:t>Apparent age of the Amazon River plume</w:t>
      </w:r>
    </w:p>
    <w:p w14:paraId="36DA1B06" w14:textId="04398FAD" w:rsidR="00AE0685" w:rsidRPr="00F80B82" w:rsidRDefault="00AE0685" w:rsidP="00F80B82">
      <w:pPr>
        <w:pStyle w:val="Teaser"/>
        <w:spacing w:before="0" w:after="120" w:line="288" w:lineRule="auto"/>
      </w:pPr>
      <w:r w:rsidRPr="00F80B82">
        <w:t>During our cruise in 2018 and cruise EN640 in 2019, included in the habitat delineation by Pham et al (2024)</w:t>
      </w:r>
      <w:r w:rsidRPr="00F80B82">
        <w:fldChar w:fldCharType="begin" w:fldLock="1"/>
      </w:r>
      <w:r w:rsidR="000D36EE">
        <w:instrText>ADDIN CSL_CITATION {"citationItems":[{"id":"ITEM-1","itemData":{"DOI":"10.3389/fmars.2024.1287497","ISBN":"2296-7745","abstract":"The Western Tropical North Atlantic is a highly dynamic marine system where the Amazon River Plume (ARP) generates a patchwork of environmental conditions that favor different phytoplankton groups. To study phytoplanktonic community structure in such heterogeneous conditions, we used a set of five standard ship-based measurements taken from oceanographic surveys between 2010 and 2021 to characterize different habitat types. We then utilized a variety of multiparametric approaches to examine phytoplankton biodiversity in the different habitats to assess the biological relevance of our delineated habitats. Our approach generated a consistent set of habitat types across cruises carried out in multiple different years and the Amazon’s two predominant (wet and dry) seasons. Our phytoplankton community analyses revealed strong distinctions among all habitats along the plume gradient using in-vivo fluorescence and diagnostic pigments, and clear contrasts of diazotroph community along the mesohaline waters using direct cell-count, a pattern consistent with niche partitioning among similar species. The few apparent mismatches we found between phytoplankton community composition and habitat may reflect recent hydrographic changes driven by mixing and/or upwelling and thus may be a useful index to biologically-relevant temporal variation. Our habitat classification approach is straightforward and broadly applicable in identifying biologically distinct areas within heterogeneous and dynamic regions of the ocean.","author":[{"dropping-particle":"","family":"Pham","given":"Anh H","non-dropping-particle":"","parse-names":false,"suffix":""},{"dropping-particle":"","family":"Choisnard","given":"Noémie","non-dropping-particle":"","parse-names":false,"suffix":""},{"dropping-particle":"","family":"Fernández-Carrera","given":"Ana","non-dropping-particle":"","parse-names":false,"suffix":""},{"dropping-particle":"","family":"Subramaniam","given":"Ajit","non-dropping-particle":"","parse-names":false,"suffix":""},{"dropping-particle":"","family":"Strope","given":"Erica K","non-dropping-particle":"","parse-names":false,"suffix":""},{"dropping-particle":"","family":"Carpenter","given":"Edward J","non-dropping-particle":"","parse-names":false,"suffix":""},{"dropping-particle":"","family":"Voss","given":"Maren","non-dropping-particle":"","parse-names":false,"suffix":""},{"dropping-particle":"","family":"Montoya","given":"Joseph P","non-dropping-particle":"","parse-names":false,"suffix":""}],"container-title":"Frontiers in Marine Science","id":"ITEM-1","issued":{"date-parts":[["2024"]]},"title":"Planktonic habitats in the Amazon Plume region of the Western Tropical North Atlantic","type":"article","volume":"11"},"uris":["http://www.mendeley.com/documents/?uuid=566e3f3a-5feb-403c-a6d5-620f691e2293"]}],"mendeley":{"formattedCitation":"&lt;sup&gt;1&lt;/sup&gt;","plainTextFormattedCitation":"1","previouslyFormattedCitation":"&lt;sup&gt;1&lt;/sup&gt;"},"properties":{"noteIndex":0},"schema":"https://github.com/citation-style-language/schema/raw/master/csl-citation.json"}</w:instrText>
      </w:r>
      <w:r w:rsidRPr="00F80B82">
        <w:fldChar w:fldCharType="separate"/>
      </w:r>
      <w:r w:rsidR="001A027E" w:rsidRPr="001A027E">
        <w:rPr>
          <w:noProof/>
          <w:vertAlign w:val="superscript"/>
        </w:rPr>
        <w:t>1</w:t>
      </w:r>
      <w:r w:rsidRPr="00F80B82">
        <w:fldChar w:fldCharType="end"/>
      </w:r>
      <w:r w:rsidRPr="00F80B82">
        <w:t>, radium isotopes were analyzed underway and in discrete samples taken from the CTD</w:t>
      </w:r>
      <w:r w:rsidRPr="00F80B82">
        <w:fldChar w:fldCharType="begin" w:fldLock="1"/>
      </w:r>
      <w:r w:rsidR="000D36EE">
        <w:instrText>ADDIN CSL_CITATION {"citationItems":[{"id":"ITEM-1","itemData":{"DOI":"10.26008/1912/bco-dmo.753837.1","author":[{"dropping-particle":"","family":"Peterson, Richard, Montoya, Joseph P., Subramaniam","given":"Ajit","non-dropping-particle":"","parse-names":false,"suffix":""}],"id":"ITEM-1","issued":{"date-parts":[["2020"]]},"publisher":"Biological and Chemical Oceanography Data Management Office (BCO-DMO).","title":"Radium isotope measurements from CTD and underway water samples from the R/V Endeavor from 2018-05-06 to 2018-05-29. Biological and Chemical Oceanography Data Management Office (BCO-DMO). (Version 1) Version Date 2019-02-11","type":"article"},"uris":["http://www.mendeley.com/documents/?uuid=3cf78cac-6b3d-4012-88c8-f1ec05766c96"]},{"id":"ITEM-2","itemData":{"DOI":"10.26008/1912/bco-dmo.846802.1","author":[{"dropping-particle":"","family":"Peterson, R. N., Montoya, J., Subramaniam","given":"A.","non-dropping-particle":"","parse-names":false,"suffix":""}],"id":"ITEM-2","issued":{"date-parts":[["2021"]]},"publisher":"Biological and Chemical Oceanography Data Management Office (BCO-DMO)","title":"Radium isotope (223Ra, 224Ra, and 226Ra) measurements from CTD and underway water samples collected on R/V Endeavor cruise EN640 from June-July 2019. Biological and Chemical Oceanography Data Management Office (BCO-DMO). (Version 1)","type":"article"},"uris":["http://www.mendeley.com/documents/?uuid=1fe0355d-0293-406d-a103-82bd7827d877"]}],"mendeley":{"formattedCitation":"&lt;sup&gt;2,3&lt;/sup&gt;","plainTextFormattedCitation":"2,3","previouslyFormattedCitation":"&lt;sup&gt;2,3&lt;/sup&gt;"},"properties":{"noteIndex":0},"schema":"https://github.com/citation-style-language/schema/raw/master/csl-citation.json"}</w:instrText>
      </w:r>
      <w:r w:rsidRPr="00F80B82">
        <w:fldChar w:fldCharType="separate"/>
      </w:r>
      <w:r w:rsidR="001A027E" w:rsidRPr="001A027E">
        <w:rPr>
          <w:noProof/>
          <w:vertAlign w:val="superscript"/>
        </w:rPr>
        <w:t>2,3</w:t>
      </w:r>
      <w:r w:rsidRPr="00F80B82">
        <w:fldChar w:fldCharType="end"/>
      </w:r>
      <w:r w:rsidRPr="00F80B82">
        <w:t>. Radium, which desorbs from riverine particles as the salinity increases, has four isotopes with contrasting half-</w:t>
      </w:r>
      <w:proofErr w:type="spellStart"/>
      <w:r w:rsidRPr="00F80B82">
        <w:t>lifes</w:t>
      </w:r>
      <w:proofErr w:type="spellEnd"/>
      <w:r w:rsidRPr="00F80B82">
        <w:t xml:space="preserve"> (</w:t>
      </w:r>
      <w:r w:rsidRPr="00F80B82">
        <w:rPr>
          <w:vertAlign w:val="superscript"/>
        </w:rPr>
        <w:t>224</w:t>
      </w:r>
      <w:r w:rsidRPr="00F80B82">
        <w:t xml:space="preserve">Ra is 3.66 d; </w:t>
      </w:r>
      <w:r w:rsidRPr="00F80B82">
        <w:rPr>
          <w:vertAlign w:val="superscript"/>
        </w:rPr>
        <w:t>223</w:t>
      </w:r>
      <w:r w:rsidRPr="00F80B82">
        <w:t xml:space="preserve">Ra is 11. 4 d; </w:t>
      </w:r>
      <w:r w:rsidRPr="00F80B82">
        <w:rPr>
          <w:vertAlign w:val="superscript"/>
        </w:rPr>
        <w:t>228</w:t>
      </w:r>
      <w:r w:rsidRPr="00F80B82">
        <w:t xml:space="preserve">Ra is 5.75 </w:t>
      </w:r>
      <w:proofErr w:type="spellStart"/>
      <w:r w:rsidRPr="00F80B82">
        <w:t>yr</w:t>
      </w:r>
      <w:proofErr w:type="spellEnd"/>
      <w:r w:rsidRPr="00F80B82">
        <w:t xml:space="preserve">; </w:t>
      </w:r>
      <w:r w:rsidRPr="00F80B82">
        <w:rPr>
          <w:vertAlign w:val="superscript"/>
        </w:rPr>
        <w:t>226</w:t>
      </w:r>
      <w:r w:rsidRPr="00F80B82">
        <w:t xml:space="preserve">Ra is 1600 </w:t>
      </w:r>
      <w:proofErr w:type="spellStart"/>
      <w:r w:rsidRPr="00F80B82">
        <w:t>yr</w:t>
      </w:r>
      <w:proofErr w:type="spellEnd"/>
      <w:r w:rsidRPr="00F80B82">
        <w:t>), hence the ratios of different isotopes provide chronometers for estimating water residence time</w:t>
      </w:r>
      <w:r w:rsidRPr="00F80B82">
        <w:fldChar w:fldCharType="begin" w:fldLock="1"/>
      </w:r>
      <w:r w:rsidR="000D36EE">
        <w:instrText>ADDIN CSL_CITATION {"citationItems":[{"id":"ITEM-1","itemData":{"DOI":"https://doi.org/10.1002/lno.12010","ISSN":"0024-3590","abstract":"Abstract When rivers mix into the ocean, radium isotopes are released into the dissolved phase allowing us to apply these isotopes as powerful tracers of river plumes spreading into the ocean. We report 223Ra and 224Ra radium activities that were determined in the Amazon River mouth and along the Amazon plume that extends off the coasts of Brazil and French Guyana into the Atlantic Ocean. We summarize 223Ra and 224Ra data from AmasSeds (1991), AMANDES (GEOTRACES process study GApr01; 2007?2008) and M147 (2018) projects, which were conducted in different seasons corresponding to different Amazon discharge rates. We determined the 224Raex/223Ra activity ratios (AR) along the Amazon plume to derive apparent ages and to estimate the residence time of the Amazon waters on the Brazilian continental shelf. Our data suggest that it takes 9?14?d for the Amazon waters to reach the northern continental shelf off French Guyana and 12?21?d to reach the eastern part of the Brazilian continental shelf. These time scales are in good agreement with those derived from a high-resolution numerical simulation of the regional ocean dynamics. We do not find any relationship between the discharge rate of the Amazon River and the residence time of the waters on the Brazilian continental shelf, suggesting that the residence time of the Amazon waters is primarily driven by the ambient northwestward current. Using the apparent ages along the plume, we estimate an average velocity of 26?cm?s?1 for the northward transport of the Amazon waters on the continental shelf.","author":[{"dropping-particle":"","family":"Léon","given":"Morgane","non-dropping-particle":"","parse-names":false,"suffix":""},{"dropping-particle":"","family":"Beek","given":"Pieter","non-dropping-particle":"van","parse-names":false,"suffix":""},{"dropping-particle":"","family":"Scholten","given":"Jan","non-dropping-particle":"","parse-names":false,"suffix":""},{"dropping-particle":"","family":"Moore","given":"Willard S","non-dropping-particle":"","parse-names":false,"suffix":""},{"dropping-particle":"","family":"Souhaut","given":"Marc","non-dropping-particle":"","parse-names":false,"suffix":""},{"dropping-particle":"","family":"Oliveira","given":"Joselene","non-dropping-particle":"De","parse-names":false,"suffix":""},{"dropping-particle":"","family":"Jeandel","given":"Catherine","non-dropping-particle":"","parse-names":false,"suffix":""},{"dropping-particle":"","family":"Seyler","given":"Patrick","non-dropping-particle":"","parse-names":false,"suffix":""},{"dropping-particle":"","family":"Jouanno","given":"Julien","non-dropping-particle":"","parse-names":false,"suffix":""}],"container-title":"Limnology and Oceanography","id":"ITEM-1","issue":"4","issued":{"date-parts":[["2022","4","1"]]},"page":"753-767","publisher":"John Wiley &amp; Sons, Ltd","title":"Use of 223Ra and 224Ra as chronometers to estimate the residence time of Amazon waters on the Brazilian continental shelf","type":"article-journal","volume":"67"},"uris":["http://www.mendeley.com/documents/?uuid=1fdc7c27-1143-4fa9-bef6-8ee5cc1d724d"]}],"mendeley":{"formattedCitation":"&lt;sup&gt;4&lt;/sup&gt;","plainTextFormattedCitation":"4","previouslyFormattedCitation":"&lt;sup&gt;4&lt;/sup&gt;"},"properties":{"noteIndex":0},"schema":"https://github.com/citation-style-language/schema/raw/master/csl-citation.json"}</w:instrText>
      </w:r>
      <w:r w:rsidRPr="00F80B82">
        <w:fldChar w:fldCharType="separate"/>
      </w:r>
      <w:r w:rsidR="001A027E" w:rsidRPr="001A027E">
        <w:rPr>
          <w:noProof/>
          <w:vertAlign w:val="superscript"/>
        </w:rPr>
        <w:t>4</w:t>
      </w:r>
      <w:r w:rsidRPr="00F80B82">
        <w:fldChar w:fldCharType="end"/>
      </w:r>
      <w:r w:rsidRPr="00F80B82">
        <w:t xml:space="preserve">. We </w:t>
      </w:r>
      <w:r w:rsidRPr="00F80B82">
        <w:lastRenderedPageBreak/>
        <w:t xml:space="preserve">calculated the apparent age of the plume waters using the activity ratio of </w:t>
      </w:r>
      <w:r w:rsidRPr="00F80B82">
        <w:rPr>
          <w:vertAlign w:val="superscript"/>
        </w:rPr>
        <w:t>224</w:t>
      </w:r>
      <w:r w:rsidRPr="00F80B82">
        <w:t>Ra/</w:t>
      </w:r>
      <w:r w:rsidRPr="00F80B82">
        <w:rPr>
          <w:vertAlign w:val="superscript"/>
        </w:rPr>
        <w:t>226</w:t>
      </w:r>
      <w:r w:rsidRPr="00F80B82">
        <w:t>Ra according to the equation proposed by Moore (2000)</w:t>
      </w:r>
      <w:r w:rsidRPr="00F80B82">
        <w:fldChar w:fldCharType="begin" w:fldLock="1"/>
      </w:r>
      <w:r w:rsidR="000D36EE">
        <w:instrText>ADDIN CSL_CITATION {"citationItems":[{"id":"ITEM-1","itemData":{"DOI":"https://doi.org/10.1029/1999JC000289","ISSN":"0148-0227","abstract":"Coastal surface waters in the South Atlantic Bight contain elevated activities of 223Ra (t1/2 = 11.4 days) and 224Ra (t1/2 = 3.66 days). These elevated dissolved activities are due to continual input of the short-lived tracers near the coast. The presence of these tracers in an offshore water sample implies that the water is less than six half-lives removed from the source of the tracer. The absence of the tracer implies the water is more than six half-lives old or has been diluted substantially with old water containing little tracer. In this paper I use models based on 223Ra and 224Ra to derive ages of continental shelf waters. These models compensate for tracer dilution by normalizing the short-lived tracers to each other or to long-lived 228Ra. If the water on the inner shelf (0?20 km from shore) is assigned a zero age, ages for waters 80?100 km from the inner shelf are 20?30 days.","author":[{"dropping-particle":"","family":"Moore","given":"Willard S","non-dropping-particle":"","parse-names":false,"suffix":""}],"container-title":"Journal of Geophysical Research: Oceans","id":"ITEM-1","issue":"C9","issued":{"date-parts":[["2000","9","15"]]},"page":"22117-22122","publisher":"John Wiley &amp; Sons, Ltd","title":"Ages of continental shelf waters determined from 223Ra and 224Ra","type":"article-journal","volume":"105"},"uris":["http://www.mendeley.com/documents/?uuid=120bc098-a19d-463a-a938-8a5162c4c74d"]}],"mendeley":{"formattedCitation":"&lt;sup&gt;5&lt;/sup&gt;","plainTextFormattedCitation":"5","previouslyFormattedCitation":"&lt;sup&gt;5&lt;/sup&gt;"},"properties":{"noteIndex":0},"schema":"https://github.com/citation-style-language/schema/raw/master/csl-citation.json"}</w:instrText>
      </w:r>
      <w:r w:rsidRPr="00F80B82">
        <w:fldChar w:fldCharType="separate"/>
      </w:r>
      <w:r w:rsidR="001A027E" w:rsidRPr="001A027E">
        <w:rPr>
          <w:noProof/>
          <w:vertAlign w:val="superscript"/>
        </w:rPr>
        <w:t>5</w:t>
      </w:r>
      <w:r w:rsidRPr="00F80B82">
        <w:fldChar w:fldCharType="end"/>
      </w:r>
      <w:r w:rsidRPr="00F80B82">
        <w:t xml:space="preserve">: </w:t>
      </w:r>
    </w:p>
    <w:p w14:paraId="684B8F2B" w14:textId="77777777" w:rsidR="00AE0685" w:rsidRPr="00F80B82" w:rsidRDefault="00AE0685" w:rsidP="00F80B82">
      <w:pPr>
        <w:pStyle w:val="Teaser"/>
        <w:spacing w:before="0" w:after="120" w:line="288" w:lineRule="auto"/>
      </w:pPr>
      <m:oMathPara>
        <m:oMath>
          <m:r>
            <w:rPr>
              <w:rFonts w:ascii="Cambria Math" w:hAnsi="Cambria Math"/>
            </w:rPr>
            <m:t>t =</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m:t>
                      </m:r>
                      <m:sPre>
                        <m:sPrePr>
                          <m:ctrlPr>
                            <w:rPr>
                              <w:rFonts w:ascii="Cambria Math" w:hAnsi="Cambria Math"/>
                              <w:i/>
                            </w:rPr>
                          </m:ctrlPr>
                        </m:sPrePr>
                        <m:sub/>
                        <m:sup>
                          <m:r>
                            <w:rPr>
                              <w:rFonts w:ascii="Cambria Math" w:hAnsi="Cambria Math"/>
                            </w:rPr>
                            <m:t>224</m:t>
                          </m:r>
                        </m:sup>
                        <m:e>
                          <m:r>
                            <w:rPr>
                              <w:rFonts w:ascii="Cambria Math" w:hAnsi="Cambria Math"/>
                            </w:rPr>
                            <m:t>Ra</m:t>
                          </m:r>
                        </m:e>
                      </m:sPre>
                      <m:r>
                        <w:rPr>
                          <w:rFonts w:ascii="Cambria Math" w:hAnsi="Cambria Math"/>
                        </w:rPr>
                        <m:t xml:space="preserve"> / </m:t>
                      </m:r>
                      <m:sPre>
                        <m:sPrePr>
                          <m:ctrlPr>
                            <w:rPr>
                              <w:rFonts w:ascii="Cambria Math" w:hAnsi="Cambria Math"/>
                              <w:i/>
                            </w:rPr>
                          </m:ctrlPr>
                        </m:sPrePr>
                        <m:sub/>
                        <m:sup>
                          <m:r>
                            <w:rPr>
                              <w:rFonts w:ascii="Cambria Math" w:hAnsi="Cambria Math"/>
                            </w:rPr>
                            <m:t>226</m:t>
                          </m:r>
                        </m:sup>
                        <m:e>
                          <m:r>
                            <w:rPr>
                              <w:rFonts w:ascii="Cambria Math" w:hAnsi="Cambria Math"/>
                            </w:rPr>
                            <m:t>Ra]i</m:t>
                          </m:r>
                        </m:e>
                      </m:sPre>
                    </m:num>
                    <m:den>
                      <m:r>
                        <w:rPr>
                          <w:rFonts w:ascii="Cambria Math" w:hAnsi="Cambria Math"/>
                        </w:rPr>
                        <m:t>[</m:t>
                      </m:r>
                      <m:sPre>
                        <m:sPrePr>
                          <m:ctrlPr>
                            <w:rPr>
                              <w:rFonts w:ascii="Cambria Math" w:hAnsi="Cambria Math"/>
                              <w:i/>
                            </w:rPr>
                          </m:ctrlPr>
                        </m:sPrePr>
                        <m:sub/>
                        <m:sup>
                          <m:r>
                            <w:rPr>
                              <w:rFonts w:ascii="Cambria Math" w:hAnsi="Cambria Math"/>
                            </w:rPr>
                            <m:t>224</m:t>
                          </m:r>
                        </m:sup>
                        <m:e>
                          <m:r>
                            <w:rPr>
                              <w:rFonts w:ascii="Cambria Math" w:hAnsi="Cambria Math"/>
                            </w:rPr>
                            <m:t>Ra</m:t>
                          </m:r>
                        </m:e>
                      </m:sPre>
                      <m:r>
                        <w:rPr>
                          <w:rFonts w:ascii="Cambria Math" w:hAnsi="Cambria Math"/>
                        </w:rPr>
                        <m:t xml:space="preserve"> / </m:t>
                      </m:r>
                      <m:sPre>
                        <m:sPrePr>
                          <m:ctrlPr>
                            <w:rPr>
                              <w:rFonts w:ascii="Cambria Math" w:hAnsi="Cambria Math"/>
                              <w:i/>
                            </w:rPr>
                          </m:ctrlPr>
                        </m:sPrePr>
                        <m:sub/>
                        <m:sup>
                          <m:r>
                            <w:rPr>
                              <w:rFonts w:ascii="Cambria Math" w:hAnsi="Cambria Math"/>
                            </w:rPr>
                            <m:t>226</m:t>
                          </m:r>
                        </m:sup>
                        <m:e>
                          <m:r>
                            <w:rPr>
                              <w:rFonts w:ascii="Cambria Math" w:hAnsi="Cambria Math"/>
                            </w:rPr>
                            <m:t>Ra]obs</m:t>
                          </m:r>
                        </m:e>
                      </m:sPre>
                    </m:den>
                  </m:f>
                </m:e>
              </m:d>
            </m:num>
            <m:den>
              <m:sSub>
                <m:sSubPr>
                  <m:ctrlPr>
                    <w:rPr>
                      <w:rFonts w:ascii="Cambria Math" w:hAnsi="Cambria Math"/>
                      <w:i/>
                    </w:rPr>
                  </m:ctrlPr>
                </m:sSubPr>
                <m:e>
                  <m:r>
                    <w:rPr>
                      <w:rFonts w:ascii="Cambria Math" w:hAnsi="Cambria Math"/>
                    </w:rPr>
                    <m:t>λ</m:t>
                  </m:r>
                </m:e>
                <m:sub>
                  <m:r>
                    <w:rPr>
                      <w:rFonts w:ascii="Cambria Math" w:hAnsi="Cambria Math"/>
                    </w:rPr>
                    <m:t>224</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226</m:t>
                  </m:r>
                </m:sub>
              </m:sSub>
            </m:den>
          </m:f>
          <m:r>
            <w:rPr>
              <w:rFonts w:ascii="Cambria Math" w:hAnsi="Cambria Math"/>
            </w:rPr>
            <m:t>×1</m:t>
          </m:r>
        </m:oMath>
      </m:oMathPara>
    </w:p>
    <w:p w14:paraId="35C0443B" w14:textId="7FEB4547" w:rsidR="00AE0685" w:rsidRPr="00F80B82" w:rsidRDefault="00AE0685" w:rsidP="00F80B82">
      <w:pPr>
        <w:pStyle w:val="Teaser"/>
        <w:spacing w:before="0" w:after="120" w:line="288" w:lineRule="auto"/>
      </w:pPr>
      <w:r w:rsidRPr="00F80B82">
        <w:t>Where [</w:t>
      </w:r>
      <w:r w:rsidRPr="00F80B82">
        <w:rPr>
          <w:vertAlign w:val="superscript"/>
        </w:rPr>
        <w:t>224</w:t>
      </w:r>
      <w:r w:rsidRPr="00F80B82">
        <w:t>Ra/</w:t>
      </w:r>
      <w:r w:rsidRPr="00F80B82">
        <w:rPr>
          <w:vertAlign w:val="superscript"/>
        </w:rPr>
        <w:t>226</w:t>
      </w:r>
      <w:proofErr w:type="gramStart"/>
      <w:r w:rsidRPr="00F80B82">
        <w:t>Ra]</w:t>
      </w:r>
      <w:proofErr w:type="spellStart"/>
      <w:r w:rsidRPr="00F80B82">
        <w:rPr>
          <w:vertAlign w:val="subscript"/>
        </w:rPr>
        <w:t>i</w:t>
      </w:r>
      <w:proofErr w:type="spellEnd"/>
      <w:proofErr w:type="gramEnd"/>
      <w:r w:rsidRPr="00F80B82">
        <w:t xml:space="preserve"> corresponds to the initial activity ratio at the source of freshwater (i.e., time zero), [</w:t>
      </w:r>
      <w:r w:rsidRPr="00F80B82">
        <w:rPr>
          <w:vertAlign w:val="superscript"/>
        </w:rPr>
        <w:t>224</w:t>
      </w:r>
      <w:r w:rsidRPr="00F80B82">
        <w:t>Ra/</w:t>
      </w:r>
      <w:r w:rsidRPr="00F80B82">
        <w:rPr>
          <w:vertAlign w:val="superscript"/>
        </w:rPr>
        <w:t>226</w:t>
      </w:r>
      <w:r w:rsidRPr="00F80B82">
        <w:t>Ra]</w:t>
      </w:r>
      <w:proofErr w:type="spellStart"/>
      <w:r w:rsidRPr="00F80B82">
        <w:rPr>
          <w:vertAlign w:val="subscript"/>
        </w:rPr>
        <w:t>obs</w:t>
      </w:r>
      <w:proofErr w:type="spellEnd"/>
      <w:r w:rsidRPr="00F80B82">
        <w:t xml:space="preserve"> corresponds to the observed activity ratio at each sampling point, and λ is the decay constant of each isotope calculated as LN(2) divided by the half-life of the isotope in days. We used an initial ratio of 7, which was estimated by averaging the activity ratio of measured </w:t>
      </w:r>
      <w:r w:rsidRPr="00F80B82">
        <w:rPr>
          <w:vertAlign w:val="superscript"/>
        </w:rPr>
        <w:t>224</w:t>
      </w:r>
      <w:r w:rsidRPr="00F80B82">
        <w:t xml:space="preserve">Ra and </w:t>
      </w:r>
      <w:r w:rsidRPr="00F80B82">
        <w:rPr>
          <w:vertAlign w:val="superscript"/>
        </w:rPr>
        <w:t>226</w:t>
      </w:r>
      <w:r w:rsidRPr="00F80B82">
        <w:t>Ra in surface waters with salinities between 5-9 on the Amazon shelf in May1990 by Moore et al (1995)</w:t>
      </w:r>
      <w:r w:rsidRPr="00F80B82">
        <w:fldChar w:fldCharType="begin" w:fldLock="1"/>
      </w:r>
      <w:r w:rsidR="000D36EE">
        <w:instrText>ADDIN CSL_CITATION {"citationItems":[{"id":"ITEM-1","itemData":{"DOI":"https://doi.org/10.1016/0016-7037(95)00242-R","ISSN":"0016-7037","abstract":"Radium isotope distributions on the continental shelf adjacent to the Amazon River are a complex function of salinity. The river and seawater endmembers for each radium isotope are low. Data from intermediate salinities plot as a highly scattered region above the conservative mixing line connecting the river and ocean endmembers. Spatial and temporal variability in sediment mixing and water residence times cause the scatter in the radium isotope data. We have used the distributions of 226Ra, 228Ra, and 224Ra collected during four cruises representing different conditions on the shelf to construct inventories of radium due to nonconservative additions from sediments. Using estimates of water residence times, we calculate fluxes of these radium isotopes from the Amazon system. The amount of fresh river sediment entering the system each year is adequate to support the nonconservative flux of 226Ra from the shelf sediments; however, the ultimate release of 226Ra from the sediments requires weeks to months. To support the nonconservative flux of 228Ra from this system, sediments of the 1–2 m thick surface mixed layer must be resuspended every two years. The resulting flux supports 15% of the 228Ra entering the surface Atlantic Ocean. Release of 224Ra from suspended sediments, primarily fluid mud, is more than adequate to support the inventory of 224Ra on the Amazon shelf. Comparing the AmasSeds low discharge cruise (November 1991) to a low discharge sampling in December 1982 revealed no significant changes in the 226Ra and 228Ra distributions.","author":[{"dropping-particle":"","family":"Moore","given":"Willard S","non-dropping-particle":"","parse-names":false,"suffix":""},{"dropping-particle":"","family":"Astwood","given":"Heather","non-dropping-particle":"","parse-names":false,"suffix":""},{"dropping-particle":"","family":"Lindstrom","given":"Candice","non-dropping-particle":"","parse-names":false,"suffix":""}],"container-title":"Geochimica et Cosmochimica Acta","id":"ITEM-1","issue":"20","issued":{"date-parts":[["1995"]]},"page":"4285-4298","title":"Radium isotopes in coastal waters on the Amazon shelf","type":"article-journal","volume":"59"},"uris":["http://www.mendeley.com/documents/?uuid=cccfd645-a4a0-49aa-832c-a274d8508162"]}],"mendeley":{"formattedCitation":"&lt;sup&gt;6&lt;/sup&gt;","plainTextFormattedCitation":"6","previouslyFormattedCitation":"&lt;sup&gt;6&lt;/sup&gt;"},"properties":{"noteIndex":0},"schema":"https://github.com/citation-style-language/schema/raw/master/csl-citation.json"}</w:instrText>
      </w:r>
      <w:r w:rsidRPr="00F80B82">
        <w:fldChar w:fldCharType="separate"/>
      </w:r>
      <w:r w:rsidR="001A027E" w:rsidRPr="001A027E">
        <w:rPr>
          <w:noProof/>
          <w:vertAlign w:val="superscript"/>
        </w:rPr>
        <w:t>6</w:t>
      </w:r>
      <w:r w:rsidRPr="00F80B82">
        <w:fldChar w:fldCharType="end"/>
      </w:r>
      <w:r w:rsidRPr="00F80B82">
        <w:t>. Because this age is related to an arbitrarily defined time zero on the shelf close to the river mouth, age is apparent and not absolute.</w:t>
      </w:r>
    </w:p>
    <w:p w14:paraId="00316C5D" w14:textId="77777777" w:rsidR="00D937C6" w:rsidRPr="00F80B82" w:rsidRDefault="00D937C6" w:rsidP="004D6BFF">
      <w:pPr>
        <w:spacing w:after="120" w:line="288" w:lineRule="auto"/>
        <w:jc w:val="center"/>
        <w:rPr>
          <w:sz w:val="24"/>
          <w:szCs w:val="24"/>
        </w:rPr>
      </w:pPr>
      <w:r w:rsidRPr="00F80B82">
        <w:rPr>
          <w:noProof/>
          <w:sz w:val="24"/>
          <w:szCs w:val="24"/>
          <w:lang w:eastAsia="de-DE"/>
        </w:rPr>
        <w:drawing>
          <wp:inline distT="0" distB="0" distL="0" distR="0" wp14:anchorId="21BE2326" wp14:editId="3F07CD68">
            <wp:extent cx="5400000" cy="270270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702708"/>
                    </a:xfrm>
                    <a:prstGeom prst="rect">
                      <a:avLst/>
                    </a:prstGeom>
                    <a:noFill/>
                    <a:ln>
                      <a:noFill/>
                    </a:ln>
                  </pic:spPr>
                </pic:pic>
              </a:graphicData>
            </a:graphic>
          </wp:inline>
        </w:drawing>
      </w:r>
    </w:p>
    <w:p w14:paraId="0316E615" w14:textId="5F1C7A68" w:rsidR="00D937C6" w:rsidRDefault="00D937C6" w:rsidP="00F80B82">
      <w:pPr>
        <w:spacing w:after="120" w:line="288" w:lineRule="auto"/>
        <w:rPr>
          <w:sz w:val="24"/>
          <w:szCs w:val="24"/>
        </w:rPr>
      </w:pPr>
      <w:r w:rsidRPr="00F80B82">
        <w:rPr>
          <w:b/>
          <w:sz w:val="24"/>
          <w:szCs w:val="24"/>
        </w:rPr>
        <w:t>Figure S</w:t>
      </w:r>
      <w:r w:rsidR="001A027E">
        <w:rPr>
          <w:b/>
          <w:sz w:val="24"/>
          <w:szCs w:val="24"/>
        </w:rPr>
        <w:t>1</w:t>
      </w:r>
      <w:r w:rsidRPr="00F80B82">
        <w:rPr>
          <w:b/>
          <w:sz w:val="24"/>
          <w:szCs w:val="24"/>
        </w:rPr>
        <w:t>.</w:t>
      </w:r>
      <w:r w:rsidRPr="00F80B82">
        <w:rPr>
          <w:sz w:val="24"/>
          <w:szCs w:val="24"/>
        </w:rPr>
        <w:t xml:space="preserve"> Color circles represent the apparent age of the plume estimated by radium isotopes measured underway and from CTD samples at surface during our cruise in 2018</w:t>
      </w:r>
      <w:r w:rsidR="00411E90">
        <w:rPr>
          <w:sz w:val="24"/>
          <w:szCs w:val="24"/>
        </w:rPr>
        <w:fldChar w:fldCharType="begin" w:fldLock="1"/>
      </w:r>
      <w:r w:rsidR="000D36EE">
        <w:rPr>
          <w:sz w:val="24"/>
          <w:szCs w:val="24"/>
        </w:rPr>
        <w:instrText>ADDIN CSL_CITATION {"citationItems":[{"id":"ITEM-1","itemData":{"DOI":"10.26008/1912/bco-dmo.753837.1","author":[{"dropping-particle":"","family":"Peterson, Richard, Montoya, Joseph P., Subramaniam","given":"Ajit","non-dropping-particle":"","parse-names":false,"suffix":""}],"id":"ITEM-1","issued":{"date-parts":[["2020"]]},"publisher":"Biological and Chemical Oceanography Data Management Office (BCO-DMO).","title":"Radium isotope measurements from CTD and underway water samples from the R/V Endeavor from 2018-05-06 to 2018-05-29. Biological and Chemical Oceanography Data Management Office (BCO-DMO). (Version 1) Version Date 2019-02-11","type":"article"},"uris":["http://www.mendeley.com/documents/?uuid=3cf78cac-6b3d-4012-88c8-f1ec05766c96"]}],"mendeley":{"formattedCitation":"&lt;sup&gt;2&lt;/sup&gt;","plainTextFormattedCitation":"2","previouslyFormattedCitation":"&lt;sup&gt;2&lt;/sup&gt;"},"properties":{"noteIndex":0},"schema":"https://github.com/citation-style-language/schema/raw/master/csl-citation.json"}</w:instrText>
      </w:r>
      <w:r w:rsidR="00411E90">
        <w:rPr>
          <w:sz w:val="24"/>
          <w:szCs w:val="24"/>
        </w:rPr>
        <w:fldChar w:fldCharType="separate"/>
      </w:r>
      <w:r w:rsidR="001A027E" w:rsidRPr="001A027E">
        <w:rPr>
          <w:noProof/>
          <w:sz w:val="24"/>
          <w:szCs w:val="24"/>
          <w:vertAlign w:val="superscript"/>
        </w:rPr>
        <w:t>2</w:t>
      </w:r>
      <w:r w:rsidR="00411E90">
        <w:rPr>
          <w:sz w:val="24"/>
          <w:szCs w:val="24"/>
        </w:rPr>
        <w:fldChar w:fldCharType="end"/>
      </w:r>
      <w:r w:rsidRPr="00F80B82">
        <w:rPr>
          <w:sz w:val="24"/>
          <w:szCs w:val="24"/>
        </w:rPr>
        <w:t xml:space="preserve"> and in 2019</w:t>
      </w:r>
      <w:r w:rsidR="00411E90">
        <w:rPr>
          <w:sz w:val="24"/>
          <w:szCs w:val="24"/>
        </w:rPr>
        <w:fldChar w:fldCharType="begin" w:fldLock="1"/>
      </w:r>
      <w:r w:rsidR="000D36EE">
        <w:rPr>
          <w:sz w:val="24"/>
          <w:szCs w:val="24"/>
        </w:rPr>
        <w:instrText>ADDIN CSL_CITATION {"citationItems":[{"id":"ITEM-1","itemData":{"DOI":"10.26008/1912/bco-dmo.846802.1","author":[{"dropping-particle":"","family":"Peterson, R. N., Montoya, J., Subramaniam","given":"A.","non-dropping-particle":"","parse-names":false,"suffix":""}],"id":"ITEM-1","issued":{"date-parts":[["2021"]]},"publisher":"Biological and Chemical Oceanography Data Management Office (BCO-DMO)","title":"Radium isotope (223Ra, 224Ra, and 226Ra) measurements from CTD and underway water samples collected on R/V Endeavor cruise EN640 from June-July 2019. Biological and Chemical Oceanography Data Management Office (BCO-DMO). (Version 1)","type":"article"},"uris":["http://www.mendeley.com/documents/?uuid=1fe0355d-0293-406d-a103-82bd7827d877"]}],"mendeley":{"formattedCitation":"&lt;sup&gt;3&lt;/sup&gt;","plainTextFormattedCitation":"3","previouslyFormattedCitation":"&lt;sup&gt;3&lt;/sup&gt;"},"properties":{"noteIndex":0},"schema":"https://github.com/citation-style-language/schema/raw/master/csl-citation.json"}</w:instrText>
      </w:r>
      <w:r w:rsidR="00411E90">
        <w:rPr>
          <w:sz w:val="24"/>
          <w:szCs w:val="24"/>
        </w:rPr>
        <w:fldChar w:fldCharType="separate"/>
      </w:r>
      <w:r w:rsidR="001A027E" w:rsidRPr="001A027E">
        <w:rPr>
          <w:noProof/>
          <w:sz w:val="24"/>
          <w:szCs w:val="24"/>
          <w:vertAlign w:val="superscript"/>
        </w:rPr>
        <w:t>3</w:t>
      </w:r>
      <w:r w:rsidR="00411E90">
        <w:rPr>
          <w:sz w:val="24"/>
          <w:szCs w:val="24"/>
        </w:rPr>
        <w:fldChar w:fldCharType="end"/>
      </w:r>
      <w:r w:rsidRPr="00F80B82">
        <w:rPr>
          <w:sz w:val="24"/>
          <w:szCs w:val="24"/>
        </w:rPr>
        <w:t xml:space="preserve"> cruise include in Pham et al (2024)</w:t>
      </w:r>
      <w:r w:rsidR="004D6BFF">
        <w:rPr>
          <w:sz w:val="24"/>
          <w:szCs w:val="24"/>
        </w:rPr>
        <w:fldChar w:fldCharType="begin" w:fldLock="1"/>
      </w:r>
      <w:r w:rsidR="000D36EE">
        <w:rPr>
          <w:sz w:val="24"/>
          <w:szCs w:val="24"/>
        </w:rPr>
        <w:instrText>ADDIN CSL_CITATION {"citationItems":[{"id":"ITEM-1","itemData":{"DOI":"10.3389/fmars.2024.1287497","ISBN":"2296-7745","abstract":"The Western Tropical North Atlantic is a highly dynamic marine system where the Amazon River Plume (ARP) generates a patchwork of environmental conditions that favor different phytoplankton groups. To study phytoplanktonic community structure in such heterogeneous conditions, we used a set of five standard ship-based measurements taken from oceanographic surveys between 2010 and 2021 to characterize different habitat types. We then utilized a variety of multiparametric approaches to examine phytoplankton biodiversity in the different habitats to assess the biological relevance of our delineated habitats. Our approach generated a consistent set of habitat types across cruises carried out in multiple different years and the Amazon’s two predominant (wet and dry) seasons. Our phytoplankton community analyses revealed strong distinctions among all habitats along the plume gradient using in-vivo fluorescence and diagnostic pigments, and clear contrasts of diazotroph community along the mesohaline waters using direct cell-count, a pattern consistent with niche partitioning among similar species. The few apparent mismatches we found between phytoplankton community composition and habitat may reflect recent hydrographic changes driven by mixing and/or upwelling and thus may be a useful index to biologically-relevant temporal variation. Our habitat classification approach is straightforward and broadly applicable in identifying biologically distinct areas within heterogeneous and dynamic regions of the ocean.","author":[{"dropping-particle":"","family":"Pham","given":"Anh H","non-dropping-particle":"","parse-names":false,"suffix":""},{"dropping-particle":"","family":"Choisnard","given":"Noémie","non-dropping-particle":"","parse-names":false,"suffix":""},{"dropping-particle":"","family":"Fernández-Carrera","given":"Ana","non-dropping-particle":"","parse-names":false,"suffix":""},{"dropping-particle":"","family":"Subramaniam","given":"Ajit","non-dropping-particle":"","parse-names":false,"suffix":""},{"dropping-particle":"","family":"Strope","given":"Erica K","non-dropping-particle":"","parse-names":false,"suffix":""},{"dropping-particle":"","family":"Carpenter","given":"Edward J","non-dropping-particle":"","parse-names":false,"suffix":""},{"dropping-particle":"","family":"Voss","given":"Maren","non-dropping-particle":"","parse-names":false,"suffix":""},{"dropping-particle":"","family":"Montoya","given":"Joseph P","non-dropping-particle":"","parse-names":false,"suffix":""}],"container-title":"Frontiers in Marine Science","id":"ITEM-1","issued":{"date-parts":[["2024"]]},"title":"Planktonic habitats in the Amazon Plume region of the Western Tropical North Atlantic","type":"article","volume":"11"},"uris":["http://www.mendeley.com/documents/?uuid=566e3f3a-5feb-403c-a6d5-620f691e2293"]}],"mendeley":{"formattedCitation":"&lt;sup&gt;1&lt;/sup&gt;","plainTextFormattedCitation":"1","previouslyFormattedCitation":"&lt;sup&gt;1&lt;/sup&gt;"},"properties":{"noteIndex":0},"schema":"https://github.com/citation-style-language/schema/raw/master/csl-citation.json"}</w:instrText>
      </w:r>
      <w:r w:rsidR="004D6BFF">
        <w:rPr>
          <w:sz w:val="24"/>
          <w:szCs w:val="24"/>
        </w:rPr>
        <w:fldChar w:fldCharType="separate"/>
      </w:r>
      <w:r w:rsidR="001A027E" w:rsidRPr="001A027E">
        <w:rPr>
          <w:noProof/>
          <w:sz w:val="24"/>
          <w:szCs w:val="24"/>
          <w:vertAlign w:val="superscript"/>
        </w:rPr>
        <w:t>1</w:t>
      </w:r>
      <w:r w:rsidR="004D6BFF">
        <w:rPr>
          <w:sz w:val="24"/>
          <w:szCs w:val="24"/>
        </w:rPr>
        <w:fldChar w:fldCharType="end"/>
      </w:r>
      <w:r w:rsidRPr="00F80B82">
        <w:rPr>
          <w:sz w:val="24"/>
          <w:szCs w:val="24"/>
        </w:rPr>
        <w:t xml:space="preserve"> for the habitat delineation along the Amazon River plume. The activity ratio on the Amazon shelf, representing time zero, was estimated using the average of the surface samples at salinities between 5 and 9 in Moore et al (1995)</w:t>
      </w:r>
      <w:r w:rsidR="00411E90">
        <w:rPr>
          <w:sz w:val="24"/>
          <w:szCs w:val="24"/>
        </w:rPr>
        <w:fldChar w:fldCharType="begin" w:fldLock="1"/>
      </w:r>
      <w:r w:rsidR="000D36EE">
        <w:rPr>
          <w:sz w:val="24"/>
          <w:szCs w:val="24"/>
        </w:rPr>
        <w:instrText>ADDIN CSL_CITATION {"citationItems":[{"id":"ITEM-1","itemData":{"DOI":"https://doi.org/10.1016/0016-7037(95)00242-R","ISSN":"0016-7037","abstract":"Radium isotope distributions on the continental shelf adjacent to the Amazon River are a complex function of salinity. The river and seawater endmembers for each radium isotope are low. Data from intermediate salinities plot as a highly scattered region above the conservative mixing line connecting the river and ocean endmembers. Spatial and temporal variability in sediment mixing and water residence times cause the scatter in the radium isotope data. We have used the distributions of 226Ra, 228Ra, and 224Ra collected during four cruises representing different conditions on the shelf to construct inventories of radium due to nonconservative additions from sediments. Using estimates of water residence times, we calculate fluxes of these radium isotopes from the Amazon system. The amount of fresh river sediment entering the system each year is adequate to support the nonconservative flux of 226Ra from the shelf sediments; however, the ultimate release of 226Ra from the sediments requires weeks to months. To support the nonconservative flux of 228Ra from this system, sediments of the 1–2 m thick surface mixed layer must be resuspended every two years. The resulting flux supports 15% of the 228Ra entering the surface Atlantic Ocean. Release of 224Ra from suspended sediments, primarily fluid mud, is more than adequate to support the inventory of 224Ra on the Amazon shelf. Comparing the AmasSeds low discharge cruise (November 1991) to a low discharge sampling in December 1982 revealed no significant changes in the 226Ra and 228Ra distributions.","author":[{"dropping-particle":"","family":"Moore","given":"Willard S","non-dropping-particle":"","parse-names":false,"suffix":""},{"dropping-particle":"","family":"Astwood","given":"Heather","non-dropping-particle":"","parse-names":false,"suffix":""},{"dropping-particle":"","family":"Lindstrom","given":"Candice","non-dropping-particle":"","parse-names":false,"suffix":""}],"container-title":"Geochimica et Cosmochimica Acta","id":"ITEM-1","issue":"20","issued":{"date-parts":[["1995"]]},"page":"4285-4298","title":"Radium isotopes in coastal waters on the Amazon shelf","type":"article-journal","volume":"59"},"uris":["http://www.mendeley.com/documents/?uuid=cccfd645-a4a0-49aa-832c-a274d8508162"]}],"mendeley":{"formattedCitation":"&lt;sup&gt;6&lt;/sup&gt;","plainTextFormattedCitation":"6","previouslyFormattedCitation":"&lt;sup&gt;6&lt;/sup&gt;"},"properties":{"noteIndex":0},"schema":"https://github.com/citation-style-language/schema/raw/master/csl-citation.json"}</w:instrText>
      </w:r>
      <w:r w:rsidR="00411E90">
        <w:rPr>
          <w:sz w:val="24"/>
          <w:szCs w:val="24"/>
        </w:rPr>
        <w:fldChar w:fldCharType="separate"/>
      </w:r>
      <w:r w:rsidR="001A027E" w:rsidRPr="001A027E">
        <w:rPr>
          <w:noProof/>
          <w:sz w:val="24"/>
          <w:szCs w:val="24"/>
          <w:vertAlign w:val="superscript"/>
        </w:rPr>
        <w:t>6</w:t>
      </w:r>
      <w:r w:rsidR="00411E90">
        <w:rPr>
          <w:sz w:val="24"/>
          <w:szCs w:val="24"/>
        </w:rPr>
        <w:fldChar w:fldCharType="end"/>
      </w:r>
      <w:r w:rsidRPr="00F80B82">
        <w:rPr>
          <w:sz w:val="24"/>
          <w:szCs w:val="24"/>
        </w:rPr>
        <w:t>. The arrows represent the median of the geostrophic velocity provided by the Copernicus Global Ocean Gridded L4 Sea Surface Heights for the duration of each cruise (</w:t>
      </w:r>
      <w:proofErr w:type="spellStart"/>
      <w:r w:rsidRPr="00F80B82">
        <w:rPr>
          <w:sz w:val="24"/>
          <w:szCs w:val="24"/>
        </w:rPr>
        <w:t>doi</w:t>
      </w:r>
      <w:proofErr w:type="spellEnd"/>
      <w:r w:rsidRPr="00F80B82">
        <w:rPr>
          <w:sz w:val="24"/>
          <w:szCs w:val="24"/>
        </w:rPr>
        <w:t xml:space="preserve">: 10.48670/moi-00148). </w:t>
      </w:r>
    </w:p>
    <w:p w14:paraId="27801FB9" w14:textId="2EF5B5C8" w:rsidR="001A027E" w:rsidRDefault="001A027E" w:rsidP="00F80B82">
      <w:pPr>
        <w:spacing w:after="120" w:line="288" w:lineRule="auto"/>
        <w:rPr>
          <w:sz w:val="24"/>
          <w:szCs w:val="24"/>
        </w:rPr>
      </w:pPr>
    </w:p>
    <w:p w14:paraId="3DFF32F7" w14:textId="77777777" w:rsidR="001A027E" w:rsidRPr="00F80B82" w:rsidRDefault="001A027E" w:rsidP="001A027E">
      <w:pPr>
        <w:pStyle w:val="Subhead"/>
        <w:spacing w:before="0" w:after="120" w:line="288" w:lineRule="auto"/>
      </w:pPr>
      <w:r>
        <w:t>B</w:t>
      </w:r>
      <w:r w:rsidRPr="00F80B82">
        <w:t>ulk carbon isotopes</w:t>
      </w:r>
      <w:r>
        <w:t xml:space="preserve"> reveal phytoplankton as major sources of </w:t>
      </w:r>
      <w:proofErr w:type="spellStart"/>
      <w:r>
        <w:t>seston</w:t>
      </w:r>
      <w:proofErr w:type="spellEnd"/>
    </w:p>
    <w:p w14:paraId="00A3B42D" w14:textId="159BDB93" w:rsidR="00370002" w:rsidRDefault="00370002" w:rsidP="001A027E">
      <w:pPr>
        <w:pStyle w:val="Teaser"/>
        <w:spacing w:before="0" w:after="120" w:line="288" w:lineRule="auto"/>
      </w:pPr>
      <w:proofErr w:type="spellStart"/>
      <w:r w:rsidRPr="00370002">
        <w:t>Seston</w:t>
      </w:r>
      <w:proofErr w:type="spellEnd"/>
      <w:r w:rsidRPr="00370002">
        <w:t xml:space="preserve"> </w:t>
      </w:r>
      <w:r w:rsidR="00986948">
        <w:t>may</w:t>
      </w:r>
      <w:r w:rsidRPr="00370002">
        <w:t xml:space="preserve"> contain a mixture of phytoplankton, microzooplankton, bacteria and detritus, whose contribution can be disentangled using carbon isotopes. The bulk C:N ratio, δ</w:t>
      </w:r>
      <w:r w:rsidRPr="00986948">
        <w:rPr>
          <w:vertAlign w:val="superscript"/>
        </w:rPr>
        <w:t>13</w:t>
      </w:r>
      <w:r w:rsidRPr="00370002">
        <w:t>C, and the relation between particulate carbon (bulk PC) and chlorophyll</w:t>
      </w:r>
      <w:r w:rsidRPr="00370002">
        <w:rPr>
          <w:i/>
        </w:rPr>
        <w:t xml:space="preserve"> a </w:t>
      </w:r>
      <w:r w:rsidRPr="00370002">
        <w:t>(</w:t>
      </w:r>
      <w:proofErr w:type="spellStart"/>
      <w:r w:rsidRPr="00370002">
        <w:t>Chla</w:t>
      </w:r>
      <w:proofErr w:type="spellEnd"/>
      <w:r w:rsidRPr="00370002">
        <w:t xml:space="preserve">) are commonly used to confirm the dominance of phytoplankton in the particle signature. Bulk PC showed a linear relationship with </w:t>
      </w:r>
      <w:proofErr w:type="spellStart"/>
      <w:r w:rsidRPr="00370002">
        <w:t>Chla</w:t>
      </w:r>
      <w:proofErr w:type="spellEnd"/>
      <w:r w:rsidRPr="00370002">
        <w:t xml:space="preserve"> concentration measured at the surface (Fig. S2), this significant linear relationship between the log-log of the two variables (</w:t>
      </w:r>
      <w:r w:rsidR="005159D3">
        <w:t>b</w:t>
      </w:r>
      <w:r w:rsidRPr="00370002">
        <w:t xml:space="preserve">ulk PC = 1.0 + 0.4 </w:t>
      </w:r>
      <w:proofErr w:type="spellStart"/>
      <w:r w:rsidRPr="00370002">
        <w:t>Chla</w:t>
      </w:r>
      <w:proofErr w:type="spellEnd"/>
      <w:r w:rsidRPr="00370002">
        <w:t>, n = 27, R</w:t>
      </w:r>
      <w:r w:rsidRPr="005159D3">
        <w:rPr>
          <w:vertAlign w:val="superscript"/>
        </w:rPr>
        <w:t>2</w:t>
      </w:r>
      <w:r w:rsidRPr="00370002">
        <w:t xml:space="preserve">adj = 0.35, </w:t>
      </w:r>
      <w:r w:rsidRPr="00370002">
        <w:rPr>
          <w:i/>
        </w:rPr>
        <w:t>p</w:t>
      </w:r>
      <w:r w:rsidRPr="00370002">
        <w:t xml:space="preserve">&lt;0.001) suggests the dominance of phytoplankton biomass in the </w:t>
      </w:r>
      <w:r w:rsidR="00986948">
        <w:t xml:space="preserve">signature of </w:t>
      </w:r>
      <w:proofErr w:type="spellStart"/>
      <w:r w:rsidRPr="00370002">
        <w:t>seston</w:t>
      </w:r>
      <w:proofErr w:type="spellEnd"/>
      <w:r w:rsidRPr="00370002">
        <w:t xml:space="preserve"> (Fig. S2). </w:t>
      </w:r>
      <w:r w:rsidR="00986948">
        <w:t>It is to be n</w:t>
      </w:r>
      <w:r w:rsidRPr="00370002">
        <w:t>ote</w:t>
      </w:r>
      <w:r w:rsidR="00986948">
        <w:t>d</w:t>
      </w:r>
      <w:r w:rsidRPr="00370002">
        <w:t xml:space="preserve"> that all </w:t>
      </w:r>
      <w:r w:rsidRPr="00370002">
        <w:lastRenderedPageBreak/>
        <w:t xml:space="preserve">mixotrophic samples showed this relationship between bulk PC and </w:t>
      </w:r>
      <w:proofErr w:type="spellStart"/>
      <w:r w:rsidRPr="00370002">
        <w:t>Chla</w:t>
      </w:r>
      <w:proofErr w:type="spellEnd"/>
      <w:r w:rsidRPr="00370002">
        <w:t xml:space="preserve">, indicating that the higher TP of these samples is unlikely to be simply the result of a mixture of phytoplankton and herbivorous microzooplankton. Excluding the three autotrophic samples with bulk PC values higher or lower than those with similar </w:t>
      </w:r>
      <w:proofErr w:type="spellStart"/>
      <w:r w:rsidRPr="00370002">
        <w:t>Chla</w:t>
      </w:r>
      <w:proofErr w:type="spellEnd"/>
      <w:r w:rsidRPr="00370002">
        <w:t xml:space="preserve"> content (stations 12.01 and 17.01 in 2018 and 12.02 in 2021), the linear relationship was still significant with a more than twofold increase in R</w:t>
      </w:r>
      <w:r w:rsidRPr="00370002">
        <w:rPr>
          <w:vertAlign w:val="superscript"/>
        </w:rPr>
        <w:t>2</w:t>
      </w:r>
      <w:r w:rsidRPr="00370002">
        <w:t xml:space="preserve">adj (bulk PC = 1.1 + 0.5 </w:t>
      </w:r>
      <w:proofErr w:type="spellStart"/>
      <w:r w:rsidRPr="00370002">
        <w:t>Chla</w:t>
      </w:r>
      <w:proofErr w:type="spellEnd"/>
      <w:r w:rsidRPr="00370002">
        <w:t>, n = 24, R</w:t>
      </w:r>
      <w:r w:rsidRPr="00370002">
        <w:rPr>
          <w:vertAlign w:val="superscript"/>
        </w:rPr>
        <w:t>2</w:t>
      </w:r>
      <w:r w:rsidRPr="00370002">
        <w:t xml:space="preserve">adj = 0.76, </w:t>
      </w:r>
      <w:r w:rsidRPr="00370002">
        <w:rPr>
          <w:i/>
        </w:rPr>
        <w:t>p</w:t>
      </w:r>
      <w:r w:rsidRPr="00370002">
        <w:t xml:space="preserve">&lt;0.001). In addition, the bulk C:N ratio of </w:t>
      </w:r>
      <w:proofErr w:type="spellStart"/>
      <w:r w:rsidRPr="00370002">
        <w:t>seston</w:t>
      </w:r>
      <w:proofErr w:type="spellEnd"/>
      <w:r w:rsidRPr="00370002">
        <w:t xml:space="preserve"> ranged from 6.2 to 16.6, and in the majority of our samples</w:t>
      </w:r>
      <w:r w:rsidR="003079C1">
        <w:t xml:space="preserve">, </w:t>
      </w:r>
      <w:r w:rsidRPr="00370002">
        <w:t xml:space="preserve">it is consistent with the ranges described for marine </w:t>
      </w:r>
      <w:r w:rsidR="003079C1">
        <w:t xml:space="preserve">or </w:t>
      </w:r>
      <w:r w:rsidRPr="00370002">
        <w:t xml:space="preserve">freshwater algae and organic particulate </w:t>
      </w:r>
      <w:r w:rsidRPr="00F80B82">
        <w:t>matter</w:t>
      </w:r>
      <w:r w:rsidRPr="00F80B82">
        <w:fldChar w:fldCharType="begin" w:fldLock="1"/>
      </w:r>
      <w:r w:rsidR="000D36EE">
        <w:instrText>ADDIN CSL_CITATION {"citationItems":[{"id":"ITEM-1","itemData":{"DOI":"https://doi.org/10.1016/j.earscirev.2005.10.003","ISSN":"0012-8252","abstract":"Holocene reconstructions of relative sea-level (RSL) and environmental change in the coastal zone have become progressively more numerous since the importance of assessing possible future sea-level rises has become apparent. Traditionally this has been achieved using a combination of biological and physical indicators (e.g. pollen, diatoms, foraminifera, grain size, etc.). In some circumstances, microfossils can be rare or absent from Holocene sediments and in these cases carbon isotope ratios (δ13C) and organic carbon to total nitrogen ratios (C/N) can be used because they have the potential to provide information as to the origin of organic material preserved in coastal environments. The distinction in δ13C and C/N of the various sources of carbon to estuarine sediments has led to its wide use as a tracer of carbon pathways and storage in estuaries. More recently these techniques have been applied to Holocene sediments to decipher changes in palaeocoastal environments and thus position relative to sea-level and/or palaeoriver discharge, which have direct relevance to palaeoclimate. This paper reviews the studies that have utilised this technique and explores examples from a wide range of coastal environments (saltmarshes, estuaries, lagoons, isolation basins and fjords). It also discusses the potential alteration of geochemical signatures as a result of decompositional processes. Organic matter decomposition has been shown to change sediment δ13C and C/N values and thus an understanding of the processes involved is necessary in order to have confidence in the palaeoenvironmental interpretation of Holocene δ13C and C/N. Decompositional shifts in C/N, and particularly δ13C, can occur over a relatively short time-period, however it is the direction of change in δ13C and C/N, rather than absolute values, that is key for interpreting changes in relative sea-level and thus such changes are commonly preserved.","author":[{"dropping-particle":"","family":"Lamb","given":"Angela L","non-dropping-particle":"","parse-names":false,"suffix":""},{"dropping-particle":"","family":"Wilson","given":"Graham P","non-dropping-particle":"","parse-names":false,"suffix":""},{"dropping-particle":"","family":"Leng","given":"Melanie J","non-dropping-particle":"","parse-names":false,"suffix":""}],"container-title":"Earth-Science Reviews","id":"ITEM-1","issue":"1","issued":{"date-parts":[["2006"]]},"page":"29-57","title":"A review of coastal palaeoclimate and relative sea-level reconstructions using δ13C and C/N ratios in organic material","type":"article-journal","volume":"75"},"uris":["http://www.mendeley.com/documents/?uuid=4477d8ef-d8c3-436d-b81f-502891905961"]}],"mendeley":{"formattedCitation":"&lt;sup&gt;7&lt;/sup&gt;","plainTextFormattedCitation":"7","previouslyFormattedCitation":"&lt;sup&gt;7&lt;/sup&gt;"},"properties":{"noteIndex":0},"schema":"https://github.com/citation-style-language/schema/raw/master/csl-citation.json"}</w:instrText>
      </w:r>
      <w:r w:rsidRPr="00F80B82">
        <w:fldChar w:fldCharType="separate"/>
      </w:r>
      <w:r w:rsidRPr="001A027E">
        <w:rPr>
          <w:noProof/>
          <w:vertAlign w:val="superscript"/>
        </w:rPr>
        <w:t>7</w:t>
      </w:r>
      <w:r w:rsidRPr="00F80B82">
        <w:fldChar w:fldCharType="end"/>
      </w:r>
      <w:r w:rsidRPr="00F80B82">
        <w:t xml:space="preserve"> </w:t>
      </w:r>
      <w:r w:rsidRPr="00370002">
        <w:t>with little or no imprint of bacteria or higher plant matter delivered by the river, including the three samples with anomalous bulk PC-</w:t>
      </w:r>
      <w:proofErr w:type="spellStart"/>
      <w:r w:rsidRPr="00370002">
        <w:t>Chla</w:t>
      </w:r>
      <w:proofErr w:type="spellEnd"/>
      <w:r w:rsidRPr="00370002">
        <w:t xml:space="preserve"> ratios (Fig. S2). These C:N values above 6 also suggest no contribution from microzooplankton in our samples, which typically have C:N ratios below </w:t>
      </w:r>
      <w:r>
        <w:t>6.6</w:t>
      </w:r>
      <w:r>
        <w:fldChar w:fldCharType="begin" w:fldLock="1"/>
      </w:r>
      <w:r w:rsidR="000D36EE">
        <w:instrText>ADDIN CSL_CITATION {"citationItems":[{"id":"ITEM-1","itemData":{"DOI":"https://doi.org/10.1016/B978-0-12-372522-6.00026-8","ISBN":"978-0-12-372522-6","abstract":"Publisher Summary This chapter focuses on the important role that zooplankton play in nitrogen cycling by following the path of the food from ingestion to all aspects and stages of metabolism. It begins with a discussion of N consumption, including the nitrogenous composition of available food types, rates of N consumption, and effects of food quality. The various aspects of N metabolism, emphasizing the importance to biogeochemical cycling and coupling with other major elements (carbon, phosphorus) are also discussed. Considerable progress in our understanding of the role of marine zooplankton in nitrogen cycling has been made in the last two decades. Studies are now at the stage where large data sets are being compiled, and it is possible, for example, to reasonably predict ammonia excretion as a function of body mass for a given organism and temperature using regression equations—and avoid doing experimental incubations. These individual, size-specific excretion rates can be scaled up to a community rate if total biomass and size structure of the community is known. A common theme throughout this review is that more information is needed on the role of marine protozoa, gelatinous zooplankton, and of taxa living below the euphotic zone in N consumption and metabolism. Consumption of phytoplankton and bacteria by microzooplankton are key processes in N transformations in the ocean.","author":[{"dropping-particle":"","family":"Steinberg","given":"Deborah K","non-dropping-particle":"","parse-names":false,"suffix":""},{"dropping-particle":"","family":"Saba","given":"Grace K","non-dropping-particle":"","parse-names":false,"suffix":""}],"editor":[{"dropping-particle":"","family":"Capone","given":"Douglas G","non-dropping-particle":"","parse-names":false,"suffix":""},{"dropping-particle":"","family":"Bronk","given":"Deborah A","non-dropping-particle":"","parse-names":false,"suffix":""},{"dropping-particle":"","family":"Mulholland","given":"Margaret R","non-dropping-particle":"","parse-names":false,"suffix":""},{"dropping-particle":"","family":"Carpenter","given":"Edward J B T - Nitrogen in the Marine Environment (Second Edition)","non-dropping-particle":"","parse-names":false,"suffix":""}],"id":"ITEM-1","issued":{"date-parts":[["2008"]]},"page":"1135-1196","publisher":"Academic Press","publisher-place":"San Diego","title":"Chapter 26 - Nitrogen Consumption and Metabolism in Marine Zooplankton","type":"chapter"},"uris":["http://www.mendeley.com/documents/?uuid=36d90662-504a-4fe6-8388-0332d99edba9"]}],"mendeley":{"formattedCitation":"&lt;sup&gt;8&lt;/sup&gt;","plainTextFormattedCitation":"8","previouslyFormattedCitation":"&lt;sup&gt;8&lt;/sup&gt;"},"properties":{"noteIndex":0},"schema":"https://github.com/citation-style-language/schema/raw/master/csl-citation.json"}</w:instrText>
      </w:r>
      <w:r>
        <w:fldChar w:fldCharType="separate"/>
      </w:r>
      <w:r w:rsidRPr="001A027E">
        <w:rPr>
          <w:noProof/>
          <w:vertAlign w:val="superscript"/>
        </w:rPr>
        <w:t>8</w:t>
      </w:r>
      <w:r>
        <w:fldChar w:fldCharType="end"/>
      </w:r>
      <w:r>
        <w:t xml:space="preserve">, </w:t>
      </w:r>
      <w:r w:rsidRPr="00370002">
        <w:t xml:space="preserve">and further support the fact that mixotrophic samples are not the result of mixing of </w:t>
      </w:r>
      <w:r w:rsidR="005159D3">
        <w:t>different trophic levels</w:t>
      </w:r>
      <w:r w:rsidRPr="00370002">
        <w:t xml:space="preserve"> in </w:t>
      </w:r>
      <w:proofErr w:type="spellStart"/>
      <w:r w:rsidRPr="00370002">
        <w:t>seston</w:t>
      </w:r>
      <w:proofErr w:type="spellEnd"/>
      <w:r w:rsidR="005159D3">
        <w:t>, but of the combined autotrophic and heterotrophic metabolism of mixotrophs</w:t>
      </w:r>
      <w:r w:rsidRPr="00370002">
        <w:t>.</w:t>
      </w:r>
    </w:p>
    <w:p w14:paraId="436DBF35" w14:textId="2EB7D673" w:rsidR="001A027E" w:rsidRPr="00F80B82" w:rsidRDefault="001A027E" w:rsidP="001A027E">
      <w:pPr>
        <w:pStyle w:val="Teaser"/>
        <w:spacing w:before="0" w:after="120" w:line="288" w:lineRule="auto"/>
      </w:pPr>
      <w:r w:rsidRPr="00F80B82">
        <w:t>The bulk δ</w:t>
      </w:r>
      <w:r w:rsidRPr="00F80B82">
        <w:rPr>
          <w:vertAlign w:val="superscript"/>
        </w:rPr>
        <w:t>13</w:t>
      </w:r>
      <w:r w:rsidRPr="00F80B82">
        <w:t xml:space="preserve">C of </w:t>
      </w:r>
      <w:proofErr w:type="spellStart"/>
      <w:r w:rsidRPr="00F80B82">
        <w:t>seston</w:t>
      </w:r>
      <w:proofErr w:type="spellEnd"/>
      <w:r w:rsidRPr="00F80B82">
        <w:t xml:space="preserve"> ranged between –31 and –27 ‰ in the RI habitat and between –26 and −17 ‰ in the other </w:t>
      </w:r>
      <w:r w:rsidRPr="00B35D78">
        <w:t>habitats (Fig. S</w:t>
      </w:r>
      <w:r w:rsidR="00B943D3">
        <w:t>2</w:t>
      </w:r>
      <w:r w:rsidRPr="00B35D78">
        <w:t>). Values</w:t>
      </w:r>
      <w:r>
        <w:t xml:space="preserve"> in RI are consistent with previous studies reporting </w:t>
      </w:r>
      <w:r w:rsidRPr="006010A1">
        <w:t>δ</w:t>
      </w:r>
      <w:r w:rsidRPr="00C43B5B">
        <w:rPr>
          <w:vertAlign w:val="superscript"/>
        </w:rPr>
        <w:t>13</w:t>
      </w:r>
      <w:r w:rsidRPr="006010A1">
        <w:t>C</w:t>
      </w:r>
      <w:r>
        <w:t xml:space="preserve"> values of terrestrial material </w:t>
      </w:r>
      <w:r w:rsidRPr="00BF70D5">
        <w:t>between −34 and −27</w:t>
      </w:r>
      <w:r>
        <w:t xml:space="preserve"> </w:t>
      </w:r>
      <w:r w:rsidRPr="00BF70D5">
        <w:t xml:space="preserve">‰ </w:t>
      </w:r>
      <w:r w:rsidRPr="00BF70D5">
        <w:fldChar w:fldCharType="begin" w:fldLock="1"/>
      </w:r>
      <w:r w:rsidR="000D36EE">
        <w:instrText>ADDIN CSL_CITATION {"citationItems":[{"id":"ITEM-1","itemData":{"DOI":"https://doi.org/10.1016/0272-7714(88)90008-X","ISSN":"0272-7714","abstract":"Stable carbon isotope ratios have been used to study the sources of particulate organic carbon (POC) in the Amazon River and its tributaries as well as to examine the transport of the riverine POC into the oceanic environment. POC in the upper reaches of the Amazon River has more positive δ13C values (−24·5 to −28·0‰) than that in the middle and lower reaches (−27·9 to −30·1‰). The δ13C content of POC from the tributaries is generally more negative than that observed in the Amazon main channel. This δ13C evidence shows that the POC in the Amazon main channel is predominantly of terrestrial origin rather than a result of in situ production. A large range of δ13C values (−17·5 to −28·4‰) is observed in the Amazon estuary and plume and is attributed to the mixing of riverine and marine POC. POC δ13C measurements detect riverine organic detritus as far as 290 km offshore in a direction parallel to the river channel; the isotopic signal of riverine POC can be seen as far as 1100 km to the north-west of the river mouth in the Amazon River plume.","author":[{"dropping-particle":"","family":"Cai","given":"D.-L.","non-dropping-particle":"","parse-names":false,"suffix":""},{"dropping-particle":"","family":"Tan","given":"F C","non-dropping-particle":"","parse-names":false,"suffix":""},{"dropping-particle":"","family":"Edmond","given":"J M","non-dropping-particle":"","parse-names":false,"suffix":""}],"container-title":"Estuarine, Coastal and Shelf Science","id":"ITEM-1","issue":"1","issued":{"date-parts":[["1988"]]},"page":"1-14","title":"Sources and transport of particulate organic carbon in the Amazon River and estuary","type":"article-journal","volume":"26"},"uris":["http://www.mendeley.com/documents/?uuid=d0a45c40-c2c0-4517-93c2-6f3b8d62b38a"]},{"id":"ITEM-2","itemData":{"DOI":"https://doi.org/10.1016/0278-4343(86)90062-2","ISSN":"0278-4343","abstract":"The stable carbon isotopic ratio (13C:12C) of organic matter in the water column and sediments has been used to examine the distribution and accumulation of organic carbon on the Amazon continental shelf. Near the river mouth, in 0 × 10−3 salinity surface waters, particulate organic carbon (POC) is isotopically light (−27.3 per mil). Isotopic values of POC in continental shelf waters north and east of the river mouth range from −19.5 to −25.7 per mil. The isotopic variations in water column POC can be related to productivity, turbidity, and water density. The isotopic character of water column POC is controlled, therefore, by the dynamic mixing and northwestward migration of riverine and marine shelf waters. Terrestrial organic carbon dominates the isotopic signal in surface sediments (upper 10 cm) from the river mouth to areas 400 km to the northwest. Only on the outermost and northern parts of the shelf is marine organic carbon dominant in surface sediments. A sharp boundary between terrestrial and marine isotopic values is present in continental shelf sediments at the outer edge of the prograding mud delta. This boundary is associated with an abrupt decrease in sediment accumulation rate and a change in stratigraphic setting from topset and foreset regions to bottomset regions. The average TOC content of Amazon continental shelf sediments is 0.66 ± 0.20%. Based on the average TOC of Amazon shelf sediments and current estimates of sediment accumulation rates, approximately 4.5 × 1012 g-TOC y−1 is accumulating in Amazon shelf sediments. Using δ13C-POC values at salinities of 0 and 35 × 10−3 as end-members to isotopically resolve the contribution of terrestrial and marine carbon sources, approximately 3.1 × 1012 g-TOC y−1 or 69% of the organic carbon accumulating in Amazon shelf surface sediments is from terrestrial sources. This represents 6% of current estimates for Amazon riverine carbon discharge.","author":[{"dropping-particle":"","family":"Showers","given":"William J","non-dropping-particle":"","parse-names":false,"suffix":""},{"dropping-particle":"","family":"Angle","given":"David G","non-dropping-particle":"","parse-names":false,"suffix":""}],"container-title":"Continental Shelf Research","id":"ITEM-2","issue":"1","issued":{"date-parts":[["1986"]]},"page":"227-244","title":"Stable isotopic characterization of organic carbon accumulation on the Amazon continental shelf","type":"article-journal","volume":"6"},"uris":["http://www.mendeley.com/documents/?uuid=2fa13447-1d9e-4dde-be4d-8a5e6d5360fd"]},{"id":"ITEM-3","itemData":{"DOI":"https://doi.org/10.1016/j.orggeochem.2011.08.011","ISSN":"0146-6380","abstract":"Fatty acid (FA) composition and stable isotope (δ13C, δ15N) signatures of four aquatic plants, plankton, sediment, soil and suspended particulate organic matter (SPOM) collected from open floodplain lakes (Várzea) and rivers of the central Brazilian Amazon basin were gathered during high and low water stages in 2009. SPOM from Várzea had a major contribution of autochthonous material from phytoplankton and C3 aquatic plants. As shown from stable isotope composition of SPOM (δ13C −31.3±3.2‰; δ15N 3.6±1.5‰), the C4 aquatic phanerogam (δ13C −13.1±0.5‰; δ15N 4.1±1.7‰) contribution appeared to be weak, although these plants were the most abundant macrophyte in the Várzea. During low water season, increasing concentration of 18:3ω3 was recorded in the SPOM of lakes. This FA, abundant mainly in the Várzea plants (up to 49% of total FAs), was due to the accumulation of their detritus in the ecosystem. This dry season, when connectivity with the river mainstem was restricted, was also characterized by a high concentration in the SPOM of the cyanobacteria marker 16:1ω7 (up to 21% of total FAs). The FA compositions of SPOM from the Amazon River also exhibited significant seasonal differences, in particular a higher concentration of 16:1ω7 and 18:3ω3 during the dry season. This suggests a seasonal contribution of autochthonous material produced in Várzea to the Amazon River SPOM.","author":[{"dropping-particle":"","family":"Mortillaro","given":"J M","non-dropping-particle":"","parse-names":false,"suffix":""},{"dropping-particle":"","family":"Abril","given":"G","non-dropping-particle":"","parse-names":false,"suffix":""},{"dropping-particle":"","family":"Moreira-Turcq","given":"P","non-dropping-particle":"","parse-names":false,"suffix":""},{"dropping-particle":"","family":"Sobrinho","given":"R L","non-dropping-particle":"","parse-names":false,"suffix":""},{"dropping-particle":"","family":"Perez","given":"M","non-dropping-particle":"","parse-names":false,"suffix":""},{"dropping-particle":"","family":"Meziane","given":"T","non-dropping-particle":"","parse-names":false,"suffix":""}],"container-title":"Organic Geochemistry","id":"ITEM-3","issue":"10","issued":{"date-parts":[["2011"]]},"page":"1159-1168","title":"Fatty acid and stable isotope (δ13C, δ15N) signatures of particulate organic matter in the lower Amazon River: Seasonal contrasts and connectivity between floodplain lakes and the mainstem","type":"article-journal","volume":"42"},"uris":["http://www.mendeley.com/documents/?uuid=68ba67aa-dc31-48d8-9985-fdaf1135671e"]}],"mendeley":{"formattedCitation":"&lt;sup&gt;9–11&lt;/sup&gt;","plainTextFormattedCitation":"9–11","previouslyFormattedCitation":"&lt;sup&gt;9–11&lt;/sup&gt;"},"properties":{"noteIndex":0},"schema":"https://github.com/citation-style-language/schema/raw/master/csl-citation.json"}</w:instrText>
      </w:r>
      <w:r w:rsidRPr="00BF70D5">
        <w:fldChar w:fldCharType="separate"/>
      </w:r>
      <w:r w:rsidRPr="001A027E">
        <w:rPr>
          <w:noProof/>
          <w:vertAlign w:val="superscript"/>
        </w:rPr>
        <w:t>9–11</w:t>
      </w:r>
      <w:r w:rsidRPr="00BF70D5">
        <w:fldChar w:fldCharType="end"/>
      </w:r>
      <w:r w:rsidRPr="00BF70D5">
        <w:t xml:space="preserve"> </w:t>
      </w:r>
      <w:r>
        <w:t xml:space="preserve">in the region, implying that </w:t>
      </w:r>
      <w:proofErr w:type="spellStart"/>
      <w:r>
        <w:t>seston</w:t>
      </w:r>
      <w:proofErr w:type="spellEnd"/>
      <w:r>
        <w:t xml:space="preserve"> in the brackish waters of the river mouth are mostly of fluvial origin with little input from the adjacent marine materials. </w:t>
      </w:r>
      <w:r w:rsidRPr="00BF70D5">
        <w:t xml:space="preserve">This fluvial signal </w:t>
      </w:r>
      <w:r>
        <w:t>observed in brackish waters (</w:t>
      </w:r>
      <w:r w:rsidRPr="006010A1">
        <w:t>salinity &lt; 6</w:t>
      </w:r>
      <w:r>
        <w:t xml:space="preserve">) </w:t>
      </w:r>
      <w:r w:rsidRPr="00BF70D5">
        <w:t xml:space="preserve">disappears when </w:t>
      </w:r>
      <w:r>
        <w:t>salinity</w:t>
      </w:r>
      <w:r w:rsidRPr="00BF70D5">
        <w:t xml:space="preserve"> increases above 15, reflecting a </w:t>
      </w:r>
      <w:r>
        <w:t>shift to</w:t>
      </w:r>
      <w:r w:rsidRPr="00BF70D5">
        <w:t xml:space="preserve"> marine particles </w:t>
      </w:r>
      <w:r>
        <w:t xml:space="preserve">dominance in subsequent habitats. </w:t>
      </w:r>
      <w:r w:rsidRPr="006010A1">
        <w:t>The</w:t>
      </w:r>
      <w:r>
        <w:t xml:space="preserve"> depletion of</w:t>
      </w:r>
      <w:r w:rsidRPr="006010A1">
        <w:t xml:space="preserve"> δ</w:t>
      </w:r>
      <w:r w:rsidRPr="00EB0E66">
        <w:rPr>
          <w:vertAlign w:val="superscript"/>
        </w:rPr>
        <w:t>13</w:t>
      </w:r>
      <w:r w:rsidRPr="006010A1">
        <w:t xml:space="preserve">C </w:t>
      </w:r>
      <w:r>
        <w:t>depletion in the smaller size fraction relative to the large of 2021 reflects the</w:t>
      </w:r>
      <w:r w:rsidRPr="006010A1">
        <w:t xml:space="preserve"> phytoplankton group compositions, </w:t>
      </w:r>
      <w:r>
        <w:t>with</w:t>
      </w:r>
      <w:r w:rsidRPr="006010A1">
        <w:t xml:space="preserve"> </w:t>
      </w:r>
      <w:proofErr w:type="spellStart"/>
      <w:r w:rsidRPr="006010A1">
        <w:t>picoseston</w:t>
      </w:r>
      <w:proofErr w:type="spellEnd"/>
      <w:r w:rsidRPr="006010A1">
        <w:t xml:space="preserve"> generally more depleted </w:t>
      </w:r>
      <w:r w:rsidRPr="00BF70D5">
        <w:t xml:space="preserve">(−26 to −23‰) </w:t>
      </w:r>
      <w:r w:rsidRPr="006010A1">
        <w:t xml:space="preserve">than </w:t>
      </w:r>
      <w:proofErr w:type="spellStart"/>
      <w:r w:rsidRPr="006010A1">
        <w:t>nano</w:t>
      </w:r>
      <w:proofErr w:type="spellEnd"/>
      <w:r w:rsidRPr="006010A1">
        <w:t xml:space="preserve">- and </w:t>
      </w:r>
      <w:proofErr w:type="spellStart"/>
      <w:r w:rsidRPr="006010A1">
        <w:t>microseston</w:t>
      </w:r>
      <w:proofErr w:type="spellEnd"/>
      <w:r>
        <w:t xml:space="preserve"> </w:t>
      </w:r>
      <w:r w:rsidRPr="00BF70D5">
        <w:t>(−24 to −17</w:t>
      </w:r>
      <w:r>
        <w:t xml:space="preserve"> </w:t>
      </w:r>
      <w:r w:rsidRPr="00BF70D5">
        <w:t>‰)</w:t>
      </w:r>
      <w:r w:rsidRPr="00BF70D5">
        <w:fldChar w:fldCharType="begin" w:fldLock="1"/>
      </w:r>
      <w:r w:rsidR="000D36EE">
        <w:instrText>ADDIN CSL_CITATION {"citationItems":[{"id":"ITEM-1","itemData":{"DOI":"10.5194/bg-19-3305-2022","ISSN":"1726-4189","author":[{"dropping-particle":"","family":"Brandenburg","given":"K M","non-dropping-particle":"","parse-names":false,"suffix":""},{"dropping-particle":"","family":"Rost","given":"B","non-dropping-particle":"","parse-names":false,"suffix":""},{"dropping-particle":"","family":"Waal","given":"D B","non-dropping-particle":"Van de","parse-names":false,"suffix":""},{"dropping-particle":"","family":"Hoins","given":"M","non-dropping-particle":"","parse-names":false,"suffix":""},{"dropping-particle":"","family":"Sluijs","given":"A","non-dropping-particle":"","parse-names":false,"suffix":""}],"container-title":"Biogeosciences","id":"ITEM-1","issue":"13","issued":{"date-parts":[["2022","7","15"]]},"page":"3305-3315","publisher":"Copernicus Publications","title":"Physiological control on carbon isotope fractionation in marine phytoplankton","type":"article-journal","volume":"19"},"uris":["http://www.mendeley.com/documents/?uuid=7713f71c-2551-4da4-b79d-67a137ef7e8d"]}],"mendeley":{"formattedCitation":"&lt;sup&gt;12&lt;/sup&gt;","plainTextFormattedCitation":"12","previouslyFormattedCitation":"&lt;sup&gt;12&lt;/sup&gt;"},"properties":{"noteIndex":0},"schema":"https://github.com/citation-style-language/schema/raw/master/csl-citation.json"}</w:instrText>
      </w:r>
      <w:r w:rsidRPr="00BF70D5">
        <w:fldChar w:fldCharType="separate"/>
      </w:r>
      <w:r w:rsidRPr="001A027E">
        <w:rPr>
          <w:noProof/>
          <w:vertAlign w:val="superscript"/>
        </w:rPr>
        <w:t>12</w:t>
      </w:r>
      <w:r w:rsidRPr="00BF70D5">
        <w:fldChar w:fldCharType="end"/>
      </w:r>
      <w:r w:rsidRPr="00EB0E66">
        <w:rPr>
          <w:vertAlign w:val="superscript"/>
        </w:rPr>
        <w:t>-</w:t>
      </w:r>
      <w:r w:rsidRPr="00BF70D5">
        <w:fldChar w:fldCharType="begin" w:fldLock="1"/>
      </w:r>
      <w:r w:rsidR="000D36EE">
        <w:instrText>ADDIN CSL_CITATION {"citationItems":[{"id":"ITEM-1","itemData":{"DOI":"10.1016/s0967-0637(96)00091-x","ISBN":"0967-0637","abstract":"We examined the utility of several biogeochemical tracers for following the fate of the planktonic diazotrophic cyanobacterium Trichodesmium in the sea. The presence of a (C-10) fatty acid previously reported was observed in a culture of Trichodesmium but was not found in natural samples. This cyanobacterium had high concentrations of C-14 and C-16 acids, with lesser amounts of several saturated and unsaturated C-18 fatty acids. This composition was similar to that of other marine cyanobacteria. The major hydrocarbon identified was the C-17 n-alkane, which was present in all samples from the five stations examined. Sterols common to algae and copepods were observed in many samples along with hopanoids representative of bacteria, suggesting a varied community structure in colonies collected from different stations. We found no unique taxonomic marker of Trichodesmium among the sterols. Measurements of the delta(15)N and delta(13)C in Trichodesmium samples from the SW Sargasso and NW Caribbean Seas averaged -0.4 parts per thousand (range from -0.7 to -0.25 parts per thousand) and -12.9 parts per thousand (range from -15.2 to -11.9 parts per thousand), respectively, thus confirming previous observations that this cyanobacterial diazotroph has both the lowest delta(15)N and highest delta(13)C of any marine phytoplankter observed to date. A culture of Trichodesmium grown under diazotrophic conditions had a delta(15)N between -1.3 and -3.6 parts per thousand. Our results support the supposition that the relatively low delta(15)N and high delta(13)C values observed in suspended and sediment-trapped material from some tropical and subtropical seas result from substantial input of C and N by Trichodesmium. (C) 1997 Elsevier Science Ltd.","author":[{"dropping-particle":"","family":"Carpenter","given":"E J","non-dropping-particle":"","parse-names":false,"suffix":""},{"dropping-particle":"","family":"Harvey","given":"H R","non-dropping-particle":"","parse-names":false,"suffix":""},{"dropping-particle":"","family":"Fry","given":"B","non-dropping-particle":"","parse-names":false,"suffix":""},{"dropping-particle":"","family":"Capone","given":"D G","non-dropping-particle":"","parse-names":false,"suffix":""}],"container-title":"Deep-Sea Research Part I-Oceanographic Research Papers","id":"ITEM-1","issue":"1","issued":{"date-parts":[["1997"]]},"language":"English","note":"ISI Document Delivery No.: WK253\nTimes Cited: 164\nCited Reference Count: 41\nCarpenter, EJ Harvey, HR Fry, B Capone, DG\n169\n4\n40\nPergamon-elsevier science ltd\nOxford","page":"27-38","title":"Biogeochemical tracers of the marine cyanobacterium Trichodesmium","type":"article-journal","volume":"44"},"uris":["http://www.mendeley.com/documents/?uuid=5f8b68af-c2d6-4668-b6e9-bbc1e5c76a10"]}],"mendeley":{"formattedCitation":"&lt;sup&gt;13&lt;/sup&gt;","plainTextFormattedCitation":"13","previouslyFormattedCitation":"&lt;sup&gt;13&lt;/sup&gt;"},"properties":{"noteIndex":0},"schema":"https://github.com/citation-style-language/schema/raw/master/csl-citation.json"}</w:instrText>
      </w:r>
      <w:r w:rsidRPr="00BF70D5">
        <w:fldChar w:fldCharType="separate"/>
      </w:r>
      <w:r w:rsidRPr="001A027E">
        <w:rPr>
          <w:noProof/>
          <w:vertAlign w:val="superscript"/>
        </w:rPr>
        <w:t>13</w:t>
      </w:r>
      <w:r w:rsidRPr="00BF70D5">
        <w:fldChar w:fldCharType="end"/>
      </w:r>
      <w:r w:rsidRPr="006010A1">
        <w:t xml:space="preserve">. </w:t>
      </w:r>
      <w:r w:rsidRPr="00BF70D5">
        <w:t xml:space="preserve">This difference in the signatures of different phytoplankton could </w:t>
      </w:r>
      <w:r>
        <w:t xml:space="preserve">also </w:t>
      </w:r>
      <w:r w:rsidRPr="00BF70D5">
        <w:t xml:space="preserve">explain the </w:t>
      </w:r>
      <w:r>
        <w:t xml:space="preserve">higher </w:t>
      </w:r>
      <w:r w:rsidRPr="00BF70D5">
        <w:t>bulk δ</w:t>
      </w:r>
      <w:r w:rsidRPr="008B725E">
        <w:rPr>
          <w:vertAlign w:val="superscript"/>
        </w:rPr>
        <w:t>13</w:t>
      </w:r>
      <w:r w:rsidRPr="00BF70D5">
        <w:t xml:space="preserve">C </w:t>
      </w:r>
      <w:r>
        <w:t>measured</w:t>
      </w:r>
      <w:r w:rsidRPr="00BF70D5">
        <w:t xml:space="preserve"> </w:t>
      </w:r>
      <w:r>
        <w:t>at</w:t>
      </w:r>
      <w:r w:rsidRPr="00BF70D5">
        <w:t xml:space="preserve"> </w:t>
      </w:r>
      <w:r w:rsidRPr="000C2C64">
        <w:t>stations</w:t>
      </w:r>
      <w:r>
        <w:t xml:space="preserve"> </w:t>
      </w:r>
      <w:r w:rsidRPr="007C59ED">
        <w:t>6</w:t>
      </w:r>
      <w:r>
        <w:t>.04</w:t>
      </w:r>
      <w:r w:rsidRPr="007C59ED">
        <w:t xml:space="preserve">, </w:t>
      </w:r>
      <w:r w:rsidRPr="006479F0">
        <w:t>8</w:t>
      </w:r>
      <w:r>
        <w:t>.02 and</w:t>
      </w:r>
      <w:r w:rsidRPr="006479F0">
        <w:t xml:space="preserve"> 22</w:t>
      </w:r>
      <w:r>
        <w:t>.04 in 2018</w:t>
      </w:r>
      <w:r w:rsidRPr="008B3AB7">
        <w:t>, and</w:t>
      </w:r>
      <w:r w:rsidRPr="00125A07">
        <w:t xml:space="preserve"> </w:t>
      </w:r>
      <w:r>
        <w:t>24.01 in 2021</w:t>
      </w:r>
      <w:r w:rsidRPr="00CF1FFD">
        <w:t xml:space="preserve"> </w:t>
      </w:r>
      <w:r w:rsidRPr="002E7904">
        <w:t>(</w:t>
      </w:r>
      <w:r>
        <w:t xml:space="preserve">above </w:t>
      </w:r>
      <w:r w:rsidRPr="00BF70D5">
        <w:t>−</w:t>
      </w:r>
      <w:r>
        <w:t xml:space="preserve">19 </w:t>
      </w:r>
      <w:r w:rsidRPr="00BF70D5">
        <w:t>‰</w:t>
      </w:r>
      <w:r w:rsidRPr="000F74BA">
        <w:t>)</w:t>
      </w:r>
      <w:r w:rsidRPr="000C2C64">
        <w:t xml:space="preserve">, where </w:t>
      </w:r>
      <w:r>
        <w:t>we found</w:t>
      </w:r>
      <w:r w:rsidRPr="000C2C64">
        <w:t xml:space="preserve"> a dominance of diatoms and some contribution of</w:t>
      </w:r>
      <w:r w:rsidRPr="00BF70D5">
        <w:t xml:space="preserve"> </w:t>
      </w:r>
      <w:proofErr w:type="spellStart"/>
      <w:r w:rsidRPr="00BF70D5">
        <w:rPr>
          <w:i/>
        </w:rPr>
        <w:t>Trichodesmium</w:t>
      </w:r>
      <w:proofErr w:type="spellEnd"/>
      <w:r w:rsidR="004942B3">
        <w:t xml:space="preserve"> (Fig 2)</w:t>
      </w:r>
      <w:r>
        <w:t xml:space="preserve">, a species known to have a </w:t>
      </w:r>
      <w:r w:rsidRPr="00BF70D5">
        <w:t>bulk δ</w:t>
      </w:r>
      <w:r w:rsidRPr="008B725E">
        <w:rPr>
          <w:vertAlign w:val="superscript"/>
        </w:rPr>
        <w:t>13</w:t>
      </w:r>
      <w:r w:rsidRPr="00BF70D5">
        <w:t>C as high as −12.9</w:t>
      </w:r>
      <w:r>
        <w:t xml:space="preserve"> </w:t>
      </w:r>
      <w:r w:rsidRPr="00B35D78">
        <w:t xml:space="preserve">‰ </w:t>
      </w:r>
      <w:r w:rsidRPr="00B35D78">
        <w:fldChar w:fldCharType="begin" w:fldLock="1"/>
      </w:r>
      <w:r w:rsidR="000D36EE">
        <w:instrText>ADDIN CSL_CITATION {"citationItems":[{"id":"ITEM-1","itemData":{"DOI":"10.1016/s0967-0637(96)00091-x","ISBN":"0967-0637","abstract":"We examined the utility of several biogeochemical tracers for following the fate of the planktonic diazotrophic cyanobacterium Trichodesmium in the sea. The presence of a (C-10) fatty acid previously reported was observed in a culture of Trichodesmium but was not found in natural samples. This cyanobacterium had high concentrations of C-14 and C-16 acids, with lesser amounts of several saturated and unsaturated C-18 fatty acids. This composition was similar to that of other marine cyanobacteria. The major hydrocarbon identified was the C-17 n-alkane, which was present in all samples from the five stations examined. Sterols common to algae and copepods were observed in many samples along with hopanoids representative of bacteria, suggesting a varied community structure in colonies collected from different stations. We found no unique taxonomic marker of Trichodesmium among the sterols. Measurements of the delta(15)N and delta(13)C in Trichodesmium samples from the SW Sargasso and NW Caribbean Seas averaged -0.4 parts per thousand (range from -0.7 to -0.25 parts per thousand) and -12.9 parts per thousand (range from -15.2 to -11.9 parts per thousand), respectively, thus confirming previous observations that this cyanobacterial diazotroph has both the lowest delta(15)N and highest delta(13)C of any marine phytoplankter observed to date. A culture of Trichodesmium grown under diazotrophic conditions had a delta(15)N between -1.3 and -3.6 parts per thousand. Our results support the supposition that the relatively low delta(15)N and high delta(13)C values observed in suspended and sediment-trapped material from some tropical and subtropical seas result from substantial input of C and N by Trichodesmium. (C) 1997 Elsevier Science Ltd.","author":[{"dropping-particle":"","family":"Carpenter","given":"E J","non-dropping-particle":"","parse-names":false,"suffix":""},{"dropping-particle":"","family":"Harvey","given":"H R","non-dropping-particle":"","parse-names":false,"suffix":""},{"dropping-particle":"","family":"Fry","given":"B","non-dropping-particle":"","parse-names":false,"suffix":""},{"dropping-particle":"","family":"Capone","given":"D G","non-dropping-particle":"","parse-names":false,"suffix":""}],"container-title":"Deep-Sea Research Part I-Oceanographic Research Papers","id":"ITEM-1","issue":"1","issued":{"date-parts":[["1997"]]},"language":"English","note":"ISI Document Delivery No.: WK253\nTimes Cited: 164\nCited Reference Count: 41\nCarpenter, EJ Harvey, HR Fry, B Capone, DG\n169\n4\n40\nPergamon-elsevier science ltd\nOxford","page":"27-38","title":"Biogeochemical tracers of the marine cyanobacterium Trichodesmium","type":"article-journal","volume":"44"},"uris":["http://www.mendeley.com/documents/?uuid=5f8b68af-c2d6-4668-b6e9-bbc1e5c76a10"]}],"mendeley":{"formattedCitation":"&lt;sup&gt;13&lt;/sup&gt;","plainTextFormattedCitation":"13","previouslyFormattedCitation":"&lt;sup&gt;13&lt;/sup&gt;"},"properties":{"noteIndex":0},"schema":"https://github.com/citation-style-language/schema/raw/master/csl-citation.json"}</w:instrText>
      </w:r>
      <w:r w:rsidRPr="00B35D78">
        <w:fldChar w:fldCharType="separate"/>
      </w:r>
      <w:r w:rsidRPr="001A027E">
        <w:rPr>
          <w:noProof/>
          <w:vertAlign w:val="superscript"/>
        </w:rPr>
        <w:t>13</w:t>
      </w:r>
      <w:r w:rsidRPr="00B35D78">
        <w:fldChar w:fldCharType="end"/>
      </w:r>
      <w:r w:rsidRPr="00B35D78">
        <w:t>. In 2018, the total bulk samples collected presented a range of variation similar to that of the large size fraction collected in 2021, suggesting that the signature of the community was driven by larger plankton rather than picoplankton. Overall, these data suggest that our samples are also consistent with the bulk δ</w:t>
      </w:r>
      <w:r w:rsidRPr="00B35D78">
        <w:rPr>
          <w:vertAlign w:val="superscript"/>
        </w:rPr>
        <w:t>13</w:t>
      </w:r>
      <w:r w:rsidRPr="00B35D78">
        <w:t>C organic material derived from primary producers (Fig. S</w:t>
      </w:r>
      <w:r w:rsidR="00B943D3">
        <w:t>2</w:t>
      </w:r>
      <w:r w:rsidRPr="00B35D78">
        <w:t>).</w:t>
      </w:r>
    </w:p>
    <w:p w14:paraId="644D26D3" w14:textId="7DC8239C" w:rsidR="001A027E" w:rsidRPr="00F80B82" w:rsidRDefault="00FB6322" w:rsidP="001A027E">
      <w:pPr>
        <w:pStyle w:val="Teaser"/>
        <w:spacing w:before="0" w:after="120" w:line="288" w:lineRule="auto"/>
        <w:jc w:val="center"/>
      </w:pPr>
      <w:r>
        <w:rPr>
          <w:noProof/>
        </w:rPr>
        <w:lastRenderedPageBreak/>
        <w:drawing>
          <wp:inline distT="0" distB="0" distL="0" distR="0" wp14:anchorId="324FA24D" wp14:editId="23F4B4C8">
            <wp:extent cx="6115050" cy="7131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131050"/>
                    </a:xfrm>
                    <a:prstGeom prst="rect">
                      <a:avLst/>
                    </a:prstGeom>
                    <a:noFill/>
                    <a:ln>
                      <a:noFill/>
                    </a:ln>
                  </pic:spPr>
                </pic:pic>
              </a:graphicData>
            </a:graphic>
          </wp:inline>
        </w:drawing>
      </w:r>
    </w:p>
    <w:p w14:paraId="7ED763EF" w14:textId="332EB595" w:rsidR="001A027E" w:rsidRDefault="001A027E" w:rsidP="001A027E">
      <w:pPr>
        <w:spacing w:after="120" w:line="288" w:lineRule="auto"/>
        <w:rPr>
          <w:sz w:val="24"/>
          <w:szCs w:val="24"/>
        </w:rPr>
      </w:pPr>
      <w:r w:rsidRPr="001F392F">
        <w:rPr>
          <w:b/>
          <w:sz w:val="24"/>
          <w:szCs w:val="24"/>
        </w:rPr>
        <w:t>Figure S</w:t>
      </w:r>
      <w:r>
        <w:rPr>
          <w:b/>
          <w:sz w:val="24"/>
          <w:szCs w:val="24"/>
        </w:rPr>
        <w:t>2</w:t>
      </w:r>
      <w:r w:rsidRPr="001F392F">
        <w:rPr>
          <w:b/>
          <w:sz w:val="24"/>
          <w:szCs w:val="24"/>
        </w:rPr>
        <w:t>.</w:t>
      </w:r>
      <w:r>
        <w:rPr>
          <w:sz w:val="24"/>
          <w:szCs w:val="24"/>
        </w:rPr>
        <w:t xml:space="preserve"> Carbon sources driving the signature of </w:t>
      </w:r>
      <w:proofErr w:type="spellStart"/>
      <w:r>
        <w:rPr>
          <w:sz w:val="24"/>
          <w:szCs w:val="24"/>
        </w:rPr>
        <w:t>seston</w:t>
      </w:r>
      <w:proofErr w:type="spellEnd"/>
      <w:r>
        <w:rPr>
          <w:sz w:val="24"/>
          <w:szCs w:val="24"/>
        </w:rPr>
        <w:t xml:space="preserve"> during 2018 and 2021 cruises along the Amazon River plume. The upper</w:t>
      </w:r>
      <w:r w:rsidRPr="00152EC1">
        <w:rPr>
          <w:sz w:val="24"/>
          <w:szCs w:val="24"/>
          <w:u w:val="single"/>
        </w:rPr>
        <w:t xml:space="preserve"> panel</w:t>
      </w:r>
      <w:r>
        <w:rPr>
          <w:sz w:val="24"/>
          <w:szCs w:val="24"/>
        </w:rPr>
        <w:t xml:space="preserve"> shows the log-log plot of total particulate carbon to chlorophyll </w:t>
      </w:r>
      <w:r w:rsidRPr="004E174E">
        <w:rPr>
          <w:i/>
          <w:sz w:val="24"/>
          <w:szCs w:val="24"/>
        </w:rPr>
        <w:t>a</w:t>
      </w:r>
      <w:r>
        <w:rPr>
          <w:sz w:val="24"/>
          <w:szCs w:val="24"/>
        </w:rPr>
        <w:t xml:space="preserve"> with natural values in the scales. The </w:t>
      </w:r>
      <w:r>
        <w:rPr>
          <w:sz w:val="24"/>
          <w:szCs w:val="24"/>
          <w:u w:val="single"/>
        </w:rPr>
        <w:t>lower</w:t>
      </w:r>
      <w:r w:rsidRPr="00152EC1">
        <w:rPr>
          <w:sz w:val="24"/>
          <w:szCs w:val="24"/>
          <w:u w:val="single"/>
        </w:rPr>
        <w:t xml:space="preserve"> panel</w:t>
      </w:r>
      <w:r>
        <w:rPr>
          <w:sz w:val="24"/>
          <w:szCs w:val="24"/>
        </w:rPr>
        <w:t xml:space="preserve"> shows the b</w:t>
      </w:r>
      <w:r w:rsidRPr="001F392F">
        <w:rPr>
          <w:sz w:val="24"/>
          <w:szCs w:val="24"/>
        </w:rPr>
        <w:t>ulk carbon isotopes expressed in delta notation (</w:t>
      </w:r>
      <w:r w:rsidRPr="009D1DC6">
        <w:rPr>
          <w:sz w:val="24"/>
          <w:szCs w:val="24"/>
        </w:rPr>
        <w:t>δ</w:t>
      </w:r>
      <w:r w:rsidRPr="004E174E">
        <w:rPr>
          <w:sz w:val="24"/>
          <w:szCs w:val="24"/>
          <w:vertAlign w:val="superscript"/>
        </w:rPr>
        <w:t>13</w:t>
      </w:r>
      <w:r w:rsidRPr="001F392F">
        <w:rPr>
          <w:sz w:val="24"/>
          <w:szCs w:val="24"/>
        </w:rPr>
        <w:t>C ‰ relative to VPDB)</w:t>
      </w:r>
      <w:r>
        <w:rPr>
          <w:sz w:val="24"/>
          <w:szCs w:val="24"/>
        </w:rPr>
        <w:t xml:space="preserve"> vs the C:N ratio, the boxes represent the ranges define in Lamb et al (2006)</w:t>
      </w:r>
      <w:r>
        <w:rPr>
          <w:sz w:val="24"/>
          <w:szCs w:val="24"/>
        </w:rPr>
        <w:fldChar w:fldCharType="begin" w:fldLock="1"/>
      </w:r>
      <w:r w:rsidR="000D36EE">
        <w:rPr>
          <w:sz w:val="24"/>
          <w:szCs w:val="24"/>
        </w:rPr>
        <w:instrText>ADDIN CSL_CITATION {"citationItems":[{"id":"ITEM-1","itemData":{"DOI":"https://doi.org/10.1016/j.earscirev.2005.10.003","ISSN":"0012-8252","abstract":"Holocene reconstructions of relative sea-level (RSL) and environmental change in the coastal zone have become progressively more numerous since the importance of assessing possible future sea-level rises has become apparent. Traditionally this has been achieved using a combination of biological and physical indicators (e.g. pollen, diatoms, foraminifera, grain size, etc.). In some circumstances, microfossils can be rare or absent from Holocene sediments and in these cases carbon isotope ratios (δ13C) and organic carbon to total nitrogen ratios (C/N) can be used because they have the potential to provide information as to the origin of organic material preserved in coastal environments. The distinction in δ13C and C/N of the various sources of carbon to estuarine sediments has led to its wide use as a tracer of carbon pathways and storage in estuaries. More recently these techniques have been applied to Holocene sediments to decipher changes in palaeocoastal environments and thus position relative to sea-level and/or palaeoriver discharge, which have direct relevance to palaeoclimate. This paper reviews the studies that have utilised this technique and explores examples from a wide range of coastal environments (saltmarshes, estuaries, lagoons, isolation basins and fjords). It also discusses the potential alteration of geochemical signatures as a result of decompositional processes. Organic matter decomposition has been shown to change sediment δ13C and C/N values and thus an understanding of the processes involved is necessary in order to have confidence in the palaeoenvironmental interpretation of Holocene δ13C and C/N. Decompositional shifts in C/N, and particularly δ13C, can occur over a relatively short time-period, however it is the direction of change in δ13C and C/N, rather than absolute values, that is key for interpreting changes in relative sea-level and thus such changes are commonly preserved.","author":[{"dropping-particle":"","family":"Lamb","given":"Angela L","non-dropping-particle":"","parse-names":false,"suffix":""},{"dropping-particle":"","family":"Wilson","given":"Graham P","non-dropping-particle":"","parse-names":false,"suffix":""},{"dropping-particle":"","family":"Leng","given":"Melanie J","non-dropping-particle":"","parse-names":false,"suffix":""}],"container-title":"Earth-Science Reviews","id":"ITEM-1","issue":"1","issued":{"date-parts":[["2006"]]},"page":"29-57","title":"A review of coastal palaeoclimate and relative sea-level reconstructions using δ13C and C/N ratios in organic material","type":"article-journal","volume":"75"},"uris":["http://www.mendeley.com/documents/?uuid=4477d8ef-d8c3-436d-b81f-502891905961"]}],"mendeley":{"formattedCitation":"&lt;sup&gt;7&lt;/sup&gt;","plainTextFormattedCitation":"7","previouslyFormattedCitation":"&lt;sup&gt;7&lt;/sup&gt;"},"properties":{"noteIndex":0},"schema":"https://github.com/citation-style-language/schema/raw/master/csl-citation.json"}</w:instrText>
      </w:r>
      <w:r>
        <w:rPr>
          <w:sz w:val="24"/>
          <w:szCs w:val="24"/>
        </w:rPr>
        <w:fldChar w:fldCharType="separate"/>
      </w:r>
      <w:r w:rsidRPr="001A027E">
        <w:rPr>
          <w:noProof/>
          <w:sz w:val="24"/>
          <w:szCs w:val="24"/>
          <w:vertAlign w:val="superscript"/>
        </w:rPr>
        <w:t>7</w:t>
      </w:r>
      <w:r>
        <w:rPr>
          <w:sz w:val="24"/>
          <w:szCs w:val="24"/>
        </w:rPr>
        <w:fldChar w:fldCharType="end"/>
      </w:r>
      <w:r>
        <w:rPr>
          <w:sz w:val="24"/>
          <w:szCs w:val="24"/>
        </w:rPr>
        <w:t xml:space="preserve"> for various sources of carbon based on a literature revision</w:t>
      </w:r>
      <w:r>
        <w:rPr>
          <w:sz w:val="24"/>
          <w:szCs w:val="24"/>
        </w:rPr>
        <w:fldChar w:fldCharType="begin" w:fldLock="1"/>
      </w:r>
      <w:r w:rsidR="000D36EE">
        <w:rPr>
          <w:sz w:val="24"/>
          <w:szCs w:val="24"/>
        </w:rPr>
        <w:instrText>ADDIN CSL_CITATION {"citationItems":[{"id":"ITEM-1","itemData":{"DOI":"https://doi.org/10.1016/j.earscirev.2005.10.003","ISSN":"0012-8252","abstract":"Holocene reconstructions of relative sea-level (RSL) and environmental change in the coastal zone have become progressively more numerous since the importance of assessing possible future sea-level rises has become apparent. Traditionally this has been achieved using a combination of biological and physical indicators (e.g. pollen, diatoms, foraminifera, grain size, etc.). In some circumstances, microfossils can be rare or absent from Holocene sediments and in these cases carbon isotope ratios (δ13C) and organic carbon to total nitrogen ratios (C/N) can be used because they have the potential to provide information as to the origin of organic material preserved in coastal environments. The distinction in δ13C and C/N of the various sources of carbon to estuarine sediments has led to its wide use as a tracer of carbon pathways and storage in estuaries. More recently these techniques have been applied to Holocene sediments to decipher changes in palaeocoastal environments and thus position relative to sea-level and/or palaeoriver discharge, which have direct relevance to palaeoclimate. This paper reviews the studies that have utilised this technique and explores examples from a wide range of coastal environments (saltmarshes, estuaries, lagoons, isolation basins and fjords). It also discusses the potential alteration of geochemical signatures as a result of decompositional processes. Organic matter decomposition has been shown to change sediment δ13C and C/N values and thus an understanding of the processes involved is necessary in order to have confidence in the palaeoenvironmental interpretation of Holocene δ13C and C/N. Decompositional shifts in C/N, and particularly δ13C, can occur over a relatively short time-period, however it is the direction of change in δ13C and C/N, rather than absolute values, that is key for interpreting changes in relative sea-level and thus such changes are commonly preserved.","author":[{"dropping-particle":"","family":"Lamb","given":"Angela L","non-dropping-particle":"","parse-names":false,"suffix":""},{"dropping-particle":"","family":"Wilson","given":"Graham P","non-dropping-particle":"","parse-names":false,"suffix":""},{"dropping-particle":"","family":"Leng","given":"Melanie J","non-dropping-particle":"","parse-names":false,"suffix":""}],"container-title":"Earth-Science Reviews","id":"ITEM-1","issue":"1","issued":{"date-parts":[["2006"]]},"page":"29-57","title":"A review of coastal palaeoclimate and relative sea-level reconstructions using δ13C and C/N ratios in organic material","type":"article-journal","volume":"75"},"uris":["http://www.mendeley.com/documents/?uuid=4477d8ef-d8c3-436d-b81f-502891905961"]}],"mendeley":{"formattedCitation":"&lt;sup&gt;7&lt;/sup&gt;","plainTextFormattedCitation":"7","previouslyFormattedCitation":"&lt;sup&gt;7&lt;/sup&gt;"},"properties":{"noteIndex":0},"schema":"https://github.com/citation-style-language/schema/raw/master/csl-citation.json"}</w:instrText>
      </w:r>
      <w:r>
        <w:rPr>
          <w:sz w:val="24"/>
          <w:szCs w:val="24"/>
        </w:rPr>
        <w:fldChar w:fldCharType="separate"/>
      </w:r>
      <w:r w:rsidRPr="001A027E">
        <w:rPr>
          <w:noProof/>
          <w:sz w:val="24"/>
          <w:szCs w:val="24"/>
          <w:vertAlign w:val="superscript"/>
        </w:rPr>
        <w:t>7</w:t>
      </w:r>
      <w:r>
        <w:rPr>
          <w:sz w:val="24"/>
          <w:szCs w:val="24"/>
        </w:rPr>
        <w:fldChar w:fldCharType="end"/>
      </w:r>
      <w:r>
        <w:rPr>
          <w:sz w:val="24"/>
          <w:szCs w:val="24"/>
        </w:rPr>
        <w:t xml:space="preserve">. </w:t>
      </w:r>
      <w:r w:rsidRPr="00B35D78">
        <w:rPr>
          <w:sz w:val="24"/>
          <w:szCs w:val="24"/>
        </w:rPr>
        <w:t>Colors represent the different habitats defined by Pham et al (2024)</w:t>
      </w:r>
      <w:r>
        <w:rPr>
          <w:sz w:val="24"/>
          <w:szCs w:val="24"/>
        </w:rPr>
        <w:fldChar w:fldCharType="begin" w:fldLock="1"/>
      </w:r>
      <w:r w:rsidR="000D36EE">
        <w:rPr>
          <w:sz w:val="24"/>
          <w:szCs w:val="24"/>
        </w:rPr>
        <w:instrText>ADDIN CSL_CITATION {"citationItems":[{"id":"ITEM-1","itemData":{"DOI":"10.3389/fmars.2024.1287497","ISBN":"2296-7745","abstract":"The Western Tropical North Atlantic is a highly dynamic marine system where the Amazon River Plume (ARP) generates a patchwork of environmental conditions that favor different phytoplankton groups. To study phytoplanktonic community structure in such heterogeneous conditions, we used a set of five standard ship-based measurements taken from oceanographic surveys between 2010 and 2021 to characterize different habitat types. We then utilized a variety of multiparametric approaches to examine phytoplankton biodiversity in the different habitats to assess the biological relevance of our delineated habitats. Our approach generated a consistent set of habitat types across cruises carried out in multiple different years and the Amazon’s two predominant (wet and dry) seasons. Our phytoplankton community analyses revealed strong distinctions among all habitats along the plume gradient using in-vivo fluorescence and diagnostic pigments, and clear contrasts of diazotroph community along the mesohaline waters using direct cell-count, a pattern consistent with niche partitioning among similar species. The few apparent mismatches we found between phytoplankton community composition and habitat may reflect recent hydrographic changes driven by mixing and/or upwelling and thus may be a useful index to biologically-relevant temporal variation. Our habitat classification approach is straightforward and broadly applicable in identifying biologically distinct areas within heterogeneous and dynamic regions of the ocean.","author":[{"dropping-particle":"","family":"Pham","given":"Anh H","non-dropping-particle":"","parse-names":false,"suffix":""},{"dropping-particle":"","family":"Choisnard","given":"Noémie","non-dropping-particle":"","parse-names":false,"suffix":""},{"dropping-particle":"","family":"Fernández-Carrera","given":"Ana","non-dropping-particle":"","parse-names":false,"suffix":""},{"dropping-particle":"","family":"Subramaniam","given":"Ajit","non-dropping-particle":"","parse-names":false,"suffix":""},{"dropping-particle":"","family":"Strope","given":"Erica K","non-dropping-particle":"","parse-names":false,"suffix":""},{"dropping-particle":"","family":"Carpenter","given":"Edward J","non-dropping-particle":"","parse-names":false,"suffix":""},{"dropping-particle":"","family":"Voss","given":"Maren","non-dropping-particle":"","parse-names":false,"suffix":""},{"dropping-particle":"","family":"Montoya","given":"Joseph P","non-dropping-particle":"","parse-names":false,"suffix":""}],"container-title":"Frontiers in Marine Science","id":"ITEM-1","issued":{"date-parts":[["2024"]]},"title":"Planktonic habitats in the Amazon Plume region of the Western Tropical North Atlantic","type":"article","volume":"11"},"uris":["http://www.mendeley.com/documents/?uuid=566e3f3a-5feb-403c-a6d5-620f691e2293"]}],"mendeley":{"formattedCitation":"&lt;sup&gt;1&lt;/sup&gt;","plainTextFormattedCitation":"1","previouslyFormattedCitation":"&lt;sup&gt;1&lt;/sup&gt;"},"properties":{"noteIndex":0},"schema":"https://github.com/citation-style-language/schema/raw/master/csl-citation.json"}</w:instrText>
      </w:r>
      <w:r>
        <w:rPr>
          <w:sz w:val="24"/>
          <w:szCs w:val="24"/>
        </w:rPr>
        <w:fldChar w:fldCharType="separate"/>
      </w:r>
      <w:r w:rsidRPr="001A027E">
        <w:rPr>
          <w:noProof/>
          <w:sz w:val="24"/>
          <w:szCs w:val="24"/>
          <w:vertAlign w:val="superscript"/>
        </w:rPr>
        <w:t>1</w:t>
      </w:r>
      <w:r>
        <w:rPr>
          <w:sz w:val="24"/>
          <w:szCs w:val="24"/>
        </w:rPr>
        <w:fldChar w:fldCharType="end"/>
      </w:r>
      <w:r w:rsidRPr="00B35D78">
        <w:rPr>
          <w:sz w:val="24"/>
          <w:szCs w:val="24"/>
        </w:rPr>
        <w:t xml:space="preserve"> ordered by apparent age: Riverine Input (RI, gray), Young Plume Core (YPC, red), Outer Plume Margin (OPM, purple), Western Plume Margin (WPM, yellow), modified Oceanic Water (MOW, cyan) and Oceanic Water (OSW, blue).</w:t>
      </w:r>
      <w:r>
        <w:rPr>
          <w:sz w:val="24"/>
          <w:szCs w:val="24"/>
        </w:rPr>
        <w:t xml:space="preserve"> Mixotrophs are marked with an asterisk using the same colors as the symbols.</w:t>
      </w:r>
    </w:p>
    <w:p w14:paraId="0DF28A8A" w14:textId="536AE4CA" w:rsidR="00AE0685" w:rsidRPr="00F80B82" w:rsidRDefault="00AE0685" w:rsidP="00F80B82">
      <w:pPr>
        <w:pStyle w:val="Teaser"/>
        <w:spacing w:before="0" w:after="120" w:line="288" w:lineRule="auto"/>
        <w:rPr>
          <w:b/>
          <w:bCs/>
          <w:color w:val="262626"/>
        </w:rPr>
      </w:pPr>
      <w:bookmarkStart w:id="1" w:name="_GoBack"/>
      <w:bookmarkEnd w:id="1"/>
      <w:r w:rsidRPr="00F80B82">
        <w:rPr>
          <w:b/>
          <w:bCs/>
          <w:color w:val="262626"/>
        </w:rPr>
        <w:lastRenderedPageBreak/>
        <w:t>References</w:t>
      </w:r>
    </w:p>
    <w:p w14:paraId="3746F1DA" w14:textId="0C5D3DBF" w:rsidR="000D36EE" w:rsidRPr="000D36EE" w:rsidRDefault="00AE0685" w:rsidP="000D36EE">
      <w:pPr>
        <w:widowControl w:val="0"/>
        <w:autoSpaceDE w:val="0"/>
        <w:autoSpaceDN w:val="0"/>
        <w:adjustRightInd w:val="0"/>
        <w:spacing w:after="120"/>
        <w:ind w:left="640" w:hanging="640"/>
        <w:rPr>
          <w:noProof/>
          <w:sz w:val="24"/>
          <w:szCs w:val="24"/>
        </w:rPr>
      </w:pPr>
      <w:r w:rsidRPr="00F80B82">
        <w:rPr>
          <w:bCs/>
          <w:color w:val="262626"/>
          <w:sz w:val="24"/>
          <w:szCs w:val="24"/>
        </w:rPr>
        <w:fldChar w:fldCharType="begin" w:fldLock="1"/>
      </w:r>
      <w:r w:rsidRPr="00F80B82">
        <w:rPr>
          <w:bCs/>
          <w:color w:val="262626"/>
          <w:sz w:val="24"/>
          <w:szCs w:val="24"/>
        </w:rPr>
        <w:instrText xml:space="preserve">ADDIN Mendeley Bibliography CSL_BIBLIOGRAPHY </w:instrText>
      </w:r>
      <w:r w:rsidRPr="00F80B82">
        <w:rPr>
          <w:bCs/>
          <w:color w:val="262626"/>
          <w:sz w:val="24"/>
          <w:szCs w:val="24"/>
        </w:rPr>
        <w:fldChar w:fldCharType="separate"/>
      </w:r>
      <w:r w:rsidR="000D36EE" w:rsidRPr="000D36EE">
        <w:rPr>
          <w:noProof/>
          <w:sz w:val="24"/>
          <w:szCs w:val="24"/>
        </w:rPr>
        <w:t>1.</w:t>
      </w:r>
      <w:r w:rsidR="000D36EE" w:rsidRPr="000D36EE">
        <w:rPr>
          <w:noProof/>
          <w:sz w:val="24"/>
          <w:szCs w:val="24"/>
        </w:rPr>
        <w:tab/>
        <w:t xml:space="preserve">Pham, A. H. </w:t>
      </w:r>
      <w:r w:rsidR="000D36EE" w:rsidRPr="000D36EE">
        <w:rPr>
          <w:i/>
          <w:iCs/>
          <w:noProof/>
          <w:sz w:val="24"/>
          <w:szCs w:val="24"/>
        </w:rPr>
        <w:t>et al.</w:t>
      </w:r>
      <w:r w:rsidR="000D36EE" w:rsidRPr="000D36EE">
        <w:rPr>
          <w:noProof/>
          <w:sz w:val="24"/>
          <w:szCs w:val="24"/>
        </w:rPr>
        <w:t xml:space="preserve"> Planktonic habitats in the Amazon Plume region of the Western Tropical North Atlantic. </w:t>
      </w:r>
      <w:r w:rsidR="000D36EE" w:rsidRPr="000D36EE">
        <w:rPr>
          <w:i/>
          <w:iCs/>
          <w:noProof/>
          <w:sz w:val="24"/>
          <w:szCs w:val="24"/>
        </w:rPr>
        <w:t>Frontiers in Marine Science</w:t>
      </w:r>
      <w:r w:rsidR="000D36EE" w:rsidRPr="000D36EE">
        <w:rPr>
          <w:noProof/>
          <w:sz w:val="24"/>
          <w:szCs w:val="24"/>
        </w:rPr>
        <w:t xml:space="preserve"> vol. 11 (2024).</w:t>
      </w:r>
    </w:p>
    <w:p w14:paraId="37B9024D"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2.</w:t>
      </w:r>
      <w:r w:rsidRPr="000D36EE">
        <w:rPr>
          <w:noProof/>
          <w:sz w:val="24"/>
          <w:szCs w:val="24"/>
        </w:rPr>
        <w:tab/>
        <w:t>Peterson, Richard, Montoya, Joseph P., Subramaniam, A. Radium isotope measurements from CTD and underway water samples from the R/V Endeavor from 2018-05-06 to 2018-05-29. Biological and Chemical Oceanography Data Management Office (BCO-DMO). (Version 1) Version Date 2019-02-11. (2020) doi:10.26008/1912/bco-dmo.753837.1.</w:t>
      </w:r>
    </w:p>
    <w:p w14:paraId="4F9A1019"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3.</w:t>
      </w:r>
      <w:r w:rsidRPr="000D36EE">
        <w:rPr>
          <w:noProof/>
          <w:sz w:val="24"/>
          <w:szCs w:val="24"/>
        </w:rPr>
        <w:tab/>
        <w:t>Peterson, R. N., Montoya, J., Subramaniam, A. Radium isotope (223Ra, 224Ra, and 226Ra) measurements from CTD and underway water samples collected on R/V Endeavor cruise EN640 from June-July 2019. Biological and Chemical Oceanography Data Management Office (BCO-DMO). (Version 1). (2021) doi:10.26008/1912/bco-dmo.846802.1.</w:t>
      </w:r>
    </w:p>
    <w:p w14:paraId="64687DE6"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4.</w:t>
      </w:r>
      <w:r w:rsidRPr="000D36EE">
        <w:rPr>
          <w:noProof/>
          <w:sz w:val="24"/>
          <w:szCs w:val="24"/>
        </w:rPr>
        <w:tab/>
        <w:t xml:space="preserve">Léon, M. </w:t>
      </w:r>
      <w:r w:rsidRPr="000D36EE">
        <w:rPr>
          <w:i/>
          <w:iCs/>
          <w:noProof/>
          <w:sz w:val="24"/>
          <w:szCs w:val="24"/>
        </w:rPr>
        <w:t>et al.</w:t>
      </w:r>
      <w:r w:rsidRPr="000D36EE">
        <w:rPr>
          <w:noProof/>
          <w:sz w:val="24"/>
          <w:szCs w:val="24"/>
        </w:rPr>
        <w:t xml:space="preserve"> Use of 223Ra and 224Ra as chronometers to estimate the residence time of Amazon waters on the Brazilian continental shelf. </w:t>
      </w:r>
      <w:r w:rsidRPr="000D36EE">
        <w:rPr>
          <w:i/>
          <w:iCs/>
          <w:noProof/>
          <w:sz w:val="24"/>
          <w:szCs w:val="24"/>
        </w:rPr>
        <w:t>Limnol. Oceanogr.</w:t>
      </w:r>
      <w:r w:rsidRPr="000D36EE">
        <w:rPr>
          <w:noProof/>
          <w:sz w:val="24"/>
          <w:szCs w:val="24"/>
        </w:rPr>
        <w:t xml:space="preserve"> </w:t>
      </w:r>
      <w:r w:rsidRPr="000D36EE">
        <w:rPr>
          <w:b/>
          <w:bCs/>
          <w:noProof/>
          <w:sz w:val="24"/>
          <w:szCs w:val="24"/>
        </w:rPr>
        <w:t>67</w:t>
      </w:r>
      <w:r w:rsidRPr="000D36EE">
        <w:rPr>
          <w:noProof/>
          <w:sz w:val="24"/>
          <w:szCs w:val="24"/>
        </w:rPr>
        <w:t>, 753–767 (2022).</w:t>
      </w:r>
    </w:p>
    <w:p w14:paraId="17B2D333"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5.</w:t>
      </w:r>
      <w:r w:rsidRPr="000D36EE">
        <w:rPr>
          <w:noProof/>
          <w:sz w:val="24"/>
          <w:szCs w:val="24"/>
        </w:rPr>
        <w:tab/>
        <w:t xml:space="preserve">Moore, W. S. Ages of continental shelf waters determined from 223Ra and 224Ra. </w:t>
      </w:r>
      <w:r w:rsidRPr="000D36EE">
        <w:rPr>
          <w:i/>
          <w:iCs/>
          <w:noProof/>
          <w:sz w:val="24"/>
          <w:szCs w:val="24"/>
        </w:rPr>
        <w:t>J. Geophys. Res. Ocean.</w:t>
      </w:r>
      <w:r w:rsidRPr="000D36EE">
        <w:rPr>
          <w:noProof/>
          <w:sz w:val="24"/>
          <w:szCs w:val="24"/>
        </w:rPr>
        <w:t xml:space="preserve"> </w:t>
      </w:r>
      <w:r w:rsidRPr="000D36EE">
        <w:rPr>
          <w:b/>
          <w:bCs/>
          <w:noProof/>
          <w:sz w:val="24"/>
          <w:szCs w:val="24"/>
        </w:rPr>
        <w:t>105</w:t>
      </w:r>
      <w:r w:rsidRPr="000D36EE">
        <w:rPr>
          <w:noProof/>
          <w:sz w:val="24"/>
          <w:szCs w:val="24"/>
        </w:rPr>
        <w:t>, 22117–22122 (2000).</w:t>
      </w:r>
    </w:p>
    <w:p w14:paraId="425CFB8E"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6.</w:t>
      </w:r>
      <w:r w:rsidRPr="000D36EE">
        <w:rPr>
          <w:noProof/>
          <w:sz w:val="24"/>
          <w:szCs w:val="24"/>
        </w:rPr>
        <w:tab/>
        <w:t xml:space="preserve">Moore, W. S., Astwood, H. &amp; Lindstrom, C. Radium isotopes in coastal waters on the Amazon shelf. </w:t>
      </w:r>
      <w:r w:rsidRPr="000D36EE">
        <w:rPr>
          <w:i/>
          <w:iCs/>
          <w:noProof/>
          <w:sz w:val="24"/>
          <w:szCs w:val="24"/>
        </w:rPr>
        <w:t>Geochim. Cosmochim. Acta</w:t>
      </w:r>
      <w:r w:rsidRPr="000D36EE">
        <w:rPr>
          <w:noProof/>
          <w:sz w:val="24"/>
          <w:szCs w:val="24"/>
        </w:rPr>
        <w:t xml:space="preserve"> </w:t>
      </w:r>
      <w:r w:rsidRPr="000D36EE">
        <w:rPr>
          <w:b/>
          <w:bCs/>
          <w:noProof/>
          <w:sz w:val="24"/>
          <w:szCs w:val="24"/>
        </w:rPr>
        <w:t>59</w:t>
      </w:r>
      <w:r w:rsidRPr="000D36EE">
        <w:rPr>
          <w:noProof/>
          <w:sz w:val="24"/>
          <w:szCs w:val="24"/>
        </w:rPr>
        <w:t>, 4285–4298 (1995).</w:t>
      </w:r>
    </w:p>
    <w:p w14:paraId="042B60FD"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7.</w:t>
      </w:r>
      <w:r w:rsidRPr="000D36EE">
        <w:rPr>
          <w:noProof/>
          <w:sz w:val="24"/>
          <w:szCs w:val="24"/>
        </w:rPr>
        <w:tab/>
        <w:t xml:space="preserve">Lamb, A. L., Wilson, G. P. &amp; Leng, M. J. A review of coastal palaeoclimate and relative sea-level reconstructions using δ13C and C/N ratios in organic material. </w:t>
      </w:r>
      <w:r w:rsidRPr="000D36EE">
        <w:rPr>
          <w:i/>
          <w:iCs/>
          <w:noProof/>
          <w:sz w:val="24"/>
          <w:szCs w:val="24"/>
        </w:rPr>
        <w:t>Earth-Science Rev.</w:t>
      </w:r>
      <w:r w:rsidRPr="000D36EE">
        <w:rPr>
          <w:noProof/>
          <w:sz w:val="24"/>
          <w:szCs w:val="24"/>
        </w:rPr>
        <w:t xml:space="preserve"> </w:t>
      </w:r>
      <w:r w:rsidRPr="000D36EE">
        <w:rPr>
          <w:b/>
          <w:bCs/>
          <w:noProof/>
          <w:sz w:val="24"/>
          <w:szCs w:val="24"/>
        </w:rPr>
        <w:t>75</w:t>
      </w:r>
      <w:r w:rsidRPr="000D36EE">
        <w:rPr>
          <w:noProof/>
          <w:sz w:val="24"/>
          <w:szCs w:val="24"/>
        </w:rPr>
        <w:t>, 29–57 (2006).</w:t>
      </w:r>
    </w:p>
    <w:p w14:paraId="0F347AB1"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8.</w:t>
      </w:r>
      <w:r w:rsidRPr="000D36EE">
        <w:rPr>
          <w:noProof/>
          <w:sz w:val="24"/>
          <w:szCs w:val="24"/>
        </w:rPr>
        <w:tab/>
        <w:t>Steinberg, D. K. &amp; Saba, G. K. Chapter 26 - Nitrogen Consumption and Metabolism in Marine Zooplankton. in (eds. Capone, D. G., Bronk, D. A., Mulholland, M. R. &amp; Carpenter, E. J. B. T.-N. in the M. E. (Second E.) 1135–1196 (Academic Press, 2008). doi:https://doi.org/10.1016/B978-0-12-372522-6.00026-8.</w:t>
      </w:r>
    </w:p>
    <w:p w14:paraId="6B53954A"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9.</w:t>
      </w:r>
      <w:r w:rsidRPr="000D36EE">
        <w:rPr>
          <w:noProof/>
          <w:sz w:val="24"/>
          <w:szCs w:val="24"/>
        </w:rPr>
        <w:tab/>
        <w:t xml:space="preserve">Cai, D.-L., Tan, F. C. &amp; Edmond, J. M. Sources and transport of particulate organic carbon in the Amazon River and estuary. </w:t>
      </w:r>
      <w:r w:rsidRPr="000D36EE">
        <w:rPr>
          <w:i/>
          <w:iCs/>
          <w:noProof/>
          <w:sz w:val="24"/>
          <w:szCs w:val="24"/>
        </w:rPr>
        <w:t>Estuar. Coast. Shelf Sci.</w:t>
      </w:r>
      <w:r w:rsidRPr="000D36EE">
        <w:rPr>
          <w:noProof/>
          <w:sz w:val="24"/>
          <w:szCs w:val="24"/>
        </w:rPr>
        <w:t xml:space="preserve"> </w:t>
      </w:r>
      <w:r w:rsidRPr="000D36EE">
        <w:rPr>
          <w:b/>
          <w:bCs/>
          <w:noProof/>
          <w:sz w:val="24"/>
          <w:szCs w:val="24"/>
        </w:rPr>
        <w:t>26</w:t>
      </w:r>
      <w:r w:rsidRPr="000D36EE">
        <w:rPr>
          <w:noProof/>
          <w:sz w:val="24"/>
          <w:szCs w:val="24"/>
        </w:rPr>
        <w:t>, 1–14 (1988).</w:t>
      </w:r>
    </w:p>
    <w:p w14:paraId="0093328B"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10.</w:t>
      </w:r>
      <w:r w:rsidRPr="000D36EE">
        <w:rPr>
          <w:noProof/>
          <w:sz w:val="24"/>
          <w:szCs w:val="24"/>
        </w:rPr>
        <w:tab/>
        <w:t xml:space="preserve">Showers, W. J. &amp; Angle, D. G. Stable isotopic characterization of organic carbon accumulation on the Amazon continental shelf. </w:t>
      </w:r>
      <w:r w:rsidRPr="000D36EE">
        <w:rPr>
          <w:i/>
          <w:iCs/>
          <w:noProof/>
          <w:sz w:val="24"/>
          <w:szCs w:val="24"/>
        </w:rPr>
        <w:t>Cont. Shelf Res.</w:t>
      </w:r>
      <w:r w:rsidRPr="000D36EE">
        <w:rPr>
          <w:noProof/>
          <w:sz w:val="24"/>
          <w:szCs w:val="24"/>
        </w:rPr>
        <w:t xml:space="preserve"> </w:t>
      </w:r>
      <w:r w:rsidRPr="000D36EE">
        <w:rPr>
          <w:b/>
          <w:bCs/>
          <w:noProof/>
          <w:sz w:val="24"/>
          <w:szCs w:val="24"/>
        </w:rPr>
        <w:t>6</w:t>
      </w:r>
      <w:r w:rsidRPr="000D36EE">
        <w:rPr>
          <w:noProof/>
          <w:sz w:val="24"/>
          <w:szCs w:val="24"/>
        </w:rPr>
        <w:t>, 227–244 (1986).</w:t>
      </w:r>
    </w:p>
    <w:p w14:paraId="2A06BF50"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11.</w:t>
      </w:r>
      <w:r w:rsidRPr="000D36EE">
        <w:rPr>
          <w:noProof/>
          <w:sz w:val="24"/>
          <w:szCs w:val="24"/>
        </w:rPr>
        <w:tab/>
        <w:t xml:space="preserve">Mortillaro, J. M. </w:t>
      </w:r>
      <w:r w:rsidRPr="000D36EE">
        <w:rPr>
          <w:i/>
          <w:iCs/>
          <w:noProof/>
          <w:sz w:val="24"/>
          <w:szCs w:val="24"/>
        </w:rPr>
        <w:t>et al.</w:t>
      </w:r>
      <w:r w:rsidRPr="000D36EE">
        <w:rPr>
          <w:noProof/>
          <w:sz w:val="24"/>
          <w:szCs w:val="24"/>
        </w:rPr>
        <w:t xml:space="preserve"> Fatty acid and stable isotope (δ13C, δ15N) signatures of particulate organic matter in the lower Amazon River: Seasonal contrasts and connectivity between floodplain lakes and the mainstem. </w:t>
      </w:r>
      <w:r w:rsidRPr="000D36EE">
        <w:rPr>
          <w:i/>
          <w:iCs/>
          <w:noProof/>
          <w:sz w:val="24"/>
          <w:szCs w:val="24"/>
        </w:rPr>
        <w:t>Org. Geochem.</w:t>
      </w:r>
      <w:r w:rsidRPr="000D36EE">
        <w:rPr>
          <w:noProof/>
          <w:sz w:val="24"/>
          <w:szCs w:val="24"/>
        </w:rPr>
        <w:t xml:space="preserve"> </w:t>
      </w:r>
      <w:r w:rsidRPr="000D36EE">
        <w:rPr>
          <w:b/>
          <w:bCs/>
          <w:noProof/>
          <w:sz w:val="24"/>
          <w:szCs w:val="24"/>
        </w:rPr>
        <w:t>42</w:t>
      </w:r>
      <w:r w:rsidRPr="000D36EE">
        <w:rPr>
          <w:noProof/>
          <w:sz w:val="24"/>
          <w:szCs w:val="24"/>
        </w:rPr>
        <w:t>, 1159–1168 (2011).</w:t>
      </w:r>
    </w:p>
    <w:p w14:paraId="5FE6181C" w14:textId="77777777" w:rsidR="000D36EE" w:rsidRPr="000D36EE" w:rsidRDefault="000D36EE" w:rsidP="000D36EE">
      <w:pPr>
        <w:widowControl w:val="0"/>
        <w:autoSpaceDE w:val="0"/>
        <w:autoSpaceDN w:val="0"/>
        <w:adjustRightInd w:val="0"/>
        <w:spacing w:after="120"/>
        <w:ind w:left="640" w:hanging="640"/>
        <w:rPr>
          <w:noProof/>
          <w:sz w:val="24"/>
          <w:szCs w:val="24"/>
        </w:rPr>
      </w:pPr>
      <w:r w:rsidRPr="000D36EE">
        <w:rPr>
          <w:noProof/>
          <w:sz w:val="24"/>
          <w:szCs w:val="24"/>
        </w:rPr>
        <w:t>12.</w:t>
      </w:r>
      <w:r w:rsidRPr="000D36EE">
        <w:rPr>
          <w:noProof/>
          <w:sz w:val="24"/>
          <w:szCs w:val="24"/>
        </w:rPr>
        <w:tab/>
        <w:t xml:space="preserve">Brandenburg, K. M., Rost, B., Van de Waal, D. B., Hoins, M. &amp; Sluijs, A. Physiological control on carbon isotope fractionation in marine phytoplankton. </w:t>
      </w:r>
      <w:r w:rsidRPr="000D36EE">
        <w:rPr>
          <w:i/>
          <w:iCs/>
          <w:noProof/>
          <w:sz w:val="24"/>
          <w:szCs w:val="24"/>
        </w:rPr>
        <w:t>Biogeosciences</w:t>
      </w:r>
      <w:r w:rsidRPr="000D36EE">
        <w:rPr>
          <w:noProof/>
          <w:sz w:val="24"/>
          <w:szCs w:val="24"/>
        </w:rPr>
        <w:t xml:space="preserve"> </w:t>
      </w:r>
      <w:r w:rsidRPr="000D36EE">
        <w:rPr>
          <w:b/>
          <w:bCs/>
          <w:noProof/>
          <w:sz w:val="24"/>
          <w:szCs w:val="24"/>
        </w:rPr>
        <w:t>19</w:t>
      </w:r>
      <w:r w:rsidRPr="000D36EE">
        <w:rPr>
          <w:noProof/>
          <w:sz w:val="24"/>
          <w:szCs w:val="24"/>
        </w:rPr>
        <w:t>, 3305–3315 (2022).</w:t>
      </w:r>
    </w:p>
    <w:p w14:paraId="1937CA6C" w14:textId="77777777" w:rsidR="000D36EE" w:rsidRPr="000D36EE" w:rsidRDefault="000D36EE" w:rsidP="000D36EE">
      <w:pPr>
        <w:widowControl w:val="0"/>
        <w:autoSpaceDE w:val="0"/>
        <w:autoSpaceDN w:val="0"/>
        <w:adjustRightInd w:val="0"/>
        <w:spacing w:after="120"/>
        <w:ind w:left="640" w:hanging="640"/>
        <w:rPr>
          <w:noProof/>
          <w:sz w:val="24"/>
        </w:rPr>
      </w:pPr>
      <w:r w:rsidRPr="000D36EE">
        <w:rPr>
          <w:noProof/>
          <w:sz w:val="24"/>
          <w:szCs w:val="24"/>
        </w:rPr>
        <w:t>13.</w:t>
      </w:r>
      <w:r w:rsidRPr="000D36EE">
        <w:rPr>
          <w:noProof/>
          <w:sz w:val="24"/>
          <w:szCs w:val="24"/>
        </w:rPr>
        <w:tab/>
        <w:t xml:space="preserve">Carpenter, E. J., Harvey, H. R., Fry, B. &amp; Capone, D. G. Biogeochemical tracers of the marine cyanobacterium Trichodesmium. </w:t>
      </w:r>
      <w:r w:rsidRPr="000D36EE">
        <w:rPr>
          <w:i/>
          <w:iCs/>
          <w:noProof/>
          <w:sz w:val="24"/>
          <w:szCs w:val="24"/>
        </w:rPr>
        <w:t>Deep. Res. Part I-Oceanographic Res. Pap.</w:t>
      </w:r>
      <w:r w:rsidRPr="000D36EE">
        <w:rPr>
          <w:noProof/>
          <w:sz w:val="24"/>
          <w:szCs w:val="24"/>
        </w:rPr>
        <w:t xml:space="preserve"> </w:t>
      </w:r>
      <w:r w:rsidRPr="000D36EE">
        <w:rPr>
          <w:b/>
          <w:bCs/>
          <w:noProof/>
          <w:sz w:val="24"/>
          <w:szCs w:val="24"/>
        </w:rPr>
        <w:t>44</w:t>
      </w:r>
      <w:r w:rsidRPr="000D36EE">
        <w:rPr>
          <w:noProof/>
          <w:sz w:val="24"/>
          <w:szCs w:val="24"/>
        </w:rPr>
        <w:t>, 27–38 (1997).</w:t>
      </w:r>
    </w:p>
    <w:p w14:paraId="1460DAF9" w14:textId="335C20CD" w:rsidR="00945438" w:rsidRPr="00F80B82" w:rsidRDefault="00AE0685" w:rsidP="00F80B82">
      <w:pPr>
        <w:pStyle w:val="Teaser"/>
        <w:spacing w:before="0" w:after="120" w:line="288" w:lineRule="auto"/>
        <w:rPr>
          <w:bCs/>
          <w:color w:val="262626"/>
        </w:rPr>
      </w:pPr>
      <w:r w:rsidRPr="00F80B82">
        <w:rPr>
          <w:bCs/>
          <w:color w:val="262626"/>
        </w:rPr>
        <w:fldChar w:fldCharType="end"/>
      </w:r>
    </w:p>
    <w:sectPr w:rsidR="00945438" w:rsidRPr="00F80B82" w:rsidSect="00F06836">
      <w:headerReference w:type="default" r:id="rId13"/>
      <w:footerReference w:type="default" r:id="rId14"/>
      <w:headerReference w:type="first" r:id="rId15"/>
      <w:footerReference w:type="first" r:id="rId16"/>
      <w:pgSz w:w="11907" w:h="16840" w:code="9"/>
      <w:pgMar w:top="1134" w:right="1134" w:bottom="1134" w:left="1134" w:header="431" w:footer="720" w:gutter="0"/>
      <w:lnNumType w:countBy="5" w:distance="567"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37A7C" w14:textId="77777777" w:rsidR="001416A3" w:rsidRDefault="001416A3" w:rsidP="00D73714">
      <w:r>
        <w:separator/>
      </w:r>
    </w:p>
  </w:endnote>
  <w:endnote w:type="continuationSeparator" w:id="0">
    <w:p w14:paraId="725D6FEE" w14:textId="77777777" w:rsidR="001416A3" w:rsidRDefault="001416A3" w:rsidP="00D73714">
      <w:r>
        <w:continuationSeparator/>
      </w:r>
    </w:p>
  </w:endnote>
  <w:endnote w:type="continuationNotice" w:id="1">
    <w:p w14:paraId="48C47E18" w14:textId="77777777" w:rsidR="001416A3" w:rsidRDefault="0014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896" w14:textId="4CB2FEC0" w:rsidR="007B22A7" w:rsidRPr="004D6BFF" w:rsidRDefault="007B22A7">
    <w:pPr>
      <w:pStyle w:val="Piedepgina"/>
      <w:jc w:val="center"/>
      <w:rPr>
        <w:caps/>
        <w:noProof/>
      </w:rPr>
    </w:pPr>
    <w:r w:rsidRPr="004D6BFF">
      <w:rPr>
        <w:caps/>
      </w:rPr>
      <w:fldChar w:fldCharType="begin"/>
    </w:r>
    <w:r w:rsidRPr="004D6BFF">
      <w:rPr>
        <w:caps/>
      </w:rPr>
      <w:instrText xml:space="preserve"> PAGE   \* MERGEFORMAT </w:instrText>
    </w:r>
    <w:r w:rsidRPr="004D6BFF">
      <w:rPr>
        <w:caps/>
      </w:rPr>
      <w:fldChar w:fldCharType="separate"/>
    </w:r>
    <w:r w:rsidRPr="004D6BFF">
      <w:rPr>
        <w:caps/>
        <w:noProof/>
      </w:rPr>
      <w:t>4</w:t>
    </w:r>
    <w:r w:rsidRPr="004D6BFF">
      <w:rPr>
        <w:caps/>
        <w:noProof/>
      </w:rPr>
      <w:fldChar w:fldCharType="end"/>
    </w:r>
  </w:p>
  <w:p w14:paraId="4435F476" w14:textId="77777777" w:rsidR="007B22A7" w:rsidRDefault="007B22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9B8" w14:textId="4AEB110C" w:rsidR="007B22A7" w:rsidRDefault="007B22A7">
    <w:pPr>
      <w:pStyle w:val="Piedepgina"/>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7B22A7" w:rsidRDefault="007B22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CE7A0" w14:textId="77777777" w:rsidR="001416A3" w:rsidRDefault="001416A3" w:rsidP="00D73714">
      <w:r>
        <w:separator/>
      </w:r>
    </w:p>
  </w:footnote>
  <w:footnote w:type="continuationSeparator" w:id="0">
    <w:p w14:paraId="58331A7C" w14:textId="77777777" w:rsidR="001416A3" w:rsidRDefault="001416A3" w:rsidP="00D73714">
      <w:r>
        <w:continuationSeparator/>
      </w:r>
    </w:p>
  </w:footnote>
  <w:footnote w:type="continuationNotice" w:id="1">
    <w:p w14:paraId="0144CA5F" w14:textId="77777777" w:rsidR="001416A3" w:rsidRDefault="0014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7D35" w14:textId="77777777" w:rsidR="00F06836" w:rsidRPr="00015AF9" w:rsidRDefault="00F06836" w:rsidP="00F06836">
    <w:pPr>
      <w:pStyle w:val="Encabezado"/>
      <w:tabs>
        <w:tab w:val="clear" w:pos="4320"/>
        <w:tab w:val="clear" w:pos="8640"/>
        <w:tab w:val="left" w:pos="3240"/>
      </w:tabs>
      <w:jc w:val="center"/>
      <w:rPr>
        <w:color w:val="A6A6A6" w:themeColor="background1" w:themeShade="A6"/>
      </w:rPr>
    </w:pPr>
    <w:r w:rsidRPr="00015AF9">
      <w:rPr>
        <w:color w:val="A6A6A6" w:themeColor="background1" w:themeShade="A6"/>
      </w:rPr>
      <w:t>Submitted Manuscript to Nature Communications</w:t>
    </w:r>
  </w:p>
  <w:p w14:paraId="4A79378A" w14:textId="77777777" w:rsidR="00F06836" w:rsidRPr="00015AF9" w:rsidRDefault="00F06836" w:rsidP="00F06836">
    <w:pPr>
      <w:pStyle w:val="Encabezado"/>
      <w:tabs>
        <w:tab w:val="clear" w:pos="4320"/>
        <w:tab w:val="clear" w:pos="8640"/>
        <w:tab w:val="left" w:pos="3240"/>
      </w:tabs>
      <w:jc w:val="center"/>
      <w:rPr>
        <w:color w:val="A6A6A6" w:themeColor="background1" w:themeShade="A6"/>
      </w:rPr>
    </w:pPr>
    <w:r w:rsidRPr="00015AF9">
      <w:rPr>
        <w:color w:val="A6A6A6" w:themeColor="background1" w:themeShade="A6"/>
      </w:rPr>
      <w:t>Mixotrophy emerges as the optimal strategy in mature waters of the Amazon River plume</w:t>
    </w:r>
  </w:p>
  <w:p w14:paraId="61C749E8" w14:textId="7FED6EB8" w:rsidR="007B22A7" w:rsidRPr="00F06836" w:rsidRDefault="007B22A7" w:rsidP="00F068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F5B3" w14:textId="482E2676" w:rsidR="007B22A7" w:rsidRPr="00204015" w:rsidRDefault="007B22A7" w:rsidP="00D73714">
    <w:pPr>
      <w:pStyle w:val="Encabezado"/>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7B22A7" w:rsidRDefault="007B22A7" w:rsidP="00D737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9E1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22426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EE288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CA29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18F2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86228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425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780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903A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F4CA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412D"/>
    <w:rsid w:val="00010A90"/>
    <w:rsid w:val="0001644F"/>
    <w:rsid w:val="00017543"/>
    <w:rsid w:val="00022F72"/>
    <w:rsid w:val="00026FDD"/>
    <w:rsid w:val="00035505"/>
    <w:rsid w:val="000464E0"/>
    <w:rsid w:val="000562CC"/>
    <w:rsid w:val="00063743"/>
    <w:rsid w:val="00063761"/>
    <w:rsid w:val="00071B2F"/>
    <w:rsid w:val="00075B68"/>
    <w:rsid w:val="00076275"/>
    <w:rsid w:val="00077272"/>
    <w:rsid w:val="00083152"/>
    <w:rsid w:val="00085D75"/>
    <w:rsid w:val="00093734"/>
    <w:rsid w:val="00095099"/>
    <w:rsid w:val="000973F9"/>
    <w:rsid w:val="000B5022"/>
    <w:rsid w:val="000B7E4F"/>
    <w:rsid w:val="000C460C"/>
    <w:rsid w:val="000C7F0C"/>
    <w:rsid w:val="000D36EE"/>
    <w:rsid w:val="000F0553"/>
    <w:rsid w:val="000F123D"/>
    <w:rsid w:val="000F367E"/>
    <w:rsid w:val="00101767"/>
    <w:rsid w:val="00103958"/>
    <w:rsid w:val="001074DD"/>
    <w:rsid w:val="00110652"/>
    <w:rsid w:val="00111899"/>
    <w:rsid w:val="0011738B"/>
    <w:rsid w:val="00122855"/>
    <w:rsid w:val="00124ABC"/>
    <w:rsid w:val="001331D7"/>
    <w:rsid w:val="0013669C"/>
    <w:rsid w:val="001416A3"/>
    <w:rsid w:val="001447DE"/>
    <w:rsid w:val="001548CC"/>
    <w:rsid w:val="0015549E"/>
    <w:rsid w:val="001617C0"/>
    <w:rsid w:val="00174D19"/>
    <w:rsid w:val="001775FA"/>
    <w:rsid w:val="00190452"/>
    <w:rsid w:val="0019094B"/>
    <w:rsid w:val="001A027E"/>
    <w:rsid w:val="001A476E"/>
    <w:rsid w:val="001A50B3"/>
    <w:rsid w:val="001B2E30"/>
    <w:rsid w:val="001C4CC8"/>
    <w:rsid w:val="001D3DE1"/>
    <w:rsid w:val="001D40BE"/>
    <w:rsid w:val="001D4C6A"/>
    <w:rsid w:val="001E494A"/>
    <w:rsid w:val="001E7AE2"/>
    <w:rsid w:val="00200048"/>
    <w:rsid w:val="002015DE"/>
    <w:rsid w:val="002053AF"/>
    <w:rsid w:val="0021079F"/>
    <w:rsid w:val="00210EB0"/>
    <w:rsid w:val="00227AE4"/>
    <w:rsid w:val="00230D22"/>
    <w:rsid w:val="00236F8D"/>
    <w:rsid w:val="002463DF"/>
    <w:rsid w:val="002475FA"/>
    <w:rsid w:val="00260E4E"/>
    <w:rsid w:val="00270F47"/>
    <w:rsid w:val="0029404C"/>
    <w:rsid w:val="0029700A"/>
    <w:rsid w:val="002A192C"/>
    <w:rsid w:val="002A4B35"/>
    <w:rsid w:val="002A6B1F"/>
    <w:rsid w:val="002B64AB"/>
    <w:rsid w:val="002C07E9"/>
    <w:rsid w:val="002C33B8"/>
    <w:rsid w:val="002C4DCA"/>
    <w:rsid w:val="002E13DD"/>
    <w:rsid w:val="002E5C7C"/>
    <w:rsid w:val="002E60B9"/>
    <w:rsid w:val="002E7A3C"/>
    <w:rsid w:val="002F7740"/>
    <w:rsid w:val="003024EA"/>
    <w:rsid w:val="00306AB4"/>
    <w:rsid w:val="003079C1"/>
    <w:rsid w:val="00307F53"/>
    <w:rsid w:val="00310501"/>
    <w:rsid w:val="00330A14"/>
    <w:rsid w:val="00340ACB"/>
    <w:rsid w:val="00345066"/>
    <w:rsid w:val="00357455"/>
    <w:rsid w:val="00357A60"/>
    <w:rsid w:val="00363BF8"/>
    <w:rsid w:val="003658DF"/>
    <w:rsid w:val="00370002"/>
    <w:rsid w:val="00370FED"/>
    <w:rsid w:val="0037799E"/>
    <w:rsid w:val="0038058D"/>
    <w:rsid w:val="00381E32"/>
    <w:rsid w:val="0038427C"/>
    <w:rsid w:val="003851C5"/>
    <w:rsid w:val="00391FA5"/>
    <w:rsid w:val="003930AF"/>
    <w:rsid w:val="003A77E5"/>
    <w:rsid w:val="003A7E63"/>
    <w:rsid w:val="003B0531"/>
    <w:rsid w:val="003C1C49"/>
    <w:rsid w:val="003C2547"/>
    <w:rsid w:val="003C58F0"/>
    <w:rsid w:val="003D39E6"/>
    <w:rsid w:val="003D6392"/>
    <w:rsid w:val="003D791C"/>
    <w:rsid w:val="003E2BE6"/>
    <w:rsid w:val="003E40AA"/>
    <w:rsid w:val="003E47D5"/>
    <w:rsid w:val="003F19B9"/>
    <w:rsid w:val="003F761E"/>
    <w:rsid w:val="004057E5"/>
    <w:rsid w:val="00411E90"/>
    <w:rsid w:val="00432A92"/>
    <w:rsid w:val="00444651"/>
    <w:rsid w:val="00447EB3"/>
    <w:rsid w:val="004550B9"/>
    <w:rsid w:val="00464ABD"/>
    <w:rsid w:val="00465F7D"/>
    <w:rsid w:val="00475539"/>
    <w:rsid w:val="00482684"/>
    <w:rsid w:val="004871D4"/>
    <w:rsid w:val="004876B9"/>
    <w:rsid w:val="004942B3"/>
    <w:rsid w:val="004A37A6"/>
    <w:rsid w:val="004A4ABB"/>
    <w:rsid w:val="004A5DD4"/>
    <w:rsid w:val="004B4F4B"/>
    <w:rsid w:val="004B6AD4"/>
    <w:rsid w:val="004C0CBE"/>
    <w:rsid w:val="004C16CE"/>
    <w:rsid w:val="004C51FB"/>
    <w:rsid w:val="004D10EA"/>
    <w:rsid w:val="004D166C"/>
    <w:rsid w:val="004D19A5"/>
    <w:rsid w:val="004D2EF6"/>
    <w:rsid w:val="004D6781"/>
    <w:rsid w:val="004D6BFF"/>
    <w:rsid w:val="004E34AE"/>
    <w:rsid w:val="004E7B49"/>
    <w:rsid w:val="005159D3"/>
    <w:rsid w:val="00517675"/>
    <w:rsid w:val="005202B7"/>
    <w:rsid w:val="005220F8"/>
    <w:rsid w:val="00532EC8"/>
    <w:rsid w:val="00545AE5"/>
    <w:rsid w:val="00545DD8"/>
    <w:rsid w:val="00557070"/>
    <w:rsid w:val="00560CF5"/>
    <w:rsid w:val="005659B1"/>
    <w:rsid w:val="00565D96"/>
    <w:rsid w:val="00567935"/>
    <w:rsid w:val="00572498"/>
    <w:rsid w:val="00573DB9"/>
    <w:rsid w:val="00575375"/>
    <w:rsid w:val="00576E95"/>
    <w:rsid w:val="00583CCA"/>
    <w:rsid w:val="005862F3"/>
    <w:rsid w:val="005A4784"/>
    <w:rsid w:val="005A54A8"/>
    <w:rsid w:val="005B2C7B"/>
    <w:rsid w:val="005B50D5"/>
    <w:rsid w:val="005C7511"/>
    <w:rsid w:val="005C7805"/>
    <w:rsid w:val="005D1F27"/>
    <w:rsid w:val="005D477E"/>
    <w:rsid w:val="00606EBD"/>
    <w:rsid w:val="006161C9"/>
    <w:rsid w:val="00622AB1"/>
    <w:rsid w:val="00627266"/>
    <w:rsid w:val="00631669"/>
    <w:rsid w:val="00632F22"/>
    <w:rsid w:val="0064261D"/>
    <w:rsid w:val="006455DA"/>
    <w:rsid w:val="006500DF"/>
    <w:rsid w:val="0065050E"/>
    <w:rsid w:val="00650B01"/>
    <w:rsid w:val="0065435C"/>
    <w:rsid w:val="00655A58"/>
    <w:rsid w:val="00663FA0"/>
    <w:rsid w:val="00666EF1"/>
    <w:rsid w:val="006757DB"/>
    <w:rsid w:val="006828D6"/>
    <w:rsid w:val="00683FDC"/>
    <w:rsid w:val="00690FDE"/>
    <w:rsid w:val="0069104C"/>
    <w:rsid w:val="006A0DD2"/>
    <w:rsid w:val="006A2645"/>
    <w:rsid w:val="006A62B2"/>
    <w:rsid w:val="006A7883"/>
    <w:rsid w:val="006C117B"/>
    <w:rsid w:val="006C6348"/>
    <w:rsid w:val="006D108B"/>
    <w:rsid w:val="006D40FF"/>
    <w:rsid w:val="006D718F"/>
    <w:rsid w:val="006E2D52"/>
    <w:rsid w:val="006E48F0"/>
    <w:rsid w:val="006E50C6"/>
    <w:rsid w:val="006E5832"/>
    <w:rsid w:val="006E590E"/>
    <w:rsid w:val="006F1AC9"/>
    <w:rsid w:val="006F459F"/>
    <w:rsid w:val="00701DA9"/>
    <w:rsid w:val="00701FDB"/>
    <w:rsid w:val="007113A9"/>
    <w:rsid w:val="007161A3"/>
    <w:rsid w:val="00716CFA"/>
    <w:rsid w:val="00741D39"/>
    <w:rsid w:val="00742782"/>
    <w:rsid w:val="007440FE"/>
    <w:rsid w:val="0074692B"/>
    <w:rsid w:val="00752918"/>
    <w:rsid w:val="00755125"/>
    <w:rsid w:val="0076048F"/>
    <w:rsid w:val="007713CE"/>
    <w:rsid w:val="0077592F"/>
    <w:rsid w:val="007868D5"/>
    <w:rsid w:val="0079561B"/>
    <w:rsid w:val="007A3AE7"/>
    <w:rsid w:val="007B22A7"/>
    <w:rsid w:val="007B463E"/>
    <w:rsid w:val="007B4822"/>
    <w:rsid w:val="007B7E30"/>
    <w:rsid w:val="007C03BE"/>
    <w:rsid w:val="007C05D6"/>
    <w:rsid w:val="007C4E74"/>
    <w:rsid w:val="007C6679"/>
    <w:rsid w:val="007D14F3"/>
    <w:rsid w:val="007D733F"/>
    <w:rsid w:val="007E37C1"/>
    <w:rsid w:val="007F20A8"/>
    <w:rsid w:val="008165D0"/>
    <w:rsid w:val="00816DE3"/>
    <w:rsid w:val="00817776"/>
    <w:rsid w:val="00821BBC"/>
    <w:rsid w:val="008270D8"/>
    <w:rsid w:val="008355F1"/>
    <w:rsid w:val="00837A68"/>
    <w:rsid w:val="0084615B"/>
    <w:rsid w:val="0084745B"/>
    <w:rsid w:val="0086656C"/>
    <w:rsid w:val="00891F82"/>
    <w:rsid w:val="008A7403"/>
    <w:rsid w:val="008B018C"/>
    <w:rsid w:val="008B2D70"/>
    <w:rsid w:val="008B420E"/>
    <w:rsid w:val="008C361F"/>
    <w:rsid w:val="008C5F47"/>
    <w:rsid w:val="008C7D00"/>
    <w:rsid w:val="008D12B4"/>
    <w:rsid w:val="008D5410"/>
    <w:rsid w:val="008F2233"/>
    <w:rsid w:val="0090050B"/>
    <w:rsid w:val="00902C9B"/>
    <w:rsid w:val="00905A8B"/>
    <w:rsid w:val="00942EB0"/>
    <w:rsid w:val="00945438"/>
    <w:rsid w:val="00951279"/>
    <w:rsid w:val="009526C9"/>
    <w:rsid w:val="00957DCD"/>
    <w:rsid w:val="009719B2"/>
    <w:rsid w:val="0097571B"/>
    <w:rsid w:val="00975780"/>
    <w:rsid w:val="00980B9F"/>
    <w:rsid w:val="00986948"/>
    <w:rsid w:val="009966F9"/>
    <w:rsid w:val="009A51BB"/>
    <w:rsid w:val="009A5732"/>
    <w:rsid w:val="009A5F83"/>
    <w:rsid w:val="009A6B8F"/>
    <w:rsid w:val="009B537C"/>
    <w:rsid w:val="009E78A6"/>
    <w:rsid w:val="009F2B56"/>
    <w:rsid w:val="009F70E2"/>
    <w:rsid w:val="00A07C12"/>
    <w:rsid w:val="00A127AE"/>
    <w:rsid w:val="00A16681"/>
    <w:rsid w:val="00A1748D"/>
    <w:rsid w:val="00A17C1D"/>
    <w:rsid w:val="00A23CD5"/>
    <w:rsid w:val="00A25E52"/>
    <w:rsid w:val="00A51678"/>
    <w:rsid w:val="00A53647"/>
    <w:rsid w:val="00A56752"/>
    <w:rsid w:val="00A644A5"/>
    <w:rsid w:val="00A80658"/>
    <w:rsid w:val="00A83171"/>
    <w:rsid w:val="00A84C7A"/>
    <w:rsid w:val="00A861BA"/>
    <w:rsid w:val="00A878A7"/>
    <w:rsid w:val="00A940D1"/>
    <w:rsid w:val="00A954C5"/>
    <w:rsid w:val="00AA14AF"/>
    <w:rsid w:val="00AA446F"/>
    <w:rsid w:val="00AC4045"/>
    <w:rsid w:val="00AD471D"/>
    <w:rsid w:val="00AE0685"/>
    <w:rsid w:val="00AE2B29"/>
    <w:rsid w:val="00AF6AFC"/>
    <w:rsid w:val="00AF79E1"/>
    <w:rsid w:val="00B01CB1"/>
    <w:rsid w:val="00B04786"/>
    <w:rsid w:val="00B052C9"/>
    <w:rsid w:val="00B0541D"/>
    <w:rsid w:val="00B0747B"/>
    <w:rsid w:val="00B35D78"/>
    <w:rsid w:val="00B40F6D"/>
    <w:rsid w:val="00B41EC3"/>
    <w:rsid w:val="00B422F9"/>
    <w:rsid w:val="00B47B29"/>
    <w:rsid w:val="00B504DA"/>
    <w:rsid w:val="00B52557"/>
    <w:rsid w:val="00B61DCB"/>
    <w:rsid w:val="00B63221"/>
    <w:rsid w:val="00B82FEA"/>
    <w:rsid w:val="00B84598"/>
    <w:rsid w:val="00B9331C"/>
    <w:rsid w:val="00B943D3"/>
    <w:rsid w:val="00B94CBB"/>
    <w:rsid w:val="00B95CEA"/>
    <w:rsid w:val="00BA64AE"/>
    <w:rsid w:val="00BB7527"/>
    <w:rsid w:val="00BC3A8B"/>
    <w:rsid w:val="00BC5835"/>
    <w:rsid w:val="00BC7D57"/>
    <w:rsid w:val="00BD127C"/>
    <w:rsid w:val="00BD1667"/>
    <w:rsid w:val="00BD19E3"/>
    <w:rsid w:val="00BD3B33"/>
    <w:rsid w:val="00BD576C"/>
    <w:rsid w:val="00BE151A"/>
    <w:rsid w:val="00BE1EA8"/>
    <w:rsid w:val="00BE322E"/>
    <w:rsid w:val="00BE3F0C"/>
    <w:rsid w:val="00BE5D15"/>
    <w:rsid w:val="00BE6F62"/>
    <w:rsid w:val="00BF1DDC"/>
    <w:rsid w:val="00BF6C48"/>
    <w:rsid w:val="00C07264"/>
    <w:rsid w:val="00C13940"/>
    <w:rsid w:val="00C17F1B"/>
    <w:rsid w:val="00C20240"/>
    <w:rsid w:val="00C20675"/>
    <w:rsid w:val="00C22A04"/>
    <w:rsid w:val="00C33662"/>
    <w:rsid w:val="00C3528D"/>
    <w:rsid w:val="00C372E3"/>
    <w:rsid w:val="00C426A5"/>
    <w:rsid w:val="00C61E91"/>
    <w:rsid w:val="00C62125"/>
    <w:rsid w:val="00C621C7"/>
    <w:rsid w:val="00C708FE"/>
    <w:rsid w:val="00C741DD"/>
    <w:rsid w:val="00C8559A"/>
    <w:rsid w:val="00C86E03"/>
    <w:rsid w:val="00CA296B"/>
    <w:rsid w:val="00CB0434"/>
    <w:rsid w:val="00CB7741"/>
    <w:rsid w:val="00CC0A4C"/>
    <w:rsid w:val="00CC2657"/>
    <w:rsid w:val="00CC7625"/>
    <w:rsid w:val="00CD2BA0"/>
    <w:rsid w:val="00CE6F3A"/>
    <w:rsid w:val="00CF33DA"/>
    <w:rsid w:val="00CF3BEC"/>
    <w:rsid w:val="00D00182"/>
    <w:rsid w:val="00D01145"/>
    <w:rsid w:val="00D05074"/>
    <w:rsid w:val="00D119C1"/>
    <w:rsid w:val="00D26135"/>
    <w:rsid w:val="00D34EBC"/>
    <w:rsid w:val="00D47412"/>
    <w:rsid w:val="00D61494"/>
    <w:rsid w:val="00D70548"/>
    <w:rsid w:val="00D73714"/>
    <w:rsid w:val="00D768B9"/>
    <w:rsid w:val="00D805A6"/>
    <w:rsid w:val="00D90F74"/>
    <w:rsid w:val="00D937C6"/>
    <w:rsid w:val="00D96AFA"/>
    <w:rsid w:val="00DA7E8E"/>
    <w:rsid w:val="00DB72E6"/>
    <w:rsid w:val="00DC51CA"/>
    <w:rsid w:val="00DD0D48"/>
    <w:rsid w:val="00DD225C"/>
    <w:rsid w:val="00DD321E"/>
    <w:rsid w:val="00DD579F"/>
    <w:rsid w:val="00DE0472"/>
    <w:rsid w:val="00DE0E63"/>
    <w:rsid w:val="00DE28BD"/>
    <w:rsid w:val="00DE7047"/>
    <w:rsid w:val="00DF1587"/>
    <w:rsid w:val="00E0133A"/>
    <w:rsid w:val="00E0440F"/>
    <w:rsid w:val="00E05FE2"/>
    <w:rsid w:val="00E06EC1"/>
    <w:rsid w:val="00E21063"/>
    <w:rsid w:val="00E27ADB"/>
    <w:rsid w:val="00E351C0"/>
    <w:rsid w:val="00E37C62"/>
    <w:rsid w:val="00E56245"/>
    <w:rsid w:val="00E56D3D"/>
    <w:rsid w:val="00E701D7"/>
    <w:rsid w:val="00E72365"/>
    <w:rsid w:val="00E737F7"/>
    <w:rsid w:val="00E75FA3"/>
    <w:rsid w:val="00E76305"/>
    <w:rsid w:val="00E76B37"/>
    <w:rsid w:val="00EA5590"/>
    <w:rsid w:val="00EA620F"/>
    <w:rsid w:val="00EA734E"/>
    <w:rsid w:val="00EB062C"/>
    <w:rsid w:val="00EB19A9"/>
    <w:rsid w:val="00EC685E"/>
    <w:rsid w:val="00ED3C7E"/>
    <w:rsid w:val="00ED4D2D"/>
    <w:rsid w:val="00ED7B28"/>
    <w:rsid w:val="00ED7EA4"/>
    <w:rsid w:val="00EE1D99"/>
    <w:rsid w:val="00EE6929"/>
    <w:rsid w:val="00EF3AE7"/>
    <w:rsid w:val="00EF69D9"/>
    <w:rsid w:val="00F06836"/>
    <w:rsid w:val="00F1048E"/>
    <w:rsid w:val="00F15B30"/>
    <w:rsid w:val="00F26AF7"/>
    <w:rsid w:val="00F44B6F"/>
    <w:rsid w:val="00F5789C"/>
    <w:rsid w:val="00F66D82"/>
    <w:rsid w:val="00F67DE5"/>
    <w:rsid w:val="00F716A3"/>
    <w:rsid w:val="00F72442"/>
    <w:rsid w:val="00F739FD"/>
    <w:rsid w:val="00F77F59"/>
    <w:rsid w:val="00F80B82"/>
    <w:rsid w:val="00F955DB"/>
    <w:rsid w:val="00FB6322"/>
    <w:rsid w:val="00FB6FB6"/>
    <w:rsid w:val="00FC3E35"/>
    <w:rsid w:val="00FC6BEF"/>
    <w:rsid w:val="00FD48F1"/>
    <w:rsid w:val="00FD546E"/>
    <w:rsid w:val="00FF157A"/>
    <w:rsid w:val="00FF2717"/>
    <w:rsid w:val="00FF2A7E"/>
    <w:rsid w:val="7FEA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F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Fuentedeprrafopredeter"/>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Textodeglobo">
    <w:name w:val="Balloon Text"/>
    <w:basedOn w:val="Normal"/>
    <w:link w:val="TextodegloboCar"/>
    <w:semiHidden/>
    <w:rsid w:val="009A3899"/>
    <w:rPr>
      <w:rFonts w:ascii="Lucida Grande" w:eastAsia="Times New Roman" w:hAnsi="Lucida Grande"/>
      <w:sz w:val="18"/>
      <w:szCs w:val="18"/>
    </w:rPr>
  </w:style>
  <w:style w:type="character" w:customStyle="1" w:styleId="TextodegloboCar">
    <w:name w:val="Texto de globo Car"/>
    <w:basedOn w:val="Fuentedeprrafopredeter"/>
    <w:link w:val="Textodeglobo"/>
    <w:semiHidden/>
    <w:rsid w:val="009A3899"/>
    <w:rPr>
      <w:rFonts w:ascii="Lucida Grande" w:eastAsia="Times New Roman" w:hAnsi="Lucida Grande"/>
      <w:sz w:val="18"/>
      <w:szCs w:val="18"/>
    </w:rPr>
  </w:style>
  <w:style w:type="character" w:customStyle="1" w:styleId="bibarticle">
    <w:name w:val="bib_article"/>
    <w:basedOn w:val="Fuentedeprrafopredeter"/>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Fuentedeprrafopredeter"/>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Refdecomentario">
    <w:name w:val="annotation reference"/>
    <w:basedOn w:val="Fuentedeprrafopredeter"/>
    <w:uiPriority w:val="99"/>
    <w:rsid w:val="009A3899"/>
    <w:rPr>
      <w:sz w:val="18"/>
      <w:szCs w:val="18"/>
    </w:rPr>
  </w:style>
  <w:style w:type="paragraph" w:styleId="Textocomentario">
    <w:name w:val="annotation text"/>
    <w:basedOn w:val="Normal"/>
    <w:link w:val="TextocomentarioCar"/>
    <w:uiPriority w:val="99"/>
    <w:rsid w:val="009A3899"/>
    <w:rPr>
      <w:rFonts w:eastAsia="Times New Roman"/>
    </w:rPr>
  </w:style>
  <w:style w:type="character" w:customStyle="1" w:styleId="TextocomentarioCar">
    <w:name w:val="Texto comentario Car"/>
    <w:basedOn w:val="Fuentedeprrafopredeter"/>
    <w:link w:val="Textocomentario"/>
    <w:uiPriority w:val="99"/>
    <w:rsid w:val="009A3899"/>
    <w:rPr>
      <w:rFonts w:ascii="Times New Roman" w:eastAsia="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9A3899"/>
    <w:rPr>
      <w:b/>
      <w:bCs/>
    </w:rPr>
  </w:style>
  <w:style w:type="character" w:customStyle="1" w:styleId="AsuntodelcomentarioCar">
    <w:name w:val="Asunto del comentario Car"/>
    <w:basedOn w:val="TextocomentarioCar"/>
    <w:link w:val="Asuntodelcomentario"/>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Fuentedeprrafopredeter"/>
    <w:rsid w:val="009A3899"/>
    <w:rPr>
      <w:sz w:val="24"/>
      <w:szCs w:val="24"/>
      <w:bdr w:val="none" w:sz="0" w:space="0" w:color="auto"/>
      <w:shd w:val="clear" w:color="auto" w:fill="CCFFCC"/>
    </w:rPr>
  </w:style>
  <w:style w:type="character" w:customStyle="1" w:styleId="ContractSponsor">
    <w:name w:val="Contract Sponsor"/>
    <w:basedOn w:val="Fuentedeprrafopredete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nfasis">
    <w:name w:val="Emphasis"/>
    <w:basedOn w:val="Fuentedeprrafopredeter"/>
    <w:uiPriority w:val="20"/>
    <w:qFormat/>
    <w:rsid w:val="009A3899"/>
    <w:rPr>
      <w:i/>
      <w:iCs/>
    </w:rPr>
  </w:style>
  <w:style w:type="character" w:styleId="Refdenotaalfinal">
    <w:name w:val="endnote reference"/>
    <w:basedOn w:val="Fuentedeprrafopredeter"/>
    <w:semiHidden/>
    <w:rsid w:val="009A3899"/>
    <w:rPr>
      <w:vertAlign w:val="superscript"/>
    </w:rPr>
  </w:style>
  <w:style w:type="paragraph" w:styleId="Textonotaalfinal">
    <w:name w:val="endnote text"/>
    <w:basedOn w:val="Normal"/>
    <w:link w:val="TextonotaalfinalCar"/>
    <w:semiHidden/>
    <w:rsid w:val="009A3899"/>
    <w:rPr>
      <w:rFonts w:ascii="Cambria" w:eastAsia="Cambria" w:hAnsi="Cambria"/>
    </w:rPr>
  </w:style>
  <w:style w:type="character" w:customStyle="1" w:styleId="TextonotaalfinalCar">
    <w:name w:val="Texto nota al final Car"/>
    <w:basedOn w:val="Fuentedeprrafopredeter"/>
    <w:link w:val="Textonotaalfinal"/>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Hipervnculovisitado">
    <w:name w:val="FollowedHyperlink"/>
    <w:basedOn w:val="Fuentedeprrafopredeter"/>
    <w:rsid w:val="009A3899"/>
    <w:rPr>
      <w:color w:val="800080"/>
      <w:u w:val="single"/>
    </w:rPr>
  </w:style>
  <w:style w:type="paragraph" w:styleId="Piedepgina">
    <w:name w:val="footer"/>
    <w:basedOn w:val="Normal"/>
    <w:link w:val="PiedepginaCar"/>
    <w:uiPriority w:val="99"/>
    <w:rsid w:val="009A3899"/>
    <w:pPr>
      <w:tabs>
        <w:tab w:val="center" w:pos="4320"/>
        <w:tab w:val="right" w:pos="8640"/>
      </w:tabs>
    </w:pPr>
    <w:rPr>
      <w:rFonts w:eastAsia="Times New Roman"/>
    </w:rPr>
  </w:style>
  <w:style w:type="character" w:customStyle="1" w:styleId="PiedepginaCar">
    <w:name w:val="Pie de página Car"/>
    <w:basedOn w:val="Fuentedeprrafopredeter"/>
    <w:link w:val="Piedepgina"/>
    <w:uiPriority w:val="99"/>
    <w:rsid w:val="009A3899"/>
    <w:rPr>
      <w:rFonts w:ascii="Times New Roman" w:eastAsia="Times New Roman" w:hAnsi="Times New Roman"/>
      <w:sz w:val="20"/>
      <w:szCs w:val="20"/>
    </w:rPr>
  </w:style>
  <w:style w:type="character" w:styleId="Refdenotaalpie">
    <w:name w:val="footnote reference"/>
    <w:basedOn w:val="Fuentedeprrafopredeter"/>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Encabezado">
    <w:name w:val="header"/>
    <w:basedOn w:val="Normal"/>
    <w:link w:val="EncabezadoCar"/>
    <w:rsid w:val="009A3899"/>
    <w:pPr>
      <w:tabs>
        <w:tab w:val="center" w:pos="4320"/>
        <w:tab w:val="right" w:pos="8640"/>
      </w:tabs>
    </w:pPr>
    <w:rPr>
      <w:rFonts w:eastAsia="Times New Roman"/>
    </w:rPr>
  </w:style>
  <w:style w:type="character" w:customStyle="1" w:styleId="EncabezadoCar">
    <w:name w:val="Encabezado Car"/>
    <w:basedOn w:val="Fuentedeprrafopredeter"/>
    <w:link w:val="Encabezado"/>
    <w:rsid w:val="009A3899"/>
    <w:rPr>
      <w:rFonts w:ascii="Times New Roman" w:eastAsia="Times New Roman" w:hAnsi="Times New Roman"/>
      <w:sz w:val="20"/>
      <w:szCs w:val="20"/>
    </w:rPr>
  </w:style>
  <w:style w:type="character" w:styleId="AcrnimoHTML">
    <w:name w:val="HTML Acronym"/>
    <w:basedOn w:val="Fuentedeprrafopredeter"/>
    <w:rsid w:val="009A3899"/>
  </w:style>
  <w:style w:type="character" w:styleId="CitaHTML">
    <w:name w:val="HTML Cite"/>
    <w:basedOn w:val="Fuentedeprrafopredeter"/>
    <w:rsid w:val="009A3899"/>
    <w:rPr>
      <w:i/>
      <w:iCs/>
    </w:rPr>
  </w:style>
  <w:style w:type="character" w:styleId="CdigoHTML">
    <w:name w:val="HTML Code"/>
    <w:basedOn w:val="Fuentedeprrafopredeter"/>
    <w:rsid w:val="009A3899"/>
    <w:rPr>
      <w:rFonts w:ascii="Courier New" w:hAnsi="Courier New" w:cs="Courier New"/>
      <w:sz w:val="20"/>
      <w:szCs w:val="20"/>
    </w:rPr>
  </w:style>
  <w:style w:type="character" w:styleId="DefinicinHTML">
    <w:name w:val="HTML Definition"/>
    <w:basedOn w:val="Fuentedeprrafopredeter"/>
    <w:rsid w:val="009A3899"/>
    <w:rPr>
      <w:i/>
      <w:iCs/>
    </w:rPr>
  </w:style>
  <w:style w:type="character" w:styleId="TecladoHTML">
    <w:name w:val="HTML Keyboard"/>
    <w:basedOn w:val="Fuentedeprrafopredeter"/>
    <w:rsid w:val="009A3899"/>
    <w:rPr>
      <w:rFonts w:ascii="Courier New" w:hAnsi="Courier New" w:cs="Courier New"/>
      <w:sz w:val="20"/>
      <w:szCs w:val="20"/>
    </w:rPr>
  </w:style>
  <w:style w:type="paragraph" w:styleId="HTMLconformatoprevio">
    <w:name w:val="HTML Preformatted"/>
    <w:basedOn w:val="Normal"/>
    <w:link w:val="HTMLconformatoprevioCar"/>
    <w:rsid w:val="009A3899"/>
    <w:rPr>
      <w:rFonts w:ascii="Consolas" w:eastAsia="Times New Roman" w:hAnsi="Consolas"/>
    </w:rPr>
  </w:style>
  <w:style w:type="character" w:customStyle="1" w:styleId="HTMLconformatoprevioCar">
    <w:name w:val="HTML con formato previo Car"/>
    <w:basedOn w:val="Fuentedeprrafopredeter"/>
    <w:link w:val="HTMLconformatoprevio"/>
    <w:rsid w:val="009A3899"/>
    <w:rPr>
      <w:rFonts w:ascii="Consolas" w:eastAsia="Times New Roman" w:hAnsi="Consolas"/>
      <w:sz w:val="20"/>
      <w:szCs w:val="20"/>
    </w:rPr>
  </w:style>
  <w:style w:type="character" w:styleId="EjemplodeHTML">
    <w:name w:val="HTML Sample"/>
    <w:basedOn w:val="Fuentedeprrafopredeter"/>
    <w:rsid w:val="009A3899"/>
    <w:rPr>
      <w:rFonts w:ascii="Courier New" w:hAnsi="Courier New" w:cs="Courier New"/>
    </w:rPr>
  </w:style>
  <w:style w:type="character" w:styleId="MquinadeescribirHTML">
    <w:name w:val="HTML Typewriter"/>
    <w:basedOn w:val="Fuentedeprrafopredeter"/>
    <w:rsid w:val="009A3899"/>
    <w:rPr>
      <w:rFonts w:ascii="Courier New" w:hAnsi="Courier New" w:cs="Courier New"/>
      <w:sz w:val="20"/>
      <w:szCs w:val="20"/>
    </w:rPr>
  </w:style>
  <w:style w:type="character" w:styleId="VariableHTML">
    <w:name w:val="HTML Variable"/>
    <w:basedOn w:val="Fuentedeprrafopredeter"/>
    <w:rsid w:val="009A3899"/>
    <w:rPr>
      <w:i/>
      <w:iCs/>
    </w:rPr>
  </w:style>
  <w:style w:type="character" w:styleId="Hipervnculo">
    <w:name w:val="Hyperlink"/>
    <w:basedOn w:val="Fuentedeprrafopredeter"/>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Nmerodelnea">
    <w:name w:val="line number"/>
    <w:basedOn w:val="Fuentedeprrafopredeter"/>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Nmerodepgina">
    <w:name w:val="page number"/>
    <w:basedOn w:val="Fuentedeprrafopredeter"/>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Textoennegrita">
    <w:name w:val="Strong"/>
    <w:basedOn w:val="Fuentedeprrafopredeter"/>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Fuentedeprrafopredeter"/>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Mencinsinresolver">
    <w:name w:val="Unresolved Mention"/>
    <w:basedOn w:val="Fuentedeprrafopredeter"/>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Fuentedeprrafopredeter"/>
    <w:rsid w:val="009A6B8F"/>
  </w:style>
  <w:style w:type="paragraph" w:styleId="Revisin">
    <w:name w:val="Revision"/>
    <w:hidden/>
    <w:uiPriority w:val="71"/>
    <w:rsid w:val="003D791C"/>
  </w:style>
  <w:style w:type="paragraph" w:styleId="Ttulo">
    <w:name w:val="Title"/>
    <w:basedOn w:val="Normal"/>
    <w:next w:val="Normal"/>
    <w:link w:val="TtuloCar"/>
    <w:uiPriority w:val="10"/>
    <w:qFormat/>
    <w:rsid w:val="00D937C6"/>
    <w:pPr>
      <w:contextualSpacing/>
    </w:pPr>
    <w:rPr>
      <w:rFonts w:asciiTheme="majorHAnsi" w:eastAsiaTheme="majorEastAsia" w:hAnsiTheme="majorHAnsi" w:cstheme="majorBidi"/>
      <w:spacing w:val="-10"/>
      <w:kern w:val="28"/>
      <w:sz w:val="56"/>
      <w:szCs w:val="56"/>
      <w:lang w:val="de-DE"/>
    </w:rPr>
  </w:style>
  <w:style w:type="character" w:customStyle="1" w:styleId="TtuloCar">
    <w:name w:val="Título Car"/>
    <w:basedOn w:val="Fuentedeprrafopredeter"/>
    <w:link w:val="Ttulo"/>
    <w:uiPriority w:val="10"/>
    <w:rsid w:val="00D937C6"/>
    <w:rPr>
      <w:rFonts w:asciiTheme="majorHAnsi" w:eastAsiaTheme="majorEastAsia" w:hAnsiTheme="majorHAnsi" w:cstheme="majorBidi"/>
      <w:spacing w:val="-10"/>
      <w:kern w:val="28"/>
      <w:sz w:val="56"/>
      <w:szCs w:val="5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3.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176F90-03D3-40DF-B64D-DF7D7F41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9336</Words>
  <Characters>53220</Characters>
  <Application>Microsoft Office Word</Application>
  <DocSecurity>0</DocSecurity>
  <Lines>443</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bhanson</dc:creator>
  <cp:lastModifiedBy>Ana Fernández Carrera</cp:lastModifiedBy>
  <cp:revision>14</cp:revision>
  <cp:lastPrinted>2018-01-11T18:39:00Z</cp:lastPrinted>
  <dcterms:created xsi:type="dcterms:W3CDTF">2024-12-22T09:59:00Z</dcterms:created>
  <dcterms:modified xsi:type="dcterms:W3CDTF">2024-12-27T15:25:00Z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Mendeley Document_1">
    <vt:lpwstr>True</vt:lpwstr>
  </property>
  <property fmtid="{D5CDD505-2E9C-101B-9397-08002B2CF9AE}" pid="4" name="Mendeley Unique User Id_1">
    <vt:lpwstr>50695fc3-8c59-33ec-b51c-8b2f21f34863</vt:lpwstr>
  </property>
  <property fmtid="{D5CDD505-2E9C-101B-9397-08002B2CF9AE}" pid="5" name="Mendeley Citation Style_1">
    <vt:lpwstr>http://www.zotero.org/styles/nature-communications</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http://www.zotero.org/styles/biogeochemistry</vt:lpwstr>
  </property>
  <property fmtid="{D5CDD505-2E9C-101B-9397-08002B2CF9AE}" pid="9" name="Mendeley Recent Style Name 1_1">
    <vt:lpwstr>Biogeochemistry</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http://www.zotero.org/styles/frontiers-in-marine-science</vt:lpwstr>
  </property>
  <property fmtid="{D5CDD505-2E9C-101B-9397-08002B2CF9AE}" pid="15" name="Mendeley Recent Style Name 4_1">
    <vt:lpwstr>Frontiers in Marine Science</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http://www.zotero.org/styles/limnology-and-oceanography</vt:lpwstr>
  </property>
  <property fmtid="{D5CDD505-2E9C-101B-9397-08002B2CF9AE}" pid="19" name="Mendeley Recent Style Name 6_1">
    <vt:lpwstr>Limnology and Oceanography</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http://www.zotero.org/styles/nature-communications</vt:lpwstr>
  </property>
  <property fmtid="{D5CDD505-2E9C-101B-9397-08002B2CF9AE}" pid="23" name="Mendeley Recent Style Name 8_1">
    <vt:lpwstr>Nature Communications</vt:lpwstr>
  </property>
  <property fmtid="{D5CDD505-2E9C-101B-9397-08002B2CF9AE}" pid="24" name="Mendeley Recent Style Id 9_1">
    <vt:lpwstr>http://www.zotero.org/styles/science</vt:lpwstr>
  </property>
  <property fmtid="{D5CDD505-2E9C-101B-9397-08002B2CF9AE}" pid="25" name="Mendeley Recent Style Name 9_1">
    <vt:lpwstr>Science</vt:lpwstr>
  </property>
</Properties>
</file>