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rsidR="00EE7CF2" w:rsidRDefault="00000000">
      <w:pPr>
        <w:pStyle w:val="Heading2"/>
        <w:spacing w:before="0" w:after="0" w:line="360" w:lineRule="auto"/>
        <w:rPr>
          <w:b/>
          <w:sz w:val="24"/>
          <w:szCs w:val="24"/>
        </w:rPr>
      </w:pPr>
      <w:bookmarkStart w:id="0" w:name="_amw1g8k4bhik" w:colFirst="0" w:colLast="0"/>
      <w:bookmarkEnd w:id="0"/>
      <w:r>
        <w:rPr>
          <w:b/>
          <w:sz w:val="24"/>
          <w:szCs w:val="24"/>
        </w:rPr>
        <w:t>Low reporting rates of experienced discrimination and harassment</w:t>
      </w:r>
    </w:p>
    <w:p w:rsidR="00EE7CF2" w:rsidRDefault="00000000">
      <w:pPr>
        <w:pStyle w:val="Heading3"/>
        <w:spacing w:before="0" w:after="0" w:line="360" w:lineRule="auto"/>
        <w:rPr>
          <w:color w:val="000000"/>
          <w:sz w:val="24"/>
          <w:szCs w:val="24"/>
          <w:u w:val="single"/>
        </w:rPr>
      </w:pPr>
      <w:bookmarkStart w:id="1" w:name="_8jdga2703l2u" w:colFirst="0" w:colLast="0"/>
      <w:bookmarkEnd w:id="1"/>
      <w:r>
        <w:rPr>
          <w:color w:val="000000"/>
          <w:sz w:val="24"/>
          <w:szCs w:val="24"/>
          <w:u w:val="single"/>
        </w:rPr>
        <w:t>Overall trends for reporting grievances</w:t>
      </w:r>
    </w:p>
    <w:p w:rsidR="00EE7CF2" w:rsidRDefault="00000000">
      <w:pPr>
        <w:spacing w:line="360" w:lineRule="auto"/>
        <w:rPr>
          <w:sz w:val="24"/>
          <w:szCs w:val="24"/>
        </w:rPr>
      </w:pPr>
      <w:r>
        <w:rPr>
          <w:sz w:val="24"/>
          <w:szCs w:val="24"/>
        </w:rPr>
        <w:t>Despite participants expressing high rates of experiencing some form of workplace discrimination or harassment over their lifetime, overall trends indicate that participants are unlikely to report their grievances. Among the participants who have ever experienced some form of discrimination and harassment in their lifetime (n = 308), only 33 of them have ever reported their experience. 33 (10.71%) reported it within their company, 1 (0.32%) reported it to the Ministry of Manpower, and 3 (0.97%) reported it to TAFEP.</w:t>
      </w:r>
    </w:p>
    <w:p w:rsidR="00EE7CF2" w:rsidRDefault="00EE7CF2">
      <w:pPr>
        <w:spacing w:line="360" w:lineRule="auto"/>
        <w:rPr>
          <w:sz w:val="24"/>
          <w:szCs w:val="24"/>
        </w:rPr>
      </w:pPr>
    </w:p>
    <w:p w:rsidR="00EE7CF2" w:rsidRDefault="00000000">
      <w:pPr>
        <w:spacing w:line="360" w:lineRule="auto"/>
        <w:rPr>
          <w:sz w:val="24"/>
          <w:szCs w:val="24"/>
        </w:rPr>
      </w:pPr>
      <w:r>
        <w:rPr>
          <w:sz w:val="24"/>
          <w:szCs w:val="24"/>
        </w:rPr>
        <w:t xml:space="preserve">Among those who reported their experience, only 7 (21.88%) reported that actions were taken against their perpetrator. 50.00% (n = 16) of them had their cases dismissed without investigation, while another 7 (21.88%) were dismissed after the investigation concluded. 21.88% (n = 7) did not receive a response after the report was made. This information is summarized in Table S1. </w:t>
      </w:r>
    </w:p>
    <w:p w:rsidR="00EE7CF2" w:rsidRDefault="00EE7CF2">
      <w:pPr>
        <w:spacing w:line="360" w:lineRule="auto"/>
        <w:rPr>
          <w:sz w:val="24"/>
          <w:szCs w:val="24"/>
        </w:rPr>
      </w:pPr>
    </w:p>
    <w:p w:rsidR="00EE7CF2" w:rsidRDefault="00000000">
      <w:pPr>
        <w:spacing w:line="360" w:lineRule="auto"/>
        <w:rPr>
          <w:b/>
          <w:sz w:val="24"/>
          <w:szCs w:val="24"/>
        </w:rPr>
      </w:pPr>
      <w:r>
        <w:rPr>
          <w:b/>
          <w:sz w:val="24"/>
          <w:szCs w:val="24"/>
        </w:rPr>
        <w:t>Table S1. Reporting grievances of adult participants (n =409) in the Singapore Employment Experiences Survey and their outcomes.</w:t>
      </w:r>
    </w:p>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0"/>
        <w:gridCol w:w="2655"/>
        <w:gridCol w:w="2655"/>
      </w:tblGrid>
      <w:tr w:rsidR="00EE7CF2">
        <w:tc>
          <w:tcPr>
            <w:tcW w:w="3690" w:type="dxa"/>
            <w:shd w:val="clear" w:color="auto" w:fill="D9D2E9"/>
            <w:tcMar>
              <w:top w:w="100" w:type="dxa"/>
              <w:left w:w="100" w:type="dxa"/>
              <w:bottom w:w="100" w:type="dxa"/>
              <w:right w:w="100" w:type="dxa"/>
            </w:tcMar>
          </w:tcPr>
          <w:p w:rsidR="00EE7CF2" w:rsidRDefault="00000000">
            <w:pPr>
              <w:spacing w:line="240" w:lineRule="auto"/>
              <w:rPr>
                <w:sz w:val="24"/>
                <w:szCs w:val="24"/>
              </w:rPr>
            </w:pPr>
            <w:r>
              <w:rPr>
                <w:sz w:val="24"/>
                <w:szCs w:val="24"/>
              </w:rPr>
              <w:t>Variable</w:t>
            </w:r>
          </w:p>
        </w:tc>
        <w:tc>
          <w:tcPr>
            <w:tcW w:w="2655" w:type="dxa"/>
            <w:shd w:val="clear" w:color="auto" w:fill="D9D2E9"/>
            <w:tcMar>
              <w:top w:w="100" w:type="dxa"/>
              <w:left w:w="100" w:type="dxa"/>
              <w:bottom w:w="100" w:type="dxa"/>
              <w:right w:w="100" w:type="dxa"/>
            </w:tcMar>
          </w:tcPr>
          <w:p w:rsidR="00EE7CF2" w:rsidRDefault="00000000">
            <w:pPr>
              <w:spacing w:line="240" w:lineRule="auto"/>
              <w:jc w:val="center"/>
              <w:rPr>
                <w:sz w:val="24"/>
                <w:szCs w:val="24"/>
              </w:rPr>
            </w:pPr>
            <w:r>
              <w:rPr>
                <w:sz w:val="24"/>
                <w:szCs w:val="24"/>
              </w:rPr>
              <w:t>n</w:t>
            </w:r>
          </w:p>
        </w:tc>
        <w:tc>
          <w:tcPr>
            <w:tcW w:w="2655" w:type="dxa"/>
            <w:shd w:val="clear" w:color="auto" w:fill="D9D2E9"/>
            <w:tcMar>
              <w:top w:w="100" w:type="dxa"/>
              <w:left w:w="100" w:type="dxa"/>
              <w:bottom w:w="100" w:type="dxa"/>
              <w:right w:w="100" w:type="dxa"/>
            </w:tcMar>
          </w:tcPr>
          <w:p w:rsidR="00EE7CF2" w:rsidRDefault="00000000">
            <w:pPr>
              <w:spacing w:line="240" w:lineRule="auto"/>
              <w:jc w:val="center"/>
              <w:rPr>
                <w:sz w:val="24"/>
                <w:szCs w:val="24"/>
              </w:rPr>
            </w:pPr>
            <w:r>
              <w:rPr>
                <w:sz w:val="24"/>
                <w:szCs w:val="24"/>
              </w:rPr>
              <w:t>%</w:t>
            </w:r>
          </w:p>
        </w:tc>
      </w:tr>
      <w:tr w:rsidR="00EE7CF2">
        <w:trPr>
          <w:trHeight w:val="440"/>
        </w:trPr>
        <w:tc>
          <w:tcPr>
            <w:tcW w:w="9000" w:type="dxa"/>
            <w:gridSpan w:val="3"/>
            <w:shd w:val="clear" w:color="auto" w:fill="auto"/>
            <w:tcMar>
              <w:top w:w="100" w:type="dxa"/>
              <w:left w:w="100" w:type="dxa"/>
              <w:bottom w:w="100" w:type="dxa"/>
              <w:right w:w="100" w:type="dxa"/>
            </w:tcMar>
          </w:tcPr>
          <w:p w:rsidR="00EE7CF2" w:rsidRDefault="00000000">
            <w:pPr>
              <w:spacing w:line="240" w:lineRule="auto"/>
              <w:rPr>
                <w:b/>
                <w:sz w:val="24"/>
                <w:szCs w:val="24"/>
              </w:rPr>
            </w:pPr>
            <w:r>
              <w:rPr>
                <w:b/>
                <w:sz w:val="24"/>
                <w:szCs w:val="24"/>
              </w:rPr>
              <w:t>Have ever reported (n = 308)</w:t>
            </w:r>
          </w:p>
        </w:tc>
      </w:tr>
      <w:tr w:rsidR="00EE7CF2">
        <w:tc>
          <w:tcPr>
            <w:tcW w:w="3690" w:type="dxa"/>
            <w:shd w:val="clear" w:color="auto" w:fill="auto"/>
            <w:tcMar>
              <w:top w:w="99" w:type="dxa"/>
              <w:left w:w="99" w:type="dxa"/>
              <w:bottom w:w="99" w:type="dxa"/>
              <w:right w:w="99" w:type="dxa"/>
            </w:tcMar>
          </w:tcPr>
          <w:p w:rsidR="00EE7CF2" w:rsidRDefault="00000000">
            <w:pPr>
              <w:spacing w:line="240" w:lineRule="auto"/>
              <w:ind w:left="720"/>
              <w:rPr>
                <w:sz w:val="24"/>
                <w:szCs w:val="24"/>
              </w:rPr>
            </w:pPr>
            <w:r>
              <w:rPr>
                <w:sz w:val="24"/>
                <w:szCs w:val="24"/>
              </w:rPr>
              <w:t>Within company</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33</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10.71</w:t>
            </w:r>
          </w:p>
        </w:tc>
      </w:tr>
      <w:tr w:rsidR="00EE7CF2">
        <w:tc>
          <w:tcPr>
            <w:tcW w:w="3690" w:type="dxa"/>
            <w:shd w:val="clear" w:color="auto" w:fill="auto"/>
            <w:tcMar>
              <w:top w:w="99" w:type="dxa"/>
              <w:left w:w="99" w:type="dxa"/>
              <w:bottom w:w="99" w:type="dxa"/>
              <w:right w:w="99" w:type="dxa"/>
            </w:tcMar>
          </w:tcPr>
          <w:p w:rsidR="00EE7CF2" w:rsidRDefault="00000000">
            <w:pPr>
              <w:spacing w:line="240" w:lineRule="auto"/>
              <w:ind w:left="720"/>
              <w:rPr>
                <w:sz w:val="24"/>
                <w:szCs w:val="24"/>
              </w:rPr>
            </w:pPr>
            <w:r>
              <w:rPr>
                <w:sz w:val="24"/>
                <w:szCs w:val="24"/>
              </w:rPr>
              <w:t>MOM</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1</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0.32</w:t>
            </w:r>
          </w:p>
        </w:tc>
      </w:tr>
      <w:tr w:rsidR="00EE7CF2">
        <w:tc>
          <w:tcPr>
            <w:tcW w:w="3690" w:type="dxa"/>
            <w:shd w:val="clear" w:color="auto" w:fill="auto"/>
            <w:tcMar>
              <w:top w:w="99" w:type="dxa"/>
              <w:left w:w="99" w:type="dxa"/>
              <w:bottom w:w="99" w:type="dxa"/>
              <w:right w:w="99" w:type="dxa"/>
            </w:tcMar>
          </w:tcPr>
          <w:p w:rsidR="00EE7CF2" w:rsidRDefault="00000000">
            <w:pPr>
              <w:spacing w:line="240" w:lineRule="auto"/>
              <w:ind w:left="720"/>
              <w:rPr>
                <w:sz w:val="24"/>
                <w:szCs w:val="24"/>
              </w:rPr>
            </w:pPr>
            <w:r>
              <w:rPr>
                <w:sz w:val="24"/>
                <w:szCs w:val="24"/>
              </w:rPr>
              <w:t>TAFEP</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3</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0.97</w:t>
            </w:r>
          </w:p>
        </w:tc>
      </w:tr>
      <w:tr w:rsidR="00EE7CF2">
        <w:trPr>
          <w:trHeight w:val="440"/>
        </w:trPr>
        <w:tc>
          <w:tcPr>
            <w:tcW w:w="9000" w:type="dxa"/>
            <w:gridSpan w:val="3"/>
            <w:shd w:val="clear" w:color="auto" w:fill="auto"/>
            <w:tcMar>
              <w:top w:w="99" w:type="dxa"/>
              <w:left w:w="99" w:type="dxa"/>
              <w:bottom w:w="99" w:type="dxa"/>
              <w:right w:w="99" w:type="dxa"/>
            </w:tcMar>
          </w:tcPr>
          <w:p w:rsidR="00EE7CF2" w:rsidRDefault="00000000">
            <w:pPr>
              <w:spacing w:line="240" w:lineRule="auto"/>
              <w:rPr>
                <w:b/>
                <w:sz w:val="24"/>
                <w:szCs w:val="24"/>
              </w:rPr>
            </w:pPr>
            <w:r>
              <w:rPr>
                <w:b/>
                <w:sz w:val="24"/>
                <w:szCs w:val="24"/>
              </w:rPr>
              <w:t>Outcomes from report (n = 32)</w:t>
            </w:r>
          </w:p>
        </w:tc>
      </w:tr>
      <w:tr w:rsidR="00EE7CF2">
        <w:tc>
          <w:tcPr>
            <w:tcW w:w="3690" w:type="dxa"/>
            <w:shd w:val="clear" w:color="auto" w:fill="auto"/>
            <w:tcMar>
              <w:top w:w="100" w:type="dxa"/>
              <w:left w:w="100" w:type="dxa"/>
              <w:bottom w:w="100" w:type="dxa"/>
              <w:right w:w="100" w:type="dxa"/>
            </w:tcMar>
          </w:tcPr>
          <w:p w:rsidR="00EE7CF2" w:rsidRDefault="00000000">
            <w:pPr>
              <w:spacing w:line="240" w:lineRule="auto"/>
              <w:ind w:left="720"/>
              <w:rPr>
                <w:sz w:val="24"/>
                <w:szCs w:val="24"/>
              </w:rPr>
            </w:pPr>
            <w:r>
              <w:rPr>
                <w:sz w:val="24"/>
                <w:szCs w:val="24"/>
              </w:rPr>
              <w:t>No response</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7</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21.88</w:t>
            </w:r>
          </w:p>
        </w:tc>
      </w:tr>
      <w:tr w:rsidR="00EE7CF2">
        <w:tc>
          <w:tcPr>
            <w:tcW w:w="3690" w:type="dxa"/>
            <w:shd w:val="clear" w:color="auto" w:fill="auto"/>
            <w:tcMar>
              <w:top w:w="100" w:type="dxa"/>
              <w:left w:w="100" w:type="dxa"/>
              <w:bottom w:w="100" w:type="dxa"/>
              <w:right w:w="100" w:type="dxa"/>
            </w:tcMar>
          </w:tcPr>
          <w:p w:rsidR="00EE7CF2" w:rsidRDefault="00000000">
            <w:pPr>
              <w:spacing w:line="240" w:lineRule="auto"/>
              <w:ind w:left="720"/>
              <w:rPr>
                <w:sz w:val="24"/>
                <w:szCs w:val="24"/>
              </w:rPr>
            </w:pPr>
            <w:r>
              <w:rPr>
                <w:sz w:val="24"/>
                <w:szCs w:val="24"/>
              </w:rPr>
              <w:t>Dismissed without investigation</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16</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50.00</w:t>
            </w:r>
          </w:p>
        </w:tc>
      </w:tr>
      <w:tr w:rsidR="00EE7CF2">
        <w:tc>
          <w:tcPr>
            <w:tcW w:w="3690" w:type="dxa"/>
            <w:shd w:val="clear" w:color="auto" w:fill="auto"/>
            <w:tcMar>
              <w:top w:w="100" w:type="dxa"/>
              <w:left w:w="100" w:type="dxa"/>
              <w:bottom w:w="100" w:type="dxa"/>
              <w:right w:w="100" w:type="dxa"/>
            </w:tcMar>
          </w:tcPr>
          <w:p w:rsidR="00EE7CF2" w:rsidRDefault="00000000">
            <w:pPr>
              <w:spacing w:line="240" w:lineRule="auto"/>
              <w:ind w:left="720"/>
              <w:rPr>
                <w:sz w:val="24"/>
                <w:szCs w:val="24"/>
              </w:rPr>
            </w:pPr>
            <w:r>
              <w:rPr>
                <w:sz w:val="24"/>
                <w:szCs w:val="24"/>
              </w:rPr>
              <w:t>Dismissed with investigation</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7</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21.88</w:t>
            </w:r>
          </w:p>
        </w:tc>
      </w:tr>
      <w:tr w:rsidR="00EE7CF2">
        <w:tc>
          <w:tcPr>
            <w:tcW w:w="3690" w:type="dxa"/>
            <w:shd w:val="clear" w:color="auto" w:fill="auto"/>
            <w:tcMar>
              <w:top w:w="100" w:type="dxa"/>
              <w:left w:w="100" w:type="dxa"/>
              <w:bottom w:w="100" w:type="dxa"/>
              <w:right w:w="100" w:type="dxa"/>
            </w:tcMar>
          </w:tcPr>
          <w:p w:rsidR="00EE7CF2" w:rsidRDefault="00000000">
            <w:pPr>
              <w:spacing w:line="240" w:lineRule="auto"/>
              <w:ind w:left="720"/>
              <w:rPr>
                <w:sz w:val="24"/>
                <w:szCs w:val="24"/>
              </w:rPr>
            </w:pPr>
            <w:r>
              <w:rPr>
                <w:sz w:val="24"/>
                <w:szCs w:val="24"/>
              </w:rPr>
              <w:t>Actions taken</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7</w:t>
            </w:r>
          </w:p>
        </w:tc>
        <w:tc>
          <w:tcPr>
            <w:tcW w:w="2655" w:type="dxa"/>
            <w:shd w:val="clear" w:color="auto" w:fill="auto"/>
            <w:tcMar>
              <w:top w:w="100" w:type="dxa"/>
              <w:left w:w="100" w:type="dxa"/>
              <w:bottom w:w="100" w:type="dxa"/>
              <w:right w:w="100" w:type="dxa"/>
            </w:tcMar>
          </w:tcPr>
          <w:p w:rsidR="00EE7CF2" w:rsidRDefault="00000000">
            <w:pPr>
              <w:spacing w:line="240" w:lineRule="auto"/>
              <w:jc w:val="center"/>
              <w:rPr>
                <w:sz w:val="24"/>
                <w:szCs w:val="24"/>
              </w:rPr>
            </w:pPr>
            <w:r>
              <w:rPr>
                <w:sz w:val="24"/>
                <w:szCs w:val="24"/>
              </w:rPr>
              <w:t>21.88</w:t>
            </w:r>
          </w:p>
        </w:tc>
      </w:tr>
    </w:tbl>
    <w:p w:rsidR="00EE7CF2" w:rsidRDefault="00EE7CF2">
      <w:pPr>
        <w:spacing w:line="360" w:lineRule="auto"/>
        <w:rPr>
          <w:sz w:val="24"/>
          <w:szCs w:val="24"/>
        </w:rPr>
      </w:pPr>
    </w:p>
    <w:p w:rsidR="00EE7CF2" w:rsidRDefault="00000000">
      <w:pPr>
        <w:pStyle w:val="Heading3"/>
        <w:spacing w:before="0" w:after="0" w:line="360" w:lineRule="auto"/>
        <w:rPr>
          <w:color w:val="000000"/>
          <w:sz w:val="24"/>
          <w:szCs w:val="24"/>
          <w:u w:val="single"/>
        </w:rPr>
      </w:pPr>
      <w:bookmarkStart w:id="2" w:name="_9uschtf3j36w" w:colFirst="0" w:colLast="0"/>
      <w:bookmarkEnd w:id="2"/>
      <w:r>
        <w:rPr>
          <w:color w:val="000000"/>
          <w:sz w:val="24"/>
          <w:szCs w:val="24"/>
          <w:u w:val="single"/>
        </w:rPr>
        <w:lastRenderedPageBreak/>
        <w:t>Experiences when reporting grievances</w:t>
      </w:r>
    </w:p>
    <w:p w:rsidR="00EE7CF2" w:rsidRDefault="00000000">
      <w:pPr>
        <w:spacing w:line="360" w:lineRule="auto"/>
        <w:rPr>
          <w:sz w:val="24"/>
          <w:szCs w:val="24"/>
        </w:rPr>
      </w:pPr>
      <w:r>
        <w:rPr>
          <w:sz w:val="24"/>
          <w:szCs w:val="24"/>
        </w:rPr>
        <w:t>Participants were also asked to share in detail about how their experiences with trying to report their grievances went. Their responses can be mainly grouped into three categories:</w:t>
      </w:r>
    </w:p>
    <w:p w:rsidR="00EE7CF2" w:rsidRDefault="00EE7CF2">
      <w:pPr>
        <w:spacing w:line="360" w:lineRule="auto"/>
        <w:rPr>
          <w:sz w:val="24"/>
          <w:szCs w:val="24"/>
        </w:rPr>
      </w:pPr>
    </w:p>
    <w:p w:rsidR="00EE7CF2" w:rsidRDefault="00000000">
      <w:pPr>
        <w:numPr>
          <w:ilvl w:val="0"/>
          <w:numId w:val="1"/>
        </w:numPr>
        <w:spacing w:line="360" w:lineRule="auto"/>
        <w:rPr>
          <w:sz w:val="24"/>
          <w:szCs w:val="24"/>
        </w:rPr>
      </w:pPr>
      <w:r>
        <w:rPr>
          <w:sz w:val="24"/>
          <w:szCs w:val="24"/>
        </w:rPr>
        <w:t>Told not to report - when trying to make a report, they were advised to drop the case instead</w:t>
      </w:r>
    </w:p>
    <w:p w:rsidR="00EE7CF2" w:rsidRDefault="00EE7CF2">
      <w:pPr>
        <w:spacing w:line="360" w:lineRule="auto"/>
        <w:rPr>
          <w:sz w:val="24"/>
          <w:szCs w:val="24"/>
        </w:rPr>
      </w:pPr>
    </w:p>
    <w:p w:rsidR="00EE7CF2" w:rsidRDefault="00000000">
      <w:pPr>
        <w:spacing w:line="360" w:lineRule="auto"/>
        <w:ind w:left="720"/>
        <w:rPr>
          <w:b/>
          <w:i/>
          <w:sz w:val="24"/>
          <w:szCs w:val="24"/>
        </w:rPr>
      </w:pPr>
      <w:r>
        <w:rPr>
          <w:b/>
          <w:i/>
          <w:sz w:val="24"/>
          <w:szCs w:val="24"/>
        </w:rPr>
        <w:t>“The HR manager told me not to make waves when I told him I was unhappy with my ex-supervisor.”</w:t>
      </w:r>
    </w:p>
    <w:p w:rsidR="00EE7CF2" w:rsidRDefault="00000000">
      <w:pPr>
        <w:spacing w:line="360" w:lineRule="auto"/>
        <w:ind w:left="720"/>
        <w:jc w:val="right"/>
        <w:rPr>
          <w:b/>
          <w:i/>
          <w:sz w:val="24"/>
          <w:szCs w:val="24"/>
        </w:rPr>
      </w:pPr>
      <w:r>
        <w:rPr>
          <w:b/>
          <w:i/>
          <w:sz w:val="24"/>
          <w:szCs w:val="24"/>
        </w:rPr>
        <w:t>- Chinese cisgender gay man</w:t>
      </w:r>
    </w:p>
    <w:p w:rsidR="00EE7CF2" w:rsidRDefault="00EE7CF2">
      <w:pPr>
        <w:spacing w:line="360" w:lineRule="auto"/>
        <w:ind w:left="720"/>
        <w:rPr>
          <w:b/>
          <w:i/>
          <w:sz w:val="24"/>
          <w:szCs w:val="24"/>
        </w:rPr>
      </w:pPr>
    </w:p>
    <w:p w:rsidR="00EE7CF2" w:rsidRDefault="00000000">
      <w:pPr>
        <w:spacing w:line="360" w:lineRule="auto"/>
        <w:ind w:left="720"/>
        <w:rPr>
          <w:b/>
          <w:i/>
          <w:sz w:val="24"/>
          <w:szCs w:val="24"/>
        </w:rPr>
      </w:pPr>
      <w:r>
        <w:rPr>
          <w:b/>
          <w:i/>
          <w:sz w:val="24"/>
          <w:szCs w:val="24"/>
        </w:rPr>
        <w:t>“Convinced me not (to) report the case due to my identity”</w:t>
      </w:r>
    </w:p>
    <w:p w:rsidR="00EE7CF2" w:rsidRDefault="00000000">
      <w:pPr>
        <w:spacing w:line="360" w:lineRule="auto"/>
        <w:ind w:left="720"/>
        <w:jc w:val="right"/>
        <w:rPr>
          <w:b/>
          <w:i/>
          <w:sz w:val="24"/>
          <w:szCs w:val="24"/>
        </w:rPr>
      </w:pPr>
      <w:r>
        <w:rPr>
          <w:b/>
          <w:i/>
          <w:sz w:val="24"/>
          <w:szCs w:val="24"/>
        </w:rPr>
        <w:t>- Chinese cisgender gay man</w:t>
      </w:r>
    </w:p>
    <w:p w:rsidR="00EE7CF2" w:rsidRDefault="00EE7CF2">
      <w:pPr>
        <w:spacing w:line="360" w:lineRule="auto"/>
        <w:ind w:left="720"/>
        <w:jc w:val="right"/>
        <w:rPr>
          <w:b/>
          <w:i/>
          <w:sz w:val="24"/>
          <w:szCs w:val="24"/>
        </w:rPr>
      </w:pPr>
    </w:p>
    <w:p w:rsidR="00EE7CF2" w:rsidRDefault="00000000">
      <w:pPr>
        <w:numPr>
          <w:ilvl w:val="0"/>
          <w:numId w:val="1"/>
        </w:numPr>
        <w:spacing w:line="360" w:lineRule="auto"/>
        <w:rPr>
          <w:sz w:val="24"/>
          <w:szCs w:val="24"/>
        </w:rPr>
      </w:pPr>
      <w:r>
        <w:rPr>
          <w:sz w:val="24"/>
          <w:szCs w:val="24"/>
        </w:rPr>
        <w:t xml:space="preserve">Retaliation - when trying to make a report, they experienced retaliatory behaviors, including harassment, dismissal and other victimizing conduct. </w:t>
      </w:r>
    </w:p>
    <w:p w:rsidR="00EE7CF2" w:rsidRDefault="00EE7CF2">
      <w:pPr>
        <w:spacing w:line="360" w:lineRule="auto"/>
        <w:ind w:left="720"/>
        <w:jc w:val="right"/>
        <w:rPr>
          <w:b/>
          <w:i/>
          <w:sz w:val="24"/>
          <w:szCs w:val="24"/>
        </w:rPr>
      </w:pPr>
    </w:p>
    <w:p w:rsidR="00EE7CF2" w:rsidRDefault="00000000">
      <w:pPr>
        <w:spacing w:line="360" w:lineRule="auto"/>
        <w:ind w:left="720"/>
        <w:rPr>
          <w:b/>
          <w:i/>
          <w:sz w:val="24"/>
          <w:szCs w:val="24"/>
        </w:rPr>
      </w:pPr>
      <w:r>
        <w:rPr>
          <w:b/>
          <w:i/>
          <w:sz w:val="24"/>
          <w:szCs w:val="24"/>
        </w:rPr>
        <w:t>“I was told to suck it up or I can quit if I'm unhappy about it. Nothing was done to the perpetrators. I was made fun of and laughed at, I was called weak and a snowflake for being so sensitive to being sexually harassed. They told me I should learn how to take a joke. I was also told that I should grow up if I want them to take me seriously because they think my complaints were just someone being whiny over some minor inconveniences.”</w:t>
      </w:r>
    </w:p>
    <w:p w:rsidR="00EE7CF2" w:rsidRDefault="00000000">
      <w:pPr>
        <w:spacing w:line="360" w:lineRule="auto"/>
        <w:ind w:left="720"/>
        <w:jc w:val="right"/>
        <w:rPr>
          <w:b/>
          <w:i/>
          <w:sz w:val="24"/>
          <w:szCs w:val="24"/>
        </w:rPr>
      </w:pPr>
      <w:r>
        <w:rPr>
          <w:b/>
          <w:i/>
          <w:sz w:val="24"/>
          <w:szCs w:val="24"/>
        </w:rPr>
        <w:t>Chinese transgender man</w:t>
      </w:r>
    </w:p>
    <w:p w:rsidR="00EE7CF2" w:rsidRDefault="00EE7CF2">
      <w:pPr>
        <w:spacing w:line="360" w:lineRule="auto"/>
        <w:ind w:left="720"/>
        <w:jc w:val="right"/>
        <w:rPr>
          <w:b/>
          <w:i/>
          <w:sz w:val="24"/>
          <w:szCs w:val="24"/>
        </w:rPr>
      </w:pPr>
    </w:p>
    <w:p w:rsidR="00EE7CF2" w:rsidRDefault="00000000">
      <w:pPr>
        <w:spacing w:line="360" w:lineRule="auto"/>
        <w:ind w:left="720"/>
        <w:rPr>
          <w:b/>
          <w:i/>
          <w:sz w:val="24"/>
          <w:szCs w:val="24"/>
        </w:rPr>
      </w:pPr>
      <w:r>
        <w:rPr>
          <w:b/>
          <w:i/>
          <w:sz w:val="24"/>
          <w:szCs w:val="24"/>
        </w:rPr>
        <w:t>“In my previous job they simply fired me without explanation when I was uncomfortably asked about my sexuality and visibly upset about it. In my current job, although management did reaffirm that discrimination has no place in the office, they did not investigate or resolve the issue. I was told to apologize to the aggressor.”</w:t>
      </w:r>
    </w:p>
    <w:p w:rsidR="00EE7CF2" w:rsidRDefault="00000000">
      <w:pPr>
        <w:spacing w:line="360" w:lineRule="auto"/>
        <w:ind w:left="720"/>
        <w:jc w:val="right"/>
        <w:rPr>
          <w:b/>
          <w:i/>
          <w:sz w:val="24"/>
          <w:szCs w:val="24"/>
        </w:rPr>
      </w:pPr>
      <w:r>
        <w:rPr>
          <w:b/>
          <w:i/>
          <w:sz w:val="24"/>
          <w:szCs w:val="24"/>
        </w:rPr>
        <w:t>Chinese cisgender gay man</w:t>
      </w:r>
    </w:p>
    <w:p w:rsidR="00EE7CF2" w:rsidRDefault="00EE7CF2">
      <w:pPr>
        <w:spacing w:line="360" w:lineRule="auto"/>
        <w:ind w:left="720"/>
        <w:jc w:val="right"/>
        <w:rPr>
          <w:b/>
          <w:i/>
          <w:sz w:val="24"/>
          <w:szCs w:val="24"/>
        </w:rPr>
      </w:pPr>
    </w:p>
    <w:p w:rsidR="00EE7CF2" w:rsidRDefault="00000000">
      <w:pPr>
        <w:numPr>
          <w:ilvl w:val="0"/>
          <w:numId w:val="1"/>
        </w:numPr>
        <w:spacing w:line="360" w:lineRule="auto"/>
        <w:rPr>
          <w:sz w:val="24"/>
          <w:szCs w:val="24"/>
        </w:rPr>
      </w:pPr>
      <w:r>
        <w:rPr>
          <w:sz w:val="24"/>
          <w:szCs w:val="24"/>
        </w:rPr>
        <w:lastRenderedPageBreak/>
        <w:t xml:space="preserve">Legal ambiguity - Some employers choose not to take action on the basis that Singapore law does not protect or </w:t>
      </w:r>
      <w:proofErr w:type="spellStart"/>
      <w:r>
        <w:rPr>
          <w:sz w:val="24"/>
          <w:szCs w:val="24"/>
        </w:rPr>
        <w:t>recognise</w:t>
      </w:r>
      <w:proofErr w:type="spellEnd"/>
      <w:r>
        <w:rPr>
          <w:sz w:val="24"/>
          <w:szCs w:val="24"/>
        </w:rPr>
        <w:t xml:space="preserve"> LGBTQ persons. </w:t>
      </w:r>
    </w:p>
    <w:p w:rsidR="00EE7CF2" w:rsidRDefault="00EE7CF2">
      <w:pPr>
        <w:spacing w:line="360" w:lineRule="auto"/>
        <w:ind w:left="720"/>
        <w:jc w:val="right"/>
        <w:rPr>
          <w:b/>
          <w:i/>
          <w:sz w:val="24"/>
          <w:szCs w:val="24"/>
        </w:rPr>
      </w:pPr>
    </w:p>
    <w:p w:rsidR="00EE7CF2" w:rsidRDefault="00000000">
      <w:pPr>
        <w:spacing w:line="360" w:lineRule="auto"/>
        <w:ind w:left="720"/>
        <w:rPr>
          <w:b/>
          <w:i/>
          <w:sz w:val="24"/>
          <w:szCs w:val="24"/>
        </w:rPr>
      </w:pPr>
      <w:r>
        <w:rPr>
          <w:b/>
          <w:i/>
          <w:sz w:val="24"/>
          <w:szCs w:val="24"/>
        </w:rPr>
        <w:t xml:space="preserve">“There was no redress, HR representative shrugged their shoulders and said their hands were tied as same-sex marriage is not legally </w:t>
      </w:r>
      <w:proofErr w:type="spellStart"/>
      <w:r>
        <w:rPr>
          <w:b/>
          <w:i/>
          <w:sz w:val="24"/>
          <w:szCs w:val="24"/>
        </w:rPr>
        <w:t>recognised</w:t>
      </w:r>
      <w:proofErr w:type="spellEnd"/>
      <w:r>
        <w:rPr>
          <w:b/>
          <w:i/>
          <w:sz w:val="24"/>
          <w:szCs w:val="24"/>
        </w:rPr>
        <w:t xml:space="preserve"> in Singapore. I ended up resigning.”</w:t>
      </w:r>
    </w:p>
    <w:p w:rsidR="00EE7CF2" w:rsidRDefault="00000000">
      <w:pPr>
        <w:spacing w:line="360" w:lineRule="auto"/>
        <w:ind w:left="720"/>
        <w:jc w:val="right"/>
        <w:rPr>
          <w:b/>
          <w:i/>
          <w:sz w:val="24"/>
          <w:szCs w:val="24"/>
        </w:rPr>
      </w:pPr>
      <w:r>
        <w:rPr>
          <w:b/>
          <w:i/>
          <w:sz w:val="24"/>
          <w:szCs w:val="24"/>
        </w:rPr>
        <w:t>Chinese cisgender bisexual woman</w:t>
      </w:r>
    </w:p>
    <w:p w:rsidR="00EE7CF2" w:rsidRDefault="00EE7CF2">
      <w:pPr>
        <w:spacing w:line="360" w:lineRule="auto"/>
        <w:ind w:left="720"/>
        <w:jc w:val="right"/>
        <w:rPr>
          <w:b/>
          <w:i/>
          <w:sz w:val="24"/>
          <w:szCs w:val="24"/>
        </w:rPr>
      </w:pPr>
    </w:p>
    <w:p w:rsidR="00EE7CF2" w:rsidRDefault="00000000">
      <w:pPr>
        <w:pStyle w:val="Heading3"/>
        <w:spacing w:before="0" w:after="0" w:line="360" w:lineRule="auto"/>
        <w:rPr>
          <w:color w:val="000000"/>
          <w:sz w:val="24"/>
          <w:szCs w:val="24"/>
          <w:u w:val="single"/>
        </w:rPr>
      </w:pPr>
      <w:bookmarkStart w:id="3" w:name="_8gm7fibz835g" w:colFirst="0" w:colLast="0"/>
      <w:bookmarkEnd w:id="3"/>
      <w:r>
        <w:rPr>
          <w:color w:val="000000"/>
          <w:sz w:val="24"/>
          <w:szCs w:val="24"/>
          <w:u w:val="single"/>
        </w:rPr>
        <w:t>Reasons for not reporting grievances</w:t>
      </w:r>
    </w:p>
    <w:p w:rsidR="00EE7CF2" w:rsidRDefault="00000000">
      <w:pPr>
        <w:spacing w:line="360" w:lineRule="auto"/>
        <w:rPr>
          <w:sz w:val="24"/>
          <w:szCs w:val="24"/>
        </w:rPr>
      </w:pPr>
      <w:r>
        <w:rPr>
          <w:sz w:val="24"/>
          <w:szCs w:val="24"/>
        </w:rPr>
        <w:t>When asked to elaborate on why they chose not to report their experiences of discrimination and harassment, 67.38% (n = 188) said that it was because they expected a lack of support even if they made a report. 80.29% (n = 224) said they did not report it because they feared the risk of retaliation especially since they would have to out themselves to make a report. A more detailed breakdown of reasons can be found in Table S2.</w:t>
      </w:r>
    </w:p>
    <w:p w:rsidR="00EE7CF2" w:rsidRDefault="00EE7CF2">
      <w:pPr>
        <w:spacing w:line="360" w:lineRule="auto"/>
        <w:rPr>
          <w:sz w:val="24"/>
          <w:szCs w:val="24"/>
        </w:rPr>
      </w:pPr>
    </w:p>
    <w:p w:rsidR="00EE7CF2" w:rsidRDefault="00000000">
      <w:pPr>
        <w:spacing w:line="360" w:lineRule="auto"/>
        <w:rPr>
          <w:rFonts w:ascii="Montserrat" w:eastAsia="Montserrat" w:hAnsi="Montserrat" w:cs="Montserrat"/>
          <w:i/>
          <w:sz w:val="20"/>
          <w:szCs w:val="20"/>
        </w:rPr>
      </w:pPr>
      <w:r>
        <w:rPr>
          <w:b/>
          <w:sz w:val="24"/>
          <w:szCs w:val="24"/>
        </w:rPr>
        <w:t>Table S2. Reasons for not reporting grievances of adult participants (n = 409) in the Singapore Employment Experiences Survey, 2023.</w:t>
      </w:r>
    </w:p>
    <w:tbl>
      <w:tblPr>
        <w:tblStyle w:val="a0"/>
        <w:tblW w:w="88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85"/>
        <w:gridCol w:w="1875"/>
        <w:gridCol w:w="1935"/>
      </w:tblGrid>
      <w:tr w:rsidR="00EE7CF2">
        <w:tc>
          <w:tcPr>
            <w:tcW w:w="5085" w:type="dxa"/>
            <w:shd w:val="clear" w:color="auto" w:fill="D9D2E9"/>
            <w:tcMar>
              <w:top w:w="100" w:type="dxa"/>
              <w:left w:w="100" w:type="dxa"/>
              <w:bottom w:w="100" w:type="dxa"/>
              <w:right w:w="100" w:type="dxa"/>
            </w:tcMar>
          </w:tcPr>
          <w:p w:rsidR="00EE7CF2" w:rsidRDefault="00EE7CF2">
            <w:pPr>
              <w:widowControl w:val="0"/>
              <w:spacing w:line="240" w:lineRule="auto"/>
              <w:rPr>
                <w:sz w:val="24"/>
                <w:szCs w:val="24"/>
              </w:rPr>
            </w:pPr>
          </w:p>
        </w:tc>
        <w:tc>
          <w:tcPr>
            <w:tcW w:w="1875" w:type="dxa"/>
            <w:shd w:val="clear" w:color="auto" w:fill="D9D2E9"/>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n</w:t>
            </w:r>
          </w:p>
        </w:tc>
        <w:tc>
          <w:tcPr>
            <w:tcW w:w="1935" w:type="dxa"/>
            <w:shd w:val="clear" w:color="auto" w:fill="D9D2E9"/>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w:t>
            </w:r>
          </w:p>
        </w:tc>
      </w:tr>
      <w:tr w:rsidR="00EE7CF2">
        <w:trPr>
          <w:trHeight w:val="380"/>
        </w:trPr>
        <w:tc>
          <w:tcPr>
            <w:tcW w:w="8895" w:type="dxa"/>
            <w:gridSpan w:val="3"/>
            <w:shd w:val="clear" w:color="auto" w:fill="auto"/>
            <w:tcMar>
              <w:top w:w="100" w:type="dxa"/>
              <w:left w:w="100" w:type="dxa"/>
              <w:bottom w:w="100" w:type="dxa"/>
              <w:right w:w="100" w:type="dxa"/>
            </w:tcMar>
          </w:tcPr>
          <w:p w:rsidR="00EE7CF2" w:rsidRDefault="00000000">
            <w:pPr>
              <w:widowControl w:val="0"/>
              <w:spacing w:line="240" w:lineRule="auto"/>
              <w:rPr>
                <w:b/>
                <w:sz w:val="24"/>
                <w:szCs w:val="24"/>
              </w:rPr>
            </w:pPr>
            <w:r>
              <w:rPr>
                <w:b/>
                <w:sz w:val="24"/>
                <w:szCs w:val="24"/>
              </w:rPr>
              <w:t>Expected a lack of support from…</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Company</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268</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60.22</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MOM</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115</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41.22</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TAFEP</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96</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34.41</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Overall</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188</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67.38</w:t>
            </w:r>
          </w:p>
        </w:tc>
      </w:tr>
      <w:tr w:rsidR="00EE7CF2">
        <w:tc>
          <w:tcPr>
            <w:tcW w:w="8895" w:type="dxa"/>
            <w:gridSpan w:val="3"/>
            <w:shd w:val="clear" w:color="auto" w:fill="auto"/>
            <w:tcMar>
              <w:top w:w="100" w:type="dxa"/>
              <w:left w:w="100" w:type="dxa"/>
              <w:bottom w:w="100" w:type="dxa"/>
              <w:right w:w="100" w:type="dxa"/>
            </w:tcMar>
          </w:tcPr>
          <w:p w:rsidR="00EE7CF2" w:rsidRDefault="00000000">
            <w:pPr>
              <w:widowControl w:val="0"/>
              <w:spacing w:line="240" w:lineRule="auto"/>
              <w:rPr>
                <w:b/>
                <w:sz w:val="24"/>
                <w:szCs w:val="24"/>
              </w:rPr>
            </w:pPr>
            <w:r>
              <w:rPr>
                <w:b/>
                <w:sz w:val="24"/>
                <w:szCs w:val="24"/>
              </w:rPr>
              <w:t>Expected additional penalties</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Outing themselves by reporting</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150</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53.76</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Retaliation from perpetrator</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107</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38.35</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Backlash from employer</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145</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51.97</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Further discrimination from employer</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151</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54.12</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t>Others</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52</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18.64</w:t>
            </w:r>
          </w:p>
        </w:tc>
      </w:tr>
      <w:tr w:rsidR="00EE7CF2">
        <w:tc>
          <w:tcPr>
            <w:tcW w:w="5085" w:type="dxa"/>
            <w:shd w:val="clear" w:color="auto" w:fill="auto"/>
            <w:tcMar>
              <w:top w:w="100" w:type="dxa"/>
              <w:left w:w="100" w:type="dxa"/>
              <w:bottom w:w="100" w:type="dxa"/>
              <w:right w:w="100" w:type="dxa"/>
            </w:tcMar>
          </w:tcPr>
          <w:p w:rsidR="00EE7CF2" w:rsidRDefault="00000000">
            <w:pPr>
              <w:widowControl w:val="0"/>
              <w:spacing w:line="240" w:lineRule="auto"/>
              <w:ind w:left="720"/>
              <w:rPr>
                <w:sz w:val="24"/>
                <w:szCs w:val="24"/>
              </w:rPr>
            </w:pPr>
            <w:r>
              <w:rPr>
                <w:sz w:val="24"/>
                <w:szCs w:val="24"/>
              </w:rPr>
              <w:lastRenderedPageBreak/>
              <w:t>Overall</w:t>
            </w:r>
          </w:p>
        </w:tc>
        <w:tc>
          <w:tcPr>
            <w:tcW w:w="187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224</w:t>
            </w:r>
          </w:p>
        </w:tc>
        <w:tc>
          <w:tcPr>
            <w:tcW w:w="1935"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80.29</w:t>
            </w:r>
          </w:p>
        </w:tc>
      </w:tr>
    </w:tbl>
    <w:p w:rsidR="00EE7CF2" w:rsidRDefault="00EE7CF2">
      <w:pPr>
        <w:spacing w:line="360" w:lineRule="auto"/>
        <w:rPr>
          <w:sz w:val="24"/>
          <w:szCs w:val="24"/>
        </w:rPr>
      </w:pPr>
    </w:p>
    <w:p w:rsidR="00EE7CF2" w:rsidRDefault="00000000">
      <w:pPr>
        <w:pStyle w:val="Heading2"/>
        <w:spacing w:before="0" w:after="0" w:line="360" w:lineRule="auto"/>
        <w:rPr>
          <w:sz w:val="24"/>
          <w:szCs w:val="24"/>
        </w:rPr>
      </w:pPr>
      <w:bookmarkStart w:id="4" w:name="_8ca0i3715uqq" w:colFirst="0" w:colLast="0"/>
      <w:bookmarkEnd w:id="4"/>
      <w:r>
        <w:rPr>
          <w:b/>
          <w:sz w:val="24"/>
          <w:szCs w:val="24"/>
        </w:rPr>
        <w:t>Contributing factors for increased discrimination and harassment</w:t>
      </w:r>
    </w:p>
    <w:p w:rsidR="00EE7CF2" w:rsidRDefault="00000000">
      <w:pPr>
        <w:pStyle w:val="Heading3"/>
        <w:spacing w:before="0" w:after="0" w:line="360" w:lineRule="auto"/>
        <w:rPr>
          <w:color w:val="000000"/>
          <w:sz w:val="24"/>
          <w:szCs w:val="24"/>
          <w:u w:val="single"/>
        </w:rPr>
      </w:pPr>
      <w:bookmarkStart w:id="5" w:name="_9r6w7juv3pl5" w:colFirst="0" w:colLast="0"/>
      <w:bookmarkEnd w:id="5"/>
      <w:r>
        <w:rPr>
          <w:color w:val="000000"/>
          <w:sz w:val="24"/>
          <w:szCs w:val="24"/>
          <w:u w:val="single"/>
        </w:rPr>
        <w:t>Intersectionality of contributing factors</w:t>
      </w:r>
    </w:p>
    <w:p w:rsidR="00EE7CF2" w:rsidRDefault="00000000">
      <w:pPr>
        <w:spacing w:line="360" w:lineRule="auto"/>
        <w:rPr>
          <w:sz w:val="24"/>
          <w:szCs w:val="24"/>
        </w:rPr>
      </w:pPr>
      <w:r>
        <w:rPr>
          <w:sz w:val="24"/>
          <w:szCs w:val="24"/>
        </w:rPr>
        <w:t xml:space="preserve">Aside from race and gender identity contributing independently to the likelihood of experiencing an increased amount of discrimination and harassment, we evaluated if having multiple minority identities would be a contributing factor to experiencing a greater variety in types of discrimination and harassment experienced. In order to analyze this, a multiple linear regression involving age, how out the participants were to their co-workers, the amount of covering behaviors they engaged in at the workplace, and a combined minority score (gender identity, sexual orientation, and race) was done. Results can be found in Table S3. </w:t>
      </w:r>
    </w:p>
    <w:p w:rsidR="00EE7CF2" w:rsidRDefault="00EE7CF2">
      <w:pPr>
        <w:spacing w:line="360" w:lineRule="auto"/>
        <w:rPr>
          <w:sz w:val="24"/>
          <w:szCs w:val="24"/>
        </w:rPr>
      </w:pPr>
    </w:p>
    <w:p w:rsidR="00EE7CF2" w:rsidRDefault="00000000">
      <w:pPr>
        <w:spacing w:line="360" w:lineRule="auto"/>
        <w:rPr>
          <w:sz w:val="24"/>
          <w:szCs w:val="24"/>
        </w:rPr>
      </w:pPr>
      <w:r>
        <w:rPr>
          <w:sz w:val="24"/>
          <w:szCs w:val="24"/>
        </w:rPr>
        <w:t>How out the participants were to their co-workers (adjusted coefficient [a</w:t>
      </w:r>
      <w:proofErr w:type="gramStart"/>
      <w:r>
        <w:rPr>
          <w:sz w:val="24"/>
          <w:szCs w:val="24"/>
        </w:rPr>
        <w:t>β]=</w:t>
      </w:r>
      <w:proofErr w:type="gramEnd"/>
      <w:r>
        <w:rPr>
          <w:sz w:val="24"/>
          <w:szCs w:val="24"/>
        </w:rPr>
        <w:t>0.19, CI 0.10, 0.28) and the combined minority score (aβ=0.51, CI 0.29, 0.73) had a significant positive regression weight, indicating that participants who were more out and had more minority statuses would have experienced increased types of lifetime discrimination and harassment. The amount of covering behaviors engaged in also had a positive regression weight, indicating that participants who engaged in more covering behaviors at the workplace would have also experienced increased levels of lifetime discrimination and harassment. Age did not contribute significantly to this model.</w:t>
      </w:r>
    </w:p>
    <w:p w:rsidR="00EE7CF2" w:rsidRDefault="00EE7CF2">
      <w:pPr>
        <w:spacing w:line="360" w:lineRule="auto"/>
        <w:rPr>
          <w:sz w:val="24"/>
          <w:szCs w:val="24"/>
        </w:rPr>
      </w:pPr>
    </w:p>
    <w:p w:rsidR="00EE7CF2" w:rsidRDefault="00000000">
      <w:pPr>
        <w:spacing w:line="360" w:lineRule="auto"/>
        <w:rPr>
          <w:b/>
          <w:sz w:val="24"/>
          <w:szCs w:val="24"/>
        </w:rPr>
      </w:pPr>
      <w:r>
        <w:rPr>
          <w:b/>
          <w:sz w:val="24"/>
          <w:szCs w:val="24"/>
        </w:rPr>
        <w:t>Table S3. Results from Regression Analysis for Overall Discrimination and Harassment by Age, Outness to Co-workers, Covering Behaviors at the Workplace, and Minority Score of adult participants (n = 409) in the Singapore Employment Experiences Survey, 2023.</w:t>
      </w:r>
    </w:p>
    <w:tbl>
      <w:tblPr>
        <w:tblStyle w:val="a1"/>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5"/>
        <w:gridCol w:w="1505"/>
        <w:gridCol w:w="1504"/>
        <w:gridCol w:w="1504"/>
        <w:gridCol w:w="1504"/>
        <w:gridCol w:w="1504"/>
      </w:tblGrid>
      <w:tr w:rsidR="00EE7CF2">
        <w:tc>
          <w:tcPr>
            <w:tcW w:w="1504" w:type="dxa"/>
            <w:shd w:val="clear" w:color="auto" w:fill="D9D2E9"/>
            <w:tcMar>
              <w:top w:w="100" w:type="dxa"/>
              <w:left w:w="100" w:type="dxa"/>
              <w:bottom w:w="100" w:type="dxa"/>
              <w:right w:w="100" w:type="dxa"/>
            </w:tcMar>
          </w:tcPr>
          <w:p w:rsidR="00EE7CF2" w:rsidRDefault="00000000">
            <w:pPr>
              <w:widowControl w:val="0"/>
              <w:spacing w:line="240" w:lineRule="auto"/>
              <w:rPr>
                <w:b/>
                <w:sz w:val="24"/>
                <w:szCs w:val="24"/>
              </w:rPr>
            </w:pPr>
            <w:r>
              <w:rPr>
                <w:b/>
                <w:sz w:val="24"/>
                <w:szCs w:val="24"/>
              </w:rPr>
              <w:t>Variable</w:t>
            </w:r>
          </w:p>
        </w:tc>
        <w:tc>
          <w:tcPr>
            <w:tcW w:w="1504" w:type="dxa"/>
            <w:shd w:val="clear" w:color="auto" w:fill="D9D2E9"/>
            <w:tcMar>
              <w:top w:w="100" w:type="dxa"/>
              <w:left w:w="100" w:type="dxa"/>
              <w:bottom w:w="100" w:type="dxa"/>
              <w:right w:w="100" w:type="dxa"/>
            </w:tcMar>
          </w:tcPr>
          <w:p w:rsidR="00EE7CF2" w:rsidRDefault="00000000">
            <w:pPr>
              <w:widowControl w:val="0"/>
              <w:spacing w:line="240" w:lineRule="auto"/>
              <w:jc w:val="center"/>
              <w:rPr>
                <w:b/>
                <w:sz w:val="24"/>
                <w:szCs w:val="24"/>
              </w:rPr>
            </w:pPr>
            <w:r>
              <w:rPr>
                <w:b/>
                <w:sz w:val="24"/>
                <w:szCs w:val="24"/>
              </w:rPr>
              <w:t>Coefficient</w:t>
            </w:r>
          </w:p>
        </w:tc>
        <w:tc>
          <w:tcPr>
            <w:tcW w:w="1504" w:type="dxa"/>
            <w:shd w:val="clear" w:color="auto" w:fill="D9D2E9"/>
            <w:tcMar>
              <w:top w:w="100" w:type="dxa"/>
              <w:left w:w="100" w:type="dxa"/>
              <w:bottom w:w="100" w:type="dxa"/>
              <w:right w:w="100" w:type="dxa"/>
            </w:tcMar>
          </w:tcPr>
          <w:p w:rsidR="00EE7CF2" w:rsidRDefault="00000000">
            <w:pPr>
              <w:widowControl w:val="0"/>
              <w:spacing w:line="240" w:lineRule="auto"/>
              <w:jc w:val="center"/>
              <w:rPr>
                <w:b/>
                <w:sz w:val="24"/>
                <w:szCs w:val="24"/>
              </w:rPr>
            </w:pPr>
            <w:r>
              <w:rPr>
                <w:b/>
                <w:sz w:val="24"/>
                <w:szCs w:val="24"/>
              </w:rPr>
              <w:t>Std. Err.</w:t>
            </w:r>
          </w:p>
        </w:tc>
        <w:tc>
          <w:tcPr>
            <w:tcW w:w="1504" w:type="dxa"/>
            <w:shd w:val="clear" w:color="auto" w:fill="D9D2E9"/>
            <w:tcMar>
              <w:top w:w="100" w:type="dxa"/>
              <w:left w:w="100" w:type="dxa"/>
              <w:bottom w:w="100" w:type="dxa"/>
              <w:right w:w="100" w:type="dxa"/>
            </w:tcMar>
          </w:tcPr>
          <w:p w:rsidR="00EE7CF2" w:rsidRDefault="00000000">
            <w:pPr>
              <w:widowControl w:val="0"/>
              <w:spacing w:line="240" w:lineRule="auto"/>
              <w:jc w:val="center"/>
              <w:rPr>
                <w:b/>
                <w:sz w:val="24"/>
                <w:szCs w:val="24"/>
              </w:rPr>
            </w:pPr>
            <w:r>
              <w:rPr>
                <w:b/>
                <w:sz w:val="24"/>
                <w:szCs w:val="24"/>
              </w:rPr>
              <w:t>p</w:t>
            </w:r>
          </w:p>
        </w:tc>
        <w:tc>
          <w:tcPr>
            <w:tcW w:w="1504" w:type="dxa"/>
            <w:shd w:val="clear" w:color="auto" w:fill="D9D2E9"/>
            <w:tcMar>
              <w:top w:w="100" w:type="dxa"/>
              <w:left w:w="100" w:type="dxa"/>
              <w:bottom w:w="100" w:type="dxa"/>
              <w:right w:w="100" w:type="dxa"/>
            </w:tcMar>
          </w:tcPr>
          <w:p w:rsidR="00EE7CF2" w:rsidRDefault="00000000">
            <w:pPr>
              <w:widowControl w:val="0"/>
              <w:spacing w:line="240" w:lineRule="auto"/>
              <w:jc w:val="center"/>
              <w:rPr>
                <w:b/>
                <w:sz w:val="24"/>
                <w:szCs w:val="24"/>
              </w:rPr>
            </w:pPr>
            <w:r>
              <w:rPr>
                <w:b/>
                <w:sz w:val="24"/>
                <w:szCs w:val="24"/>
              </w:rPr>
              <w:t>Tolerance</w:t>
            </w:r>
          </w:p>
        </w:tc>
        <w:tc>
          <w:tcPr>
            <w:tcW w:w="1504" w:type="dxa"/>
            <w:shd w:val="clear" w:color="auto" w:fill="D9D2E9"/>
            <w:tcMar>
              <w:top w:w="100" w:type="dxa"/>
              <w:left w:w="100" w:type="dxa"/>
              <w:bottom w:w="100" w:type="dxa"/>
              <w:right w:w="100" w:type="dxa"/>
            </w:tcMar>
          </w:tcPr>
          <w:p w:rsidR="00EE7CF2" w:rsidRDefault="00000000">
            <w:pPr>
              <w:widowControl w:val="0"/>
              <w:spacing w:line="240" w:lineRule="auto"/>
              <w:jc w:val="center"/>
              <w:rPr>
                <w:b/>
                <w:sz w:val="24"/>
                <w:szCs w:val="24"/>
              </w:rPr>
            </w:pPr>
            <w:r>
              <w:rPr>
                <w:b/>
                <w:sz w:val="24"/>
                <w:szCs w:val="24"/>
              </w:rPr>
              <w:t>VIF</w:t>
            </w:r>
          </w:p>
        </w:tc>
      </w:tr>
      <w:tr w:rsidR="00EE7CF2">
        <w:tc>
          <w:tcPr>
            <w:tcW w:w="1504" w:type="dxa"/>
            <w:shd w:val="clear" w:color="auto" w:fill="auto"/>
            <w:tcMar>
              <w:top w:w="100" w:type="dxa"/>
              <w:left w:w="100" w:type="dxa"/>
              <w:bottom w:w="100" w:type="dxa"/>
              <w:right w:w="100" w:type="dxa"/>
            </w:tcMar>
          </w:tcPr>
          <w:p w:rsidR="00EE7CF2" w:rsidRDefault="00000000">
            <w:pPr>
              <w:widowControl w:val="0"/>
              <w:spacing w:line="240" w:lineRule="auto"/>
              <w:rPr>
                <w:sz w:val="24"/>
                <w:szCs w:val="24"/>
              </w:rPr>
            </w:pPr>
            <w:r>
              <w:rPr>
                <w:sz w:val="24"/>
                <w:szCs w:val="24"/>
              </w:rPr>
              <w:t>Outness to Co-workers</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0.194</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0.046</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0.000</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0.925</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1.08</w:t>
            </w:r>
          </w:p>
        </w:tc>
      </w:tr>
      <w:tr w:rsidR="00EE7CF2">
        <w:tc>
          <w:tcPr>
            <w:tcW w:w="1504" w:type="dxa"/>
            <w:shd w:val="clear" w:color="auto" w:fill="auto"/>
            <w:tcMar>
              <w:top w:w="100" w:type="dxa"/>
              <w:left w:w="100" w:type="dxa"/>
              <w:bottom w:w="100" w:type="dxa"/>
              <w:right w:w="100" w:type="dxa"/>
            </w:tcMar>
          </w:tcPr>
          <w:p w:rsidR="00EE7CF2" w:rsidRDefault="00000000">
            <w:pPr>
              <w:widowControl w:val="0"/>
              <w:spacing w:line="240" w:lineRule="auto"/>
              <w:rPr>
                <w:sz w:val="24"/>
                <w:szCs w:val="24"/>
              </w:rPr>
            </w:pPr>
            <w:r>
              <w:rPr>
                <w:sz w:val="24"/>
                <w:szCs w:val="24"/>
              </w:rPr>
              <w:t>Minority Score</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0.509</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0.111</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0.000</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0.942</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1.06</w:t>
            </w:r>
          </w:p>
        </w:tc>
      </w:tr>
      <w:tr w:rsidR="00EE7CF2">
        <w:tc>
          <w:tcPr>
            <w:tcW w:w="1504" w:type="dxa"/>
            <w:shd w:val="clear" w:color="auto" w:fill="auto"/>
            <w:tcMar>
              <w:top w:w="100" w:type="dxa"/>
              <w:left w:w="100" w:type="dxa"/>
              <w:bottom w:w="100" w:type="dxa"/>
              <w:right w:w="100" w:type="dxa"/>
            </w:tcMar>
          </w:tcPr>
          <w:p w:rsidR="00EE7CF2" w:rsidRDefault="00000000">
            <w:pPr>
              <w:widowControl w:val="0"/>
              <w:spacing w:line="240" w:lineRule="auto"/>
              <w:rPr>
                <w:sz w:val="24"/>
                <w:szCs w:val="24"/>
              </w:rPr>
            </w:pPr>
            <w:r>
              <w:rPr>
                <w:sz w:val="24"/>
                <w:szCs w:val="24"/>
              </w:rPr>
              <w:t xml:space="preserve">Covering </w:t>
            </w:r>
            <w:r>
              <w:rPr>
                <w:sz w:val="24"/>
                <w:szCs w:val="24"/>
              </w:rPr>
              <w:lastRenderedPageBreak/>
              <w:t>Score</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lastRenderedPageBreak/>
              <w:t>0.182</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0.022</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0.000</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0.945</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1.06</w:t>
            </w:r>
          </w:p>
        </w:tc>
      </w:tr>
      <w:tr w:rsidR="00EE7CF2">
        <w:tc>
          <w:tcPr>
            <w:tcW w:w="1504" w:type="dxa"/>
            <w:shd w:val="clear" w:color="auto" w:fill="auto"/>
            <w:tcMar>
              <w:top w:w="100" w:type="dxa"/>
              <w:left w:w="100" w:type="dxa"/>
              <w:bottom w:w="100" w:type="dxa"/>
              <w:right w:w="100" w:type="dxa"/>
            </w:tcMar>
          </w:tcPr>
          <w:p w:rsidR="00EE7CF2" w:rsidRDefault="00000000">
            <w:pPr>
              <w:widowControl w:val="0"/>
              <w:spacing w:line="240" w:lineRule="auto"/>
              <w:rPr>
                <w:sz w:val="24"/>
                <w:szCs w:val="24"/>
              </w:rPr>
            </w:pPr>
            <w:r>
              <w:rPr>
                <w:sz w:val="24"/>
                <w:szCs w:val="24"/>
              </w:rPr>
              <w:t>Age</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0.015</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0.0089</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0.073</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0.958</w:t>
            </w:r>
          </w:p>
        </w:tc>
        <w:tc>
          <w:tcPr>
            <w:tcW w:w="1504" w:type="dxa"/>
            <w:shd w:val="clear" w:color="auto" w:fill="auto"/>
            <w:tcMar>
              <w:top w:w="100" w:type="dxa"/>
              <w:left w:w="100" w:type="dxa"/>
              <w:bottom w:w="100" w:type="dxa"/>
              <w:right w:w="100" w:type="dxa"/>
            </w:tcMar>
          </w:tcPr>
          <w:p w:rsidR="00EE7CF2" w:rsidRDefault="00000000">
            <w:pPr>
              <w:widowControl w:val="0"/>
              <w:spacing w:line="240" w:lineRule="auto"/>
              <w:jc w:val="center"/>
              <w:rPr>
                <w:sz w:val="24"/>
                <w:szCs w:val="24"/>
              </w:rPr>
            </w:pPr>
            <w:r>
              <w:rPr>
                <w:sz w:val="24"/>
                <w:szCs w:val="24"/>
              </w:rPr>
              <w:t>1.04</w:t>
            </w:r>
          </w:p>
        </w:tc>
      </w:tr>
    </w:tbl>
    <w:p w:rsidR="00EE7CF2" w:rsidRDefault="00EE7CF2"/>
    <w:sectPr w:rsidR="00EE7CF2">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76678" w:rsidRDefault="00876678" w:rsidP="006B4872">
      <w:pPr>
        <w:spacing w:line="240" w:lineRule="auto"/>
      </w:pPr>
      <w:r>
        <w:separator/>
      </w:r>
    </w:p>
  </w:endnote>
  <w:endnote w:type="continuationSeparator" w:id="0">
    <w:p w:rsidR="00876678" w:rsidRDefault="00876678" w:rsidP="006B48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1" w:fontKey="{5B9647AC-7FD4-4B45-95B6-7D23736044F6}"/>
    <w:embedItalic r:id="rId2" w:fontKey="{7FA9D805-3D4A-4836-A9E3-3F669B44AD71}"/>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3" w:fontKey="{B1010C4F-74B9-47F7-9443-FBE37383D809}"/>
  </w:font>
  <w:font w:name="Cambria">
    <w:panose1 w:val="02040503050406030204"/>
    <w:charset w:val="00"/>
    <w:family w:val="roman"/>
    <w:pitch w:val="variable"/>
    <w:sig w:usb0="E00006FF" w:usb1="420024FF" w:usb2="02000000" w:usb3="00000000" w:csb0="0000019F" w:csb1="00000000"/>
    <w:embedRegular r:id="rId4" w:fontKey="{A617D698-0578-4C1A-923D-FC75AF0EAE7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76678" w:rsidRDefault="00876678" w:rsidP="006B4872">
      <w:pPr>
        <w:spacing w:line="240" w:lineRule="auto"/>
      </w:pPr>
      <w:r>
        <w:separator/>
      </w:r>
    </w:p>
  </w:footnote>
  <w:footnote w:type="continuationSeparator" w:id="0">
    <w:p w:rsidR="00876678" w:rsidRDefault="00876678" w:rsidP="006B487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58412C"/>
    <w:multiLevelType w:val="multilevel"/>
    <w:tmpl w:val="E49E20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6571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CF2"/>
    <w:rsid w:val="005906D5"/>
    <w:rsid w:val="006B4872"/>
    <w:rsid w:val="00876678"/>
    <w:rsid w:val="00EE7CF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6B4872"/>
    <w:pPr>
      <w:tabs>
        <w:tab w:val="center" w:pos="4513"/>
        <w:tab w:val="right" w:pos="9026"/>
      </w:tabs>
      <w:spacing w:line="240" w:lineRule="auto"/>
    </w:pPr>
  </w:style>
  <w:style w:type="character" w:customStyle="1" w:styleId="HeaderChar">
    <w:name w:val="Header Char"/>
    <w:basedOn w:val="DefaultParagraphFont"/>
    <w:link w:val="Header"/>
    <w:uiPriority w:val="99"/>
    <w:rsid w:val="006B4872"/>
  </w:style>
  <w:style w:type="paragraph" w:styleId="Footer">
    <w:name w:val="footer"/>
    <w:basedOn w:val="Normal"/>
    <w:link w:val="FooterChar"/>
    <w:uiPriority w:val="99"/>
    <w:unhideWhenUsed/>
    <w:rsid w:val="006B4872"/>
    <w:pPr>
      <w:tabs>
        <w:tab w:val="center" w:pos="4513"/>
        <w:tab w:val="right" w:pos="9026"/>
      </w:tabs>
      <w:spacing w:line="240" w:lineRule="auto"/>
    </w:pPr>
  </w:style>
  <w:style w:type="character" w:customStyle="1" w:styleId="FooterChar">
    <w:name w:val="Footer Char"/>
    <w:basedOn w:val="DefaultParagraphFont"/>
    <w:link w:val="Footer"/>
    <w:uiPriority w:val="99"/>
    <w:rsid w:val="006B48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907</Words>
  <Characters>5174</Characters>
  <Application>Microsoft Office Word</Application>
  <DocSecurity>0</DocSecurity>
  <Lines>43</Lines>
  <Paragraphs>12</Paragraphs>
  <ScaleCrop>false</ScaleCrop>
  <Company/>
  <LinksUpToDate>false</LinksUpToDate>
  <CharactersWithSpaces>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2024-07-03T00:49:00Z</dcterms:created>
  <dcterms:modified xsi:type="dcterms:W3CDTF">2024-07-03T00:50:00Z</dcterms:modified>
</cp:coreProperties>
</file>