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4934"/>
        <w:gridCol w:w="4699"/>
      </w:tblGrid>
      <w:tr w:rsidR="006C2496" w:rsidRPr="00C24B4D" w14:paraId="1CB6EA20" w14:textId="77777777" w:rsidTr="00D72F51">
        <w:trPr>
          <w:trHeight w:val="453"/>
        </w:trPr>
        <w:tc>
          <w:tcPr>
            <w:tcW w:w="4934" w:type="dxa"/>
            <w:shd w:val="clear" w:color="auto" w:fill="E7E6E6" w:themeFill="background2"/>
            <w:vAlign w:val="center"/>
          </w:tcPr>
          <w:p w14:paraId="4684389C" w14:textId="0E9AAA71" w:rsidR="006C2496" w:rsidRPr="00B37EA0" w:rsidRDefault="006C2496">
            <w:pPr>
              <w:rPr>
                <w:b/>
                <w:bCs/>
                <w:sz w:val="24"/>
                <w:szCs w:val="24"/>
              </w:rPr>
            </w:pPr>
            <w:proofErr w:type="spellStart"/>
            <w:r w:rsidRPr="00B37EA0">
              <w:rPr>
                <w:b/>
                <w:bCs/>
                <w:sz w:val="24"/>
                <w:szCs w:val="24"/>
              </w:rPr>
              <w:t>Proposing</w:t>
            </w:r>
            <w:proofErr w:type="spellEnd"/>
            <w:r w:rsidRPr="00B37EA0">
              <w:rPr>
                <w:b/>
                <w:bCs/>
                <w:sz w:val="24"/>
                <w:szCs w:val="24"/>
              </w:rPr>
              <w:t xml:space="preserve"> </w:t>
            </w:r>
            <w:proofErr w:type="spellStart"/>
            <w:r w:rsidRPr="00B37EA0">
              <w:rPr>
                <w:b/>
                <w:bCs/>
                <w:sz w:val="24"/>
                <w:szCs w:val="24"/>
              </w:rPr>
              <w:t>Operational</w:t>
            </w:r>
            <w:proofErr w:type="spellEnd"/>
            <w:r w:rsidRPr="00B37EA0">
              <w:rPr>
                <w:b/>
                <w:bCs/>
                <w:sz w:val="24"/>
                <w:szCs w:val="24"/>
              </w:rPr>
              <w:t xml:space="preserve"> Unit:</w:t>
            </w:r>
          </w:p>
        </w:tc>
        <w:tc>
          <w:tcPr>
            <w:tcW w:w="4699" w:type="dxa"/>
            <w:shd w:val="clear" w:color="auto" w:fill="E7E6E6" w:themeFill="background2"/>
            <w:vAlign w:val="center"/>
          </w:tcPr>
          <w:p w14:paraId="597C9D99" w14:textId="1E94B1F3" w:rsidR="006C2496" w:rsidRPr="00B37EA0" w:rsidRDefault="006C2496">
            <w:pPr>
              <w:rPr>
                <w:b/>
                <w:bCs/>
                <w:sz w:val="24"/>
                <w:szCs w:val="24"/>
              </w:rPr>
            </w:pPr>
            <w:proofErr w:type="spellStart"/>
            <w:r w:rsidRPr="00B37EA0">
              <w:rPr>
                <w:b/>
                <w:bCs/>
                <w:sz w:val="24"/>
                <w:szCs w:val="24"/>
              </w:rPr>
              <w:t>Type</w:t>
            </w:r>
            <w:proofErr w:type="spellEnd"/>
            <w:r w:rsidRPr="00B37EA0">
              <w:rPr>
                <w:b/>
                <w:bCs/>
                <w:sz w:val="24"/>
                <w:szCs w:val="24"/>
              </w:rPr>
              <w:t xml:space="preserve"> of </w:t>
            </w:r>
            <w:proofErr w:type="spellStart"/>
            <w:r w:rsidRPr="00B37EA0">
              <w:rPr>
                <w:b/>
                <w:bCs/>
                <w:sz w:val="24"/>
                <w:szCs w:val="24"/>
              </w:rPr>
              <w:t>assignment</w:t>
            </w:r>
            <w:proofErr w:type="spellEnd"/>
            <w:r w:rsidRPr="00B37EA0">
              <w:rPr>
                <w:b/>
                <w:bCs/>
                <w:sz w:val="24"/>
                <w:szCs w:val="24"/>
              </w:rPr>
              <w:t>:</w:t>
            </w:r>
          </w:p>
        </w:tc>
      </w:tr>
      <w:tr w:rsidR="006C2496" w:rsidRPr="0087240C" w14:paraId="7CD72341" w14:textId="77777777">
        <w:tc>
          <w:tcPr>
            <w:tcW w:w="4934" w:type="dxa"/>
          </w:tcPr>
          <w:p w14:paraId="3040848C" w14:textId="77777777" w:rsidR="006C2496" w:rsidRPr="00D72F51" w:rsidRDefault="006C2496">
            <w:pPr>
              <w:rPr>
                <w:sz w:val="24"/>
                <w:szCs w:val="24"/>
              </w:rPr>
            </w:pPr>
            <w:r w:rsidRPr="00D72F51">
              <w:rPr>
                <w:sz w:val="24"/>
                <w:szCs w:val="24"/>
              </w:rPr>
              <w:t>Heart Team</w:t>
            </w:r>
          </w:p>
        </w:tc>
        <w:tc>
          <w:tcPr>
            <w:tcW w:w="4699" w:type="dxa"/>
          </w:tcPr>
          <w:p w14:paraId="3629CE2B" w14:textId="06C35D80" w:rsidR="006C2496" w:rsidRPr="00D72F51" w:rsidRDefault="006C2496">
            <w:pPr>
              <w:rPr>
                <w:sz w:val="24"/>
                <w:szCs w:val="24"/>
              </w:rPr>
            </w:pPr>
            <w:proofErr w:type="spellStart"/>
            <w:r w:rsidRPr="00D72F51">
              <w:rPr>
                <w:sz w:val="24"/>
                <w:szCs w:val="24"/>
              </w:rPr>
              <w:t>Organisational</w:t>
            </w:r>
            <w:proofErr w:type="spellEnd"/>
            <w:r w:rsidRPr="00D72F51">
              <w:rPr>
                <w:sz w:val="24"/>
                <w:szCs w:val="24"/>
              </w:rPr>
              <w:t xml:space="preserve"> </w:t>
            </w:r>
            <w:proofErr w:type="spellStart"/>
            <w:r w:rsidRPr="00D72F51">
              <w:rPr>
                <w:sz w:val="24"/>
                <w:szCs w:val="24"/>
              </w:rPr>
              <w:t>Function</w:t>
            </w:r>
            <w:proofErr w:type="spellEnd"/>
            <w:r w:rsidRPr="00D72F51">
              <w:rPr>
                <w:sz w:val="24"/>
                <w:szCs w:val="24"/>
              </w:rPr>
              <w:t xml:space="preserve"> </w:t>
            </w:r>
            <w:proofErr w:type="spellStart"/>
            <w:r w:rsidRPr="00D72F51">
              <w:rPr>
                <w:sz w:val="24"/>
                <w:szCs w:val="24"/>
              </w:rPr>
              <w:t>Assignment</w:t>
            </w:r>
            <w:proofErr w:type="spellEnd"/>
          </w:p>
        </w:tc>
      </w:tr>
    </w:tbl>
    <w:p w14:paraId="5DF1F1DB" w14:textId="77777777" w:rsidR="005B3C61" w:rsidRDefault="005B3C61"/>
    <w:p w14:paraId="21B761BA" w14:textId="2BFEBE01" w:rsidR="006C2496" w:rsidRPr="00F2408D" w:rsidRDefault="006C2496">
      <w:pPr>
        <w:rPr>
          <w:sz w:val="28"/>
          <w:szCs w:val="28"/>
          <w:lang w:val="en-GB"/>
        </w:rPr>
      </w:pPr>
      <w:r w:rsidRPr="00D72F51">
        <w:rPr>
          <w:rFonts w:cs="Times New Roman"/>
          <w:b/>
          <w:sz w:val="28"/>
          <w:szCs w:val="28"/>
          <w:lang w:val="en-US"/>
        </w:rPr>
        <w:t>Job title:</w:t>
      </w:r>
      <w:r w:rsidRPr="00F2408D">
        <w:rPr>
          <w:sz w:val="28"/>
          <w:szCs w:val="28"/>
          <w:lang w:val="en-GB"/>
        </w:rPr>
        <w:t xml:space="preserve"> </w:t>
      </w:r>
      <w:r w:rsidR="00F2408D" w:rsidRPr="00F2408D">
        <w:rPr>
          <w:sz w:val="28"/>
          <w:szCs w:val="28"/>
          <w:lang w:val="en-GB"/>
        </w:rPr>
        <w:t>Clinical Valve Coordinator</w:t>
      </w:r>
    </w:p>
    <w:p w14:paraId="6863DAF9" w14:textId="77777777" w:rsidR="006C2496" w:rsidRPr="00F2408D" w:rsidRDefault="006C2496">
      <w:pPr>
        <w:rPr>
          <w:sz w:val="28"/>
          <w:szCs w:val="28"/>
          <w:lang w:val="en-GB"/>
        </w:rPr>
      </w:pPr>
    </w:p>
    <w:p w14:paraId="48BFE9CA" w14:textId="77777777" w:rsidR="006C2496" w:rsidRPr="00FE7CC2" w:rsidRDefault="006C2496" w:rsidP="006C2496">
      <w:pPr>
        <w:autoSpaceDE w:val="0"/>
        <w:spacing w:line="276" w:lineRule="auto"/>
        <w:rPr>
          <w:rFonts w:cs="Times New Roman"/>
          <w:b/>
          <w:sz w:val="28"/>
          <w:szCs w:val="28"/>
          <w:lang w:val="en-US"/>
        </w:rPr>
      </w:pPr>
      <w:r w:rsidRPr="00FE7CC2">
        <w:rPr>
          <w:rFonts w:cs="Times New Roman"/>
          <w:b/>
          <w:sz w:val="28"/>
          <w:szCs w:val="28"/>
          <w:lang w:val="en-US"/>
        </w:rPr>
        <w:t xml:space="preserve">Mission: </w:t>
      </w:r>
    </w:p>
    <w:p w14:paraId="45D99F45" w14:textId="23113EC9" w:rsidR="006C2496" w:rsidRDefault="006C2496">
      <w:pPr>
        <w:rPr>
          <w:szCs w:val="24"/>
          <w:lang w:val="en-US"/>
        </w:rPr>
      </w:pPr>
      <w:r w:rsidRPr="006C2496">
        <w:rPr>
          <w:szCs w:val="24"/>
          <w:lang w:val="en-US"/>
        </w:rPr>
        <w:t>Despite recent therapeutic innovations, patients with severe aortic stenosis (</w:t>
      </w:r>
      <w:proofErr w:type="spellStart"/>
      <w:r w:rsidR="00845A3B">
        <w:rPr>
          <w:szCs w:val="24"/>
          <w:lang w:val="en-US"/>
        </w:rPr>
        <w:t>s</w:t>
      </w:r>
      <w:r w:rsidRPr="006C2496">
        <w:rPr>
          <w:szCs w:val="24"/>
          <w:lang w:val="en-US"/>
        </w:rPr>
        <w:t>AS</w:t>
      </w:r>
      <w:proofErr w:type="spellEnd"/>
      <w:r w:rsidRPr="006C2496">
        <w:rPr>
          <w:szCs w:val="24"/>
          <w:lang w:val="en-US"/>
        </w:rPr>
        <w:t xml:space="preserve">) continue to be underdiagnosed and treated late. </w:t>
      </w:r>
      <w:proofErr w:type="spellStart"/>
      <w:r w:rsidR="004636FE">
        <w:rPr>
          <w:szCs w:val="24"/>
          <w:lang w:val="en-US"/>
        </w:rPr>
        <w:t>s</w:t>
      </w:r>
      <w:r w:rsidRPr="006C2496">
        <w:rPr>
          <w:szCs w:val="24"/>
          <w:lang w:val="en-US"/>
        </w:rPr>
        <w:t>AS</w:t>
      </w:r>
      <w:proofErr w:type="spellEnd"/>
      <w:r w:rsidRPr="006C2496">
        <w:rPr>
          <w:szCs w:val="24"/>
          <w:lang w:val="en-US"/>
        </w:rPr>
        <w:t xml:space="preserve"> is a time-dependent disease and after the onset of the first symptoms, the average survival is less than 2-3 years without appropriate intervention. However, thanks to the more recent spread of clinical indications for TAVI (transcatheter aortic valve implantation) and the improvement of the technology itself with </w:t>
      </w:r>
      <w:r w:rsidR="00D620B1">
        <w:rPr>
          <w:szCs w:val="24"/>
          <w:lang w:val="en-US"/>
        </w:rPr>
        <w:t>smaller</w:t>
      </w:r>
      <w:r w:rsidRPr="006C2496">
        <w:rPr>
          <w:szCs w:val="24"/>
          <w:lang w:val="en-US"/>
        </w:rPr>
        <w:t xml:space="preserve"> delivery systems as well as better performing heart valves, excellent clinical results are obtained even in complex cases with significant valve calcifications, difficult vascular access and</w:t>
      </w:r>
      <w:r w:rsidR="00E20DD7">
        <w:rPr>
          <w:szCs w:val="24"/>
          <w:lang w:val="en-US"/>
        </w:rPr>
        <w:t xml:space="preserve"> </w:t>
      </w:r>
      <w:r w:rsidRPr="006C2496">
        <w:rPr>
          <w:szCs w:val="24"/>
          <w:lang w:val="en-US"/>
        </w:rPr>
        <w:t>multiple comorbidities. Recent studies have shown equivalent or even better results with TAVI procedure than with surgical aortic valve replacement in patients with intermediate or low operative risk, but these recent developments have gone largely unnoticed by family doctors or cardiologists working outside the hospital network or in hospitals where TAVI procedure is not performed.</w:t>
      </w:r>
    </w:p>
    <w:p w14:paraId="22A911E4" w14:textId="5CAEFC15" w:rsidR="005779D4" w:rsidRDefault="006C2496">
      <w:pPr>
        <w:rPr>
          <w:szCs w:val="24"/>
          <w:lang w:val="en-US"/>
        </w:rPr>
      </w:pPr>
      <w:r w:rsidRPr="006C2496">
        <w:rPr>
          <w:szCs w:val="24"/>
          <w:lang w:val="en-US"/>
        </w:rPr>
        <w:t xml:space="preserve">The role of the </w:t>
      </w:r>
      <w:r w:rsidR="00F2408D" w:rsidRPr="00F2408D">
        <w:rPr>
          <w:szCs w:val="24"/>
          <w:lang w:val="en-US"/>
        </w:rPr>
        <w:t>Clinical Valve Coordinator</w:t>
      </w:r>
      <w:r w:rsidRPr="006C2496">
        <w:rPr>
          <w:szCs w:val="24"/>
          <w:lang w:val="en-US"/>
        </w:rPr>
        <w:t xml:space="preserve"> is therefore </w:t>
      </w:r>
      <w:r w:rsidR="005779D4">
        <w:rPr>
          <w:szCs w:val="24"/>
          <w:lang w:val="en-US"/>
        </w:rPr>
        <w:t>crit</w:t>
      </w:r>
      <w:r w:rsidR="002106D7">
        <w:rPr>
          <w:szCs w:val="24"/>
          <w:lang w:val="en-US"/>
        </w:rPr>
        <w:t>i</w:t>
      </w:r>
      <w:r w:rsidR="005779D4">
        <w:rPr>
          <w:szCs w:val="24"/>
          <w:lang w:val="en-US"/>
        </w:rPr>
        <w:t>cal</w:t>
      </w:r>
      <w:r w:rsidRPr="006C2496">
        <w:rPr>
          <w:szCs w:val="24"/>
          <w:lang w:val="en-US"/>
        </w:rPr>
        <w:t xml:space="preserve"> in order to </w:t>
      </w:r>
      <w:proofErr w:type="spellStart"/>
      <w:r w:rsidRPr="006C2496">
        <w:rPr>
          <w:szCs w:val="24"/>
          <w:lang w:val="en-US"/>
        </w:rPr>
        <w:t>optimise</w:t>
      </w:r>
      <w:proofErr w:type="spellEnd"/>
      <w:r w:rsidRPr="006C2496">
        <w:rPr>
          <w:szCs w:val="24"/>
          <w:lang w:val="en-US"/>
        </w:rPr>
        <w:t xml:space="preserve"> the pre-hospital pathway of patients, </w:t>
      </w:r>
      <w:r w:rsidR="005162B8" w:rsidRPr="005162B8">
        <w:rPr>
          <w:szCs w:val="24"/>
          <w:lang w:val="en-US"/>
        </w:rPr>
        <w:t>ensuring efficiency in the diagnostic and assessment phases by facilitating multidisciplinary consultations, diagnostic imaging, nursing assessment and communication and coordination within the heart team, supporting timely and appropriate access to treatment.</w:t>
      </w:r>
    </w:p>
    <w:p w14:paraId="18DA935B" w14:textId="5C8661C8" w:rsidR="005779D4" w:rsidRPr="005779D4" w:rsidRDefault="005779D4" w:rsidP="005779D4">
      <w:pPr>
        <w:rPr>
          <w:szCs w:val="24"/>
          <w:lang w:val="en-US"/>
        </w:rPr>
      </w:pPr>
      <w:r w:rsidRPr="005779D4">
        <w:rPr>
          <w:szCs w:val="24"/>
          <w:lang w:val="en-US"/>
        </w:rPr>
        <w:t xml:space="preserve">In terms of key roles and responsibilities of the </w:t>
      </w:r>
      <w:r w:rsidR="00F2408D" w:rsidRPr="00F2408D">
        <w:rPr>
          <w:szCs w:val="24"/>
          <w:lang w:val="en-US"/>
        </w:rPr>
        <w:t>Clinical Valve Coordinator</w:t>
      </w:r>
      <w:r w:rsidRPr="005779D4">
        <w:rPr>
          <w:szCs w:val="24"/>
          <w:lang w:val="en-US"/>
        </w:rPr>
        <w:t xml:space="preserve">, </w:t>
      </w:r>
      <w:r w:rsidR="00904DFA">
        <w:rPr>
          <w:szCs w:val="24"/>
          <w:lang w:val="en-US"/>
        </w:rPr>
        <w:t>four</w:t>
      </w:r>
      <w:r w:rsidRPr="005779D4">
        <w:rPr>
          <w:szCs w:val="24"/>
          <w:lang w:val="en-US"/>
        </w:rPr>
        <w:t xml:space="preserve"> main areas should be highlighted: </w:t>
      </w:r>
      <w:proofErr w:type="spellStart"/>
      <w:r w:rsidRPr="005779D4">
        <w:rPr>
          <w:szCs w:val="24"/>
          <w:lang w:val="en-US"/>
        </w:rPr>
        <w:t>i</w:t>
      </w:r>
      <w:proofErr w:type="spellEnd"/>
      <w:r w:rsidRPr="005779D4">
        <w:rPr>
          <w:szCs w:val="24"/>
          <w:lang w:val="en-US"/>
        </w:rPr>
        <w:t>) clinical care; ii) coordination; iii) education and iv) program leadership.</w:t>
      </w:r>
      <w:r w:rsidR="00904DFA">
        <w:rPr>
          <w:szCs w:val="24"/>
          <w:lang w:val="en-US"/>
        </w:rPr>
        <w:t xml:space="preserve"> Each area</w:t>
      </w:r>
      <w:r w:rsidR="005162B8">
        <w:rPr>
          <w:szCs w:val="24"/>
          <w:lang w:val="en-US"/>
        </w:rPr>
        <w:t xml:space="preserve"> </w:t>
      </w:r>
      <w:r w:rsidR="00904DFA">
        <w:rPr>
          <w:szCs w:val="24"/>
          <w:lang w:val="en-US"/>
        </w:rPr>
        <w:t>is</w:t>
      </w:r>
      <w:r w:rsidR="00931311">
        <w:rPr>
          <w:szCs w:val="24"/>
          <w:lang w:val="en-US"/>
        </w:rPr>
        <w:t xml:space="preserve"> </w:t>
      </w:r>
      <w:r w:rsidR="00931311" w:rsidRPr="00931311">
        <w:rPr>
          <w:szCs w:val="24"/>
          <w:lang w:val="en-US"/>
        </w:rPr>
        <w:t>briefly</w:t>
      </w:r>
      <w:r w:rsidR="00931311">
        <w:rPr>
          <w:szCs w:val="24"/>
          <w:lang w:val="en-US"/>
        </w:rPr>
        <w:t xml:space="preserve"> </w:t>
      </w:r>
      <w:r w:rsidR="00D72F51">
        <w:rPr>
          <w:rStyle w:val="rynqvb"/>
          <w:lang w:val="en"/>
        </w:rPr>
        <w:t>described below:</w:t>
      </w:r>
    </w:p>
    <w:p w14:paraId="1453BA77" w14:textId="54EA7137" w:rsidR="005779D4" w:rsidRPr="005779D4" w:rsidRDefault="005162B8" w:rsidP="005779D4">
      <w:pPr>
        <w:rPr>
          <w:szCs w:val="24"/>
          <w:lang w:val="en-US"/>
        </w:rPr>
      </w:pPr>
      <w:r>
        <w:rPr>
          <w:szCs w:val="24"/>
          <w:lang w:val="en-US"/>
        </w:rPr>
        <w:t xml:space="preserve"> </w:t>
      </w:r>
    </w:p>
    <w:p w14:paraId="44951EF6" w14:textId="77777777" w:rsidR="005779D4" w:rsidRPr="00D72F51" w:rsidRDefault="005779D4" w:rsidP="005779D4">
      <w:pPr>
        <w:rPr>
          <w:b/>
          <w:bCs/>
          <w:i/>
          <w:iCs/>
          <w:szCs w:val="24"/>
          <w:lang w:val="en-US"/>
        </w:rPr>
      </w:pPr>
      <w:r w:rsidRPr="00D72F51">
        <w:rPr>
          <w:b/>
          <w:bCs/>
          <w:i/>
          <w:iCs/>
          <w:szCs w:val="24"/>
          <w:lang w:val="en-US"/>
        </w:rPr>
        <w:t>Clinical care</w:t>
      </w:r>
    </w:p>
    <w:p w14:paraId="27D1AC6B" w14:textId="5A310DBB" w:rsidR="005779D4" w:rsidRPr="00D72F51" w:rsidRDefault="005779D4" w:rsidP="00D72F51">
      <w:pPr>
        <w:pStyle w:val="Paragrafoelenco"/>
        <w:numPr>
          <w:ilvl w:val="0"/>
          <w:numId w:val="1"/>
        </w:numPr>
        <w:rPr>
          <w:szCs w:val="24"/>
          <w:lang w:val="en-US"/>
        </w:rPr>
      </w:pPr>
      <w:r w:rsidRPr="00D72F51">
        <w:rPr>
          <w:szCs w:val="24"/>
          <w:lang w:val="en-US"/>
        </w:rPr>
        <w:t xml:space="preserve">Pre procedural optimization including clinical assessment, completion of necessary preprocedural tests, patient and family education about the procedure and risks, identification of clinical changes which may impact on the planned procedure. </w:t>
      </w:r>
    </w:p>
    <w:p w14:paraId="31D051AC" w14:textId="47E5AB50" w:rsidR="005779D4" w:rsidRPr="00D72F51" w:rsidRDefault="005779D4" w:rsidP="00D72F51">
      <w:pPr>
        <w:pStyle w:val="Paragrafoelenco"/>
        <w:numPr>
          <w:ilvl w:val="0"/>
          <w:numId w:val="1"/>
        </w:numPr>
        <w:rPr>
          <w:szCs w:val="24"/>
          <w:lang w:val="en-US"/>
        </w:rPr>
      </w:pPr>
      <w:r w:rsidRPr="00D72F51">
        <w:rPr>
          <w:szCs w:val="24"/>
          <w:lang w:val="en-US"/>
        </w:rPr>
        <w:t>Urgency triage, mitigation of risks</w:t>
      </w:r>
    </w:p>
    <w:p w14:paraId="1FDA144B" w14:textId="39BF59C6" w:rsidR="005779D4" w:rsidRPr="00D72F51" w:rsidRDefault="005779D4" w:rsidP="00D72F51">
      <w:pPr>
        <w:pStyle w:val="Paragrafoelenco"/>
        <w:numPr>
          <w:ilvl w:val="0"/>
          <w:numId w:val="1"/>
        </w:numPr>
        <w:rPr>
          <w:szCs w:val="24"/>
          <w:lang w:val="en-US"/>
        </w:rPr>
      </w:pPr>
      <w:r w:rsidRPr="00D72F51">
        <w:rPr>
          <w:szCs w:val="24"/>
          <w:lang w:val="en-US"/>
        </w:rPr>
        <w:t>Procedure planning and communication with heart team</w:t>
      </w:r>
    </w:p>
    <w:p w14:paraId="0C494ECD" w14:textId="4A1642B7" w:rsidR="005779D4" w:rsidRPr="00D72F51" w:rsidRDefault="005779D4" w:rsidP="00D72F51">
      <w:pPr>
        <w:pStyle w:val="Paragrafoelenco"/>
        <w:numPr>
          <w:ilvl w:val="0"/>
          <w:numId w:val="1"/>
        </w:numPr>
        <w:rPr>
          <w:szCs w:val="24"/>
          <w:lang w:val="en-US"/>
        </w:rPr>
      </w:pPr>
      <w:r w:rsidRPr="00D72F51">
        <w:rPr>
          <w:szCs w:val="24"/>
          <w:lang w:val="en-US"/>
        </w:rPr>
        <w:t>Case and complication management</w:t>
      </w:r>
    </w:p>
    <w:p w14:paraId="7360C1DF" w14:textId="4C329160" w:rsidR="005779D4" w:rsidRPr="00D72F51" w:rsidRDefault="005779D4" w:rsidP="00D72F51">
      <w:pPr>
        <w:pStyle w:val="Paragrafoelenco"/>
        <w:numPr>
          <w:ilvl w:val="0"/>
          <w:numId w:val="1"/>
        </w:numPr>
        <w:rPr>
          <w:szCs w:val="24"/>
          <w:lang w:val="en-US"/>
        </w:rPr>
      </w:pPr>
      <w:r w:rsidRPr="00D72F51">
        <w:rPr>
          <w:szCs w:val="24"/>
          <w:lang w:val="en-US"/>
        </w:rPr>
        <w:t>Mobilization and promotion of reconditioning post-procedure</w:t>
      </w:r>
    </w:p>
    <w:p w14:paraId="61FA7914" w14:textId="77777777" w:rsidR="005779D4" w:rsidRPr="005779D4" w:rsidRDefault="005779D4" w:rsidP="005779D4">
      <w:pPr>
        <w:rPr>
          <w:szCs w:val="24"/>
          <w:lang w:val="en-US"/>
        </w:rPr>
      </w:pPr>
    </w:p>
    <w:p w14:paraId="6103D1D9" w14:textId="77777777" w:rsidR="005779D4" w:rsidRPr="005779D4" w:rsidRDefault="005779D4" w:rsidP="005779D4">
      <w:pPr>
        <w:rPr>
          <w:szCs w:val="24"/>
          <w:lang w:val="en-US"/>
        </w:rPr>
      </w:pPr>
      <w:r w:rsidRPr="00D72F51">
        <w:rPr>
          <w:b/>
          <w:bCs/>
          <w:i/>
          <w:iCs/>
          <w:szCs w:val="24"/>
          <w:lang w:val="en-US"/>
        </w:rPr>
        <w:t>Coordination</w:t>
      </w:r>
      <w:r w:rsidRPr="005779D4">
        <w:rPr>
          <w:szCs w:val="24"/>
          <w:lang w:val="en-US"/>
        </w:rPr>
        <w:t xml:space="preserve">: </w:t>
      </w:r>
    </w:p>
    <w:p w14:paraId="6A966D03" w14:textId="73047769" w:rsidR="005779D4" w:rsidRPr="002106D7" w:rsidRDefault="005779D4" w:rsidP="002106D7">
      <w:pPr>
        <w:pStyle w:val="Paragrafoelenco"/>
        <w:numPr>
          <w:ilvl w:val="0"/>
          <w:numId w:val="2"/>
        </w:numPr>
        <w:rPr>
          <w:szCs w:val="24"/>
          <w:lang w:val="en-US"/>
        </w:rPr>
      </w:pPr>
      <w:r w:rsidRPr="002106D7">
        <w:rPr>
          <w:szCs w:val="24"/>
          <w:lang w:val="en-US"/>
        </w:rPr>
        <w:t>Patient tracking (e.g. diagnostics, investigations).</w:t>
      </w:r>
    </w:p>
    <w:p w14:paraId="27E0FD9C" w14:textId="183FAC27" w:rsidR="005779D4" w:rsidRPr="002106D7" w:rsidRDefault="005779D4" w:rsidP="002106D7">
      <w:pPr>
        <w:pStyle w:val="Paragrafoelenco"/>
        <w:numPr>
          <w:ilvl w:val="0"/>
          <w:numId w:val="2"/>
        </w:numPr>
        <w:rPr>
          <w:szCs w:val="24"/>
          <w:lang w:val="en-US"/>
        </w:rPr>
      </w:pPr>
      <w:r w:rsidRPr="002106D7">
        <w:rPr>
          <w:szCs w:val="24"/>
          <w:lang w:val="en-US"/>
        </w:rPr>
        <w:t>Communication with clinicians, patients, relatives.</w:t>
      </w:r>
    </w:p>
    <w:p w14:paraId="7D6E0443" w14:textId="13D11BD9" w:rsidR="005779D4" w:rsidRPr="002106D7" w:rsidRDefault="005779D4" w:rsidP="002106D7">
      <w:pPr>
        <w:pStyle w:val="Paragrafoelenco"/>
        <w:numPr>
          <w:ilvl w:val="0"/>
          <w:numId w:val="2"/>
        </w:numPr>
        <w:rPr>
          <w:szCs w:val="24"/>
          <w:lang w:val="en-US"/>
        </w:rPr>
      </w:pPr>
      <w:r w:rsidRPr="002106D7">
        <w:rPr>
          <w:szCs w:val="24"/>
          <w:lang w:val="en-US"/>
        </w:rPr>
        <w:t>Contact with referring physicians and hospitals.</w:t>
      </w:r>
    </w:p>
    <w:p w14:paraId="00A68032" w14:textId="448623CC" w:rsidR="005779D4" w:rsidRPr="002106D7" w:rsidRDefault="005779D4" w:rsidP="002106D7">
      <w:pPr>
        <w:pStyle w:val="Paragrafoelenco"/>
        <w:numPr>
          <w:ilvl w:val="0"/>
          <w:numId w:val="2"/>
        </w:numPr>
        <w:rPr>
          <w:szCs w:val="24"/>
          <w:lang w:val="en-US"/>
        </w:rPr>
      </w:pPr>
      <w:r w:rsidRPr="002106D7">
        <w:rPr>
          <w:szCs w:val="24"/>
          <w:lang w:val="en-US"/>
        </w:rPr>
        <w:t>Pre-procedure coordination (clinical changes, awareness).</w:t>
      </w:r>
    </w:p>
    <w:p w14:paraId="0E90A967" w14:textId="5BE24E64" w:rsidR="005779D4" w:rsidRPr="002106D7" w:rsidRDefault="005779D4" w:rsidP="002106D7">
      <w:pPr>
        <w:pStyle w:val="Paragrafoelenco"/>
        <w:numPr>
          <w:ilvl w:val="0"/>
          <w:numId w:val="2"/>
        </w:numPr>
        <w:rPr>
          <w:szCs w:val="24"/>
          <w:lang w:val="en-US"/>
        </w:rPr>
      </w:pPr>
      <w:r w:rsidRPr="002106D7">
        <w:rPr>
          <w:szCs w:val="24"/>
          <w:lang w:val="en-US"/>
        </w:rPr>
        <w:t>Post-procedure planning, follow-up.</w:t>
      </w:r>
    </w:p>
    <w:p w14:paraId="5EBF807A" w14:textId="01E58C07" w:rsidR="005779D4" w:rsidRPr="002106D7" w:rsidRDefault="005779D4" w:rsidP="002106D7">
      <w:pPr>
        <w:pStyle w:val="Paragrafoelenco"/>
        <w:numPr>
          <w:ilvl w:val="0"/>
          <w:numId w:val="2"/>
        </w:numPr>
        <w:rPr>
          <w:szCs w:val="24"/>
          <w:lang w:val="en-US"/>
        </w:rPr>
      </w:pPr>
      <w:r w:rsidRPr="002106D7">
        <w:rPr>
          <w:szCs w:val="24"/>
          <w:lang w:val="en-US"/>
        </w:rPr>
        <w:t>Contact with primary care physicians regarding follow-up.</w:t>
      </w:r>
    </w:p>
    <w:p w14:paraId="73B0A62A" w14:textId="77777777" w:rsidR="005779D4" w:rsidRPr="005779D4" w:rsidRDefault="005779D4" w:rsidP="005779D4">
      <w:pPr>
        <w:rPr>
          <w:szCs w:val="24"/>
          <w:lang w:val="en-US"/>
        </w:rPr>
      </w:pPr>
    </w:p>
    <w:p w14:paraId="5AE399AF" w14:textId="77777777" w:rsidR="005779D4" w:rsidRPr="005779D4" w:rsidRDefault="005779D4" w:rsidP="005779D4">
      <w:pPr>
        <w:rPr>
          <w:szCs w:val="24"/>
          <w:lang w:val="en-US"/>
        </w:rPr>
      </w:pPr>
      <w:r w:rsidRPr="00D72F51">
        <w:rPr>
          <w:b/>
          <w:bCs/>
          <w:i/>
          <w:iCs/>
          <w:szCs w:val="24"/>
          <w:lang w:val="en-US"/>
        </w:rPr>
        <w:t>Patient and family education</w:t>
      </w:r>
      <w:r w:rsidRPr="005779D4">
        <w:rPr>
          <w:szCs w:val="24"/>
          <w:lang w:val="en-US"/>
        </w:rPr>
        <w:t>, from admission to discharge planning.</w:t>
      </w:r>
    </w:p>
    <w:p w14:paraId="688BB54C" w14:textId="03FEA818" w:rsidR="005779D4" w:rsidRPr="002106D7" w:rsidRDefault="005779D4" w:rsidP="002106D7">
      <w:pPr>
        <w:pStyle w:val="Paragrafoelenco"/>
        <w:numPr>
          <w:ilvl w:val="0"/>
          <w:numId w:val="3"/>
        </w:numPr>
        <w:rPr>
          <w:szCs w:val="24"/>
          <w:lang w:val="en-US"/>
        </w:rPr>
      </w:pPr>
      <w:r w:rsidRPr="002106D7">
        <w:rPr>
          <w:szCs w:val="24"/>
          <w:lang w:val="en-US"/>
        </w:rPr>
        <w:t>Consent (risks, alternatives, impact on life post-procedure)</w:t>
      </w:r>
    </w:p>
    <w:p w14:paraId="52B725EF" w14:textId="1B9B0B5A" w:rsidR="005779D4" w:rsidRPr="002106D7" w:rsidRDefault="005779D4" w:rsidP="002106D7">
      <w:pPr>
        <w:pStyle w:val="Paragrafoelenco"/>
        <w:numPr>
          <w:ilvl w:val="0"/>
          <w:numId w:val="3"/>
        </w:numPr>
        <w:rPr>
          <w:szCs w:val="24"/>
          <w:lang w:val="en-US"/>
        </w:rPr>
      </w:pPr>
      <w:r w:rsidRPr="002106D7">
        <w:rPr>
          <w:szCs w:val="24"/>
          <w:lang w:val="en-US"/>
        </w:rPr>
        <w:t>Discharge preparation, point of contact after discharge</w:t>
      </w:r>
    </w:p>
    <w:p w14:paraId="57372F4B" w14:textId="77777777" w:rsidR="005779D4" w:rsidRPr="005779D4" w:rsidRDefault="005779D4" w:rsidP="005779D4">
      <w:pPr>
        <w:rPr>
          <w:szCs w:val="24"/>
          <w:lang w:val="en-US"/>
        </w:rPr>
      </w:pPr>
    </w:p>
    <w:p w14:paraId="7B1E388B" w14:textId="77777777" w:rsidR="005779D4" w:rsidRPr="00226201" w:rsidRDefault="005779D4" w:rsidP="005779D4">
      <w:pPr>
        <w:rPr>
          <w:b/>
          <w:bCs/>
          <w:i/>
          <w:iCs/>
          <w:szCs w:val="24"/>
          <w:lang w:val="en-US"/>
        </w:rPr>
      </w:pPr>
      <w:r w:rsidRPr="00226201">
        <w:rPr>
          <w:b/>
          <w:bCs/>
          <w:i/>
          <w:iCs/>
          <w:szCs w:val="24"/>
          <w:lang w:val="en-US"/>
        </w:rPr>
        <w:lastRenderedPageBreak/>
        <w:t>Program leadership</w:t>
      </w:r>
    </w:p>
    <w:p w14:paraId="516C26B4" w14:textId="0CEE602D" w:rsidR="005779D4" w:rsidRPr="00226201" w:rsidRDefault="005779D4" w:rsidP="00226201">
      <w:pPr>
        <w:pStyle w:val="Paragrafoelenco"/>
        <w:numPr>
          <w:ilvl w:val="0"/>
          <w:numId w:val="4"/>
        </w:numPr>
        <w:rPr>
          <w:szCs w:val="24"/>
          <w:lang w:val="en-US"/>
        </w:rPr>
      </w:pPr>
      <w:r w:rsidRPr="00226201">
        <w:rPr>
          <w:szCs w:val="24"/>
          <w:lang w:val="en-US"/>
        </w:rPr>
        <w:t>Managing change and quality improvement.</w:t>
      </w:r>
    </w:p>
    <w:p w14:paraId="3D15AB1F" w14:textId="1A2E04C1" w:rsidR="005779D4" w:rsidRPr="00226201" w:rsidRDefault="005779D4" w:rsidP="00226201">
      <w:pPr>
        <w:pStyle w:val="Paragrafoelenco"/>
        <w:numPr>
          <w:ilvl w:val="0"/>
          <w:numId w:val="4"/>
        </w:numPr>
        <w:rPr>
          <w:szCs w:val="24"/>
          <w:lang w:val="en-US"/>
        </w:rPr>
      </w:pPr>
      <w:r w:rsidRPr="00226201">
        <w:rPr>
          <w:szCs w:val="24"/>
          <w:lang w:val="en-US"/>
        </w:rPr>
        <w:t>Defining protocols and pathways of care, and keep them updated</w:t>
      </w:r>
    </w:p>
    <w:p w14:paraId="0352950A" w14:textId="2D443340" w:rsidR="005779D4" w:rsidRPr="00226201" w:rsidRDefault="005779D4" w:rsidP="00226201">
      <w:pPr>
        <w:pStyle w:val="Paragrafoelenco"/>
        <w:numPr>
          <w:ilvl w:val="0"/>
          <w:numId w:val="4"/>
        </w:numPr>
        <w:rPr>
          <w:szCs w:val="24"/>
          <w:lang w:val="en-US"/>
        </w:rPr>
      </w:pPr>
      <w:r w:rsidRPr="00226201">
        <w:rPr>
          <w:szCs w:val="24"/>
          <w:lang w:val="en-US"/>
        </w:rPr>
        <w:t>Single point of contact</w:t>
      </w:r>
    </w:p>
    <w:p w14:paraId="122C4CC5" w14:textId="33901150" w:rsidR="005779D4" w:rsidRPr="00226201" w:rsidRDefault="005779D4" w:rsidP="00226201">
      <w:pPr>
        <w:pStyle w:val="Paragrafoelenco"/>
        <w:numPr>
          <w:ilvl w:val="0"/>
          <w:numId w:val="4"/>
        </w:numPr>
        <w:rPr>
          <w:szCs w:val="24"/>
          <w:lang w:val="en-US"/>
        </w:rPr>
      </w:pPr>
      <w:r w:rsidRPr="00226201">
        <w:rPr>
          <w:szCs w:val="24"/>
          <w:lang w:val="en-US"/>
        </w:rPr>
        <w:t>Nursing education/mentoring.</w:t>
      </w:r>
    </w:p>
    <w:p w14:paraId="4889D485" w14:textId="264DF883" w:rsidR="005779D4" w:rsidRPr="00226201" w:rsidRDefault="005779D4" w:rsidP="00226201">
      <w:pPr>
        <w:pStyle w:val="Paragrafoelenco"/>
        <w:numPr>
          <w:ilvl w:val="0"/>
          <w:numId w:val="4"/>
        </w:numPr>
        <w:rPr>
          <w:szCs w:val="24"/>
          <w:lang w:val="en-US"/>
        </w:rPr>
      </w:pPr>
      <w:r w:rsidRPr="00226201">
        <w:rPr>
          <w:szCs w:val="24"/>
          <w:lang w:val="en-US"/>
        </w:rPr>
        <w:t xml:space="preserve">Troubleshooting operational issues </w:t>
      </w:r>
    </w:p>
    <w:p w14:paraId="28F6AEA5" w14:textId="7056D8D7" w:rsidR="005779D4" w:rsidRPr="00226201" w:rsidRDefault="005779D4" w:rsidP="00226201">
      <w:pPr>
        <w:pStyle w:val="Paragrafoelenco"/>
        <w:numPr>
          <w:ilvl w:val="0"/>
          <w:numId w:val="4"/>
        </w:numPr>
        <w:rPr>
          <w:szCs w:val="24"/>
          <w:lang w:val="en-US"/>
        </w:rPr>
      </w:pPr>
      <w:r w:rsidRPr="00226201">
        <w:rPr>
          <w:szCs w:val="24"/>
          <w:lang w:val="en-US"/>
        </w:rPr>
        <w:t>Outreach with referring doctors and hospitals on how to improve the TAVI program.</w:t>
      </w:r>
    </w:p>
    <w:p w14:paraId="2440E0EB" w14:textId="77777777" w:rsidR="005779D4" w:rsidRDefault="005779D4">
      <w:pPr>
        <w:rPr>
          <w:szCs w:val="24"/>
          <w:lang w:val="en-US"/>
        </w:rPr>
      </w:pPr>
    </w:p>
    <w:p w14:paraId="7DD0B880" w14:textId="654F7B6A" w:rsidR="006C2496" w:rsidRDefault="00A75560">
      <w:pPr>
        <w:rPr>
          <w:szCs w:val="24"/>
          <w:lang w:val="en-US"/>
        </w:rPr>
      </w:pPr>
      <w:r>
        <w:rPr>
          <w:szCs w:val="24"/>
          <w:lang w:val="en-US"/>
        </w:rPr>
        <w:t xml:space="preserve">All these </w:t>
      </w:r>
      <w:r w:rsidR="006C2496" w:rsidRPr="006C2496">
        <w:rPr>
          <w:szCs w:val="24"/>
          <w:lang w:val="en-US"/>
        </w:rPr>
        <w:t>elements will allow an informed therapeutic decision by the Heart Team, the multidisciplinary group in which all indications for TAVI are discussed.</w:t>
      </w:r>
      <w:r w:rsidR="00621A11">
        <w:rPr>
          <w:szCs w:val="24"/>
          <w:lang w:val="en-US"/>
        </w:rPr>
        <w:t xml:space="preserve"> </w:t>
      </w:r>
      <w:r w:rsidR="00621A11" w:rsidRPr="001A70B4">
        <w:rPr>
          <w:szCs w:val="24"/>
          <w:lang w:val="en-US"/>
        </w:rPr>
        <w:t xml:space="preserve">The </w:t>
      </w:r>
      <w:r w:rsidR="00F2408D" w:rsidRPr="00F2408D">
        <w:rPr>
          <w:szCs w:val="24"/>
          <w:lang w:val="en-US"/>
        </w:rPr>
        <w:t>Clinical Valve Coordinator</w:t>
      </w:r>
      <w:r w:rsidR="001A70B4" w:rsidRPr="001A70B4">
        <w:rPr>
          <w:szCs w:val="24"/>
          <w:lang w:val="en-US"/>
        </w:rPr>
        <w:t xml:space="preserve"> himself/herself</w:t>
      </w:r>
      <w:r w:rsidR="00621A11" w:rsidRPr="001A70B4">
        <w:rPr>
          <w:szCs w:val="24"/>
          <w:lang w:val="en-US"/>
        </w:rPr>
        <w:t xml:space="preserve"> </w:t>
      </w:r>
      <w:r w:rsidR="001A70B4" w:rsidRPr="001A70B4">
        <w:rPr>
          <w:szCs w:val="24"/>
          <w:lang w:val="en-US"/>
        </w:rPr>
        <w:t>is</w:t>
      </w:r>
      <w:r w:rsidR="00621A11" w:rsidRPr="001A70B4">
        <w:rPr>
          <w:szCs w:val="24"/>
          <w:lang w:val="en-US"/>
        </w:rPr>
        <w:t xml:space="preserve"> an active member of the Heart Team</w:t>
      </w:r>
      <w:r w:rsidR="00CC3684">
        <w:rPr>
          <w:szCs w:val="24"/>
          <w:lang w:val="en-US"/>
        </w:rPr>
        <w:t>.</w:t>
      </w:r>
    </w:p>
    <w:p w14:paraId="3445D431" w14:textId="358A9070" w:rsidR="00476148" w:rsidRDefault="00246411" w:rsidP="00476148">
      <w:pPr>
        <w:rPr>
          <w:szCs w:val="24"/>
          <w:lang w:val="en-US"/>
        </w:rPr>
      </w:pPr>
      <w:r w:rsidRPr="00476148">
        <w:rPr>
          <w:szCs w:val="24"/>
          <w:lang w:val="en-US"/>
        </w:rPr>
        <w:t xml:space="preserve">It is important to underline that the decision </w:t>
      </w:r>
      <w:r w:rsidR="000F4DA3" w:rsidRPr="00476148">
        <w:rPr>
          <w:szCs w:val="24"/>
          <w:lang w:val="en-US"/>
        </w:rPr>
        <w:t xml:space="preserve">of the therapy </w:t>
      </w:r>
      <w:r w:rsidRPr="00476148">
        <w:rPr>
          <w:szCs w:val="24"/>
          <w:lang w:val="en-US"/>
        </w:rPr>
        <w:t>taken by the Heart Tea</w:t>
      </w:r>
      <w:r w:rsidR="000F4DA3" w:rsidRPr="00476148">
        <w:rPr>
          <w:szCs w:val="24"/>
          <w:lang w:val="en-US"/>
        </w:rPr>
        <w:t>m</w:t>
      </w:r>
      <w:r w:rsidRPr="00476148">
        <w:rPr>
          <w:szCs w:val="24"/>
          <w:lang w:val="en-US"/>
        </w:rPr>
        <w:t xml:space="preserve"> </w:t>
      </w:r>
      <w:r w:rsidR="00476148" w:rsidRPr="00476148">
        <w:rPr>
          <w:szCs w:val="24"/>
          <w:lang w:val="en-US"/>
        </w:rPr>
        <w:t>should consider the preference of the informed patient</w:t>
      </w:r>
      <w:r w:rsidR="00DA2C94">
        <w:rPr>
          <w:szCs w:val="24"/>
          <w:lang w:val="en-US"/>
        </w:rPr>
        <w:t>. Patients should</w:t>
      </w:r>
      <w:r w:rsidR="002C7ABC">
        <w:rPr>
          <w:szCs w:val="24"/>
          <w:lang w:val="en-US"/>
        </w:rPr>
        <w:t xml:space="preserve"> </w:t>
      </w:r>
      <w:r w:rsidR="00476148" w:rsidRPr="00476148">
        <w:rPr>
          <w:szCs w:val="24"/>
          <w:lang w:val="en-US"/>
        </w:rPr>
        <w:t xml:space="preserve">be </w:t>
      </w:r>
      <w:r w:rsidR="00DA2C94">
        <w:rPr>
          <w:szCs w:val="24"/>
          <w:lang w:val="en-US"/>
        </w:rPr>
        <w:t xml:space="preserve">supported by the Clinical Valve Coordinator and receive education about the </w:t>
      </w:r>
      <w:r w:rsidR="00476148" w:rsidRPr="00476148">
        <w:rPr>
          <w:szCs w:val="24"/>
          <w:lang w:val="en-US"/>
        </w:rPr>
        <w:t xml:space="preserve"> procedure, recovery, hospitalization time, associated risks, alternative </w:t>
      </w:r>
      <w:proofErr w:type="spellStart"/>
      <w:r w:rsidR="00476148" w:rsidRPr="00476148">
        <w:rPr>
          <w:szCs w:val="24"/>
          <w:lang w:val="en-US"/>
        </w:rPr>
        <w:t>treatement</w:t>
      </w:r>
      <w:proofErr w:type="spellEnd"/>
      <w:r w:rsidR="00476148" w:rsidRPr="00476148">
        <w:rPr>
          <w:szCs w:val="24"/>
          <w:lang w:val="en-US"/>
        </w:rPr>
        <w:t xml:space="preserve">, </w:t>
      </w:r>
      <w:r w:rsidR="00476148">
        <w:rPr>
          <w:szCs w:val="24"/>
          <w:lang w:val="en-US"/>
        </w:rPr>
        <w:t>etc.</w:t>
      </w:r>
      <w:r w:rsidR="00DA2C94">
        <w:rPr>
          <w:szCs w:val="24"/>
          <w:lang w:val="en-US"/>
        </w:rPr>
        <w:t xml:space="preserve">, </w:t>
      </w:r>
      <w:r w:rsidR="00476148" w:rsidRPr="00476148">
        <w:rPr>
          <w:szCs w:val="24"/>
          <w:lang w:val="en-US"/>
        </w:rPr>
        <w:t xml:space="preserve"> ideally </w:t>
      </w:r>
      <w:r w:rsidR="00DA2C94">
        <w:rPr>
          <w:szCs w:val="24"/>
          <w:lang w:val="en-US"/>
        </w:rPr>
        <w:t xml:space="preserve">they should be provided </w:t>
      </w:r>
      <w:r w:rsidR="00476148" w:rsidRPr="00476148">
        <w:rPr>
          <w:szCs w:val="24"/>
          <w:lang w:val="en-US"/>
        </w:rPr>
        <w:t xml:space="preserve"> dedicated supporting material to facilitate the</w:t>
      </w:r>
      <w:r w:rsidR="00DA2C94">
        <w:rPr>
          <w:szCs w:val="24"/>
          <w:lang w:val="en-US"/>
        </w:rPr>
        <w:t>ir</w:t>
      </w:r>
      <w:r w:rsidR="00476148" w:rsidRPr="00476148">
        <w:rPr>
          <w:szCs w:val="24"/>
          <w:lang w:val="en-US"/>
        </w:rPr>
        <w:t xml:space="preserve"> understanding</w:t>
      </w:r>
      <w:r w:rsidR="00476148">
        <w:rPr>
          <w:szCs w:val="24"/>
          <w:lang w:val="en-US"/>
        </w:rPr>
        <w:t xml:space="preserve">. </w:t>
      </w:r>
      <w:r w:rsidR="00DA2C94">
        <w:rPr>
          <w:szCs w:val="24"/>
          <w:lang w:val="en-US"/>
        </w:rPr>
        <w:t xml:space="preserve">Structured and tailored </w:t>
      </w:r>
      <w:r w:rsidR="00476148" w:rsidRPr="006C2496">
        <w:rPr>
          <w:szCs w:val="24"/>
          <w:lang w:val="en-US"/>
        </w:rPr>
        <w:t>co-ordination in the pre</w:t>
      </w:r>
      <w:r w:rsidR="00DA2C94">
        <w:rPr>
          <w:szCs w:val="24"/>
          <w:lang w:val="en-US"/>
        </w:rPr>
        <w:t xml:space="preserve"> and post</w:t>
      </w:r>
      <w:r w:rsidR="00476148" w:rsidRPr="006C2496">
        <w:rPr>
          <w:szCs w:val="24"/>
          <w:lang w:val="en-US"/>
        </w:rPr>
        <w:t>-TAVI phase</w:t>
      </w:r>
      <w:r w:rsidR="00DA2C94">
        <w:rPr>
          <w:szCs w:val="24"/>
          <w:lang w:val="en-US"/>
        </w:rPr>
        <w:t>s</w:t>
      </w:r>
      <w:r w:rsidR="00476148" w:rsidRPr="006C2496">
        <w:rPr>
          <w:szCs w:val="24"/>
          <w:lang w:val="en-US"/>
        </w:rPr>
        <w:t xml:space="preserve"> </w:t>
      </w:r>
      <w:r w:rsidR="00DA2C94">
        <w:rPr>
          <w:szCs w:val="24"/>
          <w:lang w:val="en-US"/>
        </w:rPr>
        <w:t xml:space="preserve">can </w:t>
      </w:r>
      <w:r w:rsidR="00476148" w:rsidRPr="006C2496">
        <w:rPr>
          <w:szCs w:val="24"/>
          <w:lang w:val="en-US"/>
        </w:rPr>
        <w:t xml:space="preserve">improve </w:t>
      </w:r>
      <w:r w:rsidR="00DA2C94">
        <w:rPr>
          <w:szCs w:val="24"/>
          <w:lang w:val="en-US"/>
        </w:rPr>
        <w:t xml:space="preserve">the </w:t>
      </w:r>
      <w:r w:rsidR="00476148" w:rsidRPr="006C2496">
        <w:rPr>
          <w:szCs w:val="24"/>
          <w:lang w:val="en-US"/>
        </w:rPr>
        <w:t xml:space="preserve">patient </w:t>
      </w:r>
      <w:r w:rsidR="00DA2C94">
        <w:rPr>
          <w:szCs w:val="24"/>
          <w:lang w:val="en-US"/>
        </w:rPr>
        <w:t>journey</w:t>
      </w:r>
      <w:r w:rsidR="00476148" w:rsidRPr="006C2496">
        <w:rPr>
          <w:szCs w:val="24"/>
          <w:lang w:val="en-US"/>
        </w:rPr>
        <w:t xml:space="preserve"> and </w:t>
      </w:r>
      <w:proofErr w:type="spellStart"/>
      <w:r w:rsidR="00476148" w:rsidRPr="006C2496">
        <w:rPr>
          <w:szCs w:val="24"/>
          <w:lang w:val="en-US"/>
        </w:rPr>
        <w:t>optimise</w:t>
      </w:r>
      <w:proofErr w:type="spellEnd"/>
      <w:r w:rsidR="00476148" w:rsidRPr="006C2496">
        <w:rPr>
          <w:szCs w:val="24"/>
          <w:lang w:val="en-US"/>
        </w:rPr>
        <w:t xml:space="preserve"> post-procedural follow-up</w:t>
      </w:r>
      <w:r w:rsidR="00476148">
        <w:rPr>
          <w:szCs w:val="24"/>
          <w:lang w:val="en-US"/>
        </w:rPr>
        <w:t xml:space="preserve">. </w:t>
      </w:r>
    </w:p>
    <w:p w14:paraId="3657BAFD" w14:textId="34AED7BC" w:rsidR="00682B8C" w:rsidRDefault="006C2496">
      <w:pPr>
        <w:rPr>
          <w:szCs w:val="24"/>
          <w:lang w:val="en-US"/>
        </w:rPr>
      </w:pPr>
      <w:r w:rsidRPr="006C2496">
        <w:rPr>
          <w:szCs w:val="24"/>
          <w:lang w:val="en-US"/>
        </w:rPr>
        <w:t xml:space="preserve">Once the decision </w:t>
      </w:r>
      <w:r w:rsidR="00DA2C94">
        <w:rPr>
          <w:szCs w:val="24"/>
          <w:lang w:val="en-US"/>
        </w:rPr>
        <w:t xml:space="preserve">for TAVI </w:t>
      </w:r>
      <w:r w:rsidRPr="006C2496">
        <w:rPr>
          <w:szCs w:val="24"/>
          <w:lang w:val="en-US"/>
        </w:rPr>
        <w:t xml:space="preserve">has been made, the </w:t>
      </w:r>
      <w:r w:rsidR="00F2408D" w:rsidRPr="00F2408D">
        <w:rPr>
          <w:szCs w:val="24"/>
          <w:lang w:val="en-US"/>
        </w:rPr>
        <w:t>Clinical Valve Coordinator</w:t>
      </w:r>
      <w:r w:rsidRPr="006C2496">
        <w:rPr>
          <w:szCs w:val="24"/>
          <w:lang w:val="en-US"/>
        </w:rPr>
        <w:t xml:space="preserve"> will </w:t>
      </w:r>
      <w:r w:rsidR="00DA2C94">
        <w:rPr>
          <w:szCs w:val="24"/>
          <w:lang w:val="en-US"/>
        </w:rPr>
        <w:t xml:space="preserve">act as a point of contact </w:t>
      </w:r>
      <w:r w:rsidRPr="006C2496">
        <w:rPr>
          <w:szCs w:val="24"/>
          <w:lang w:val="en-US"/>
        </w:rPr>
        <w:t xml:space="preserve">promoting </w:t>
      </w:r>
      <w:r w:rsidR="00DA2C94">
        <w:rPr>
          <w:szCs w:val="24"/>
          <w:lang w:val="en-US"/>
        </w:rPr>
        <w:t xml:space="preserve">streamlined processes which </w:t>
      </w:r>
      <w:r w:rsidRPr="006C2496">
        <w:rPr>
          <w:szCs w:val="24"/>
          <w:lang w:val="en-US"/>
        </w:rPr>
        <w:t xml:space="preserve">includes reduction of pre-hospital waiting time, local </w:t>
      </w:r>
      <w:proofErr w:type="spellStart"/>
      <w:r w:rsidRPr="006C2496">
        <w:rPr>
          <w:szCs w:val="24"/>
          <w:lang w:val="en-US"/>
        </w:rPr>
        <w:t>anaesthesia</w:t>
      </w:r>
      <w:proofErr w:type="spellEnd"/>
      <w:r w:rsidRPr="006C2496">
        <w:rPr>
          <w:szCs w:val="24"/>
          <w:lang w:val="en-US"/>
        </w:rPr>
        <w:t xml:space="preserve">, reduction of unnecessary procedure materials, early </w:t>
      </w:r>
      <w:proofErr w:type="spellStart"/>
      <w:r w:rsidRPr="006C2496">
        <w:rPr>
          <w:szCs w:val="24"/>
          <w:lang w:val="en-US"/>
        </w:rPr>
        <w:t>mobilisation</w:t>
      </w:r>
      <w:proofErr w:type="spellEnd"/>
      <w:r w:rsidRPr="006C2496">
        <w:rPr>
          <w:szCs w:val="24"/>
          <w:lang w:val="en-US"/>
        </w:rPr>
        <w:t xml:space="preserve">, reduced hospital stay. </w:t>
      </w:r>
    </w:p>
    <w:p w14:paraId="00FEA146" w14:textId="0D00939E" w:rsidR="006C2496" w:rsidRDefault="006C2496">
      <w:pPr>
        <w:rPr>
          <w:szCs w:val="24"/>
          <w:lang w:val="en-US"/>
        </w:rPr>
      </w:pPr>
      <w:r w:rsidRPr="006C2496">
        <w:rPr>
          <w:szCs w:val="24"/>
          <w:lang w:val="en-US"/>
        </w:rPr>
        <w:t xml:space="preserve">Finally, the </w:t>
      </w:r>
      <w:r w:rsidR="00F2408D" w:rsidRPr="00F2408D">
        <w:rPr>
          <w:szCs w:val="24"/>
          <w:lang w:val="en-US"/>
        </w:rPr>
        <w:t>Clinical Valve Coordinator</w:t>
      </w:r>
      <w:r w:rsidRPr="006C2496">
        <w:rPr>
          <w:szCs w:val="24"/>
          <w:lang w:val="en-US"/>
        </w:rPr>
        <w:t xml:space="preserve"> will be responsible for data collection during </w:t>
      </w:r>
      <w:proofErr w:type="spellStart"/>
      <w:r w:rsidRPr="006C2496">
        <w:rPr>
          <w:szCs w:val="24"/>
          <w:lang w:val="en-US"/>
        </w:rPr>
        <w:t>hospitalisation</w:t>
      </w:r>
      <w:proofErr w:type="spellEnd"/>
      <w:r w:rsidRPr="006C2496">
        <w:rPr>
          <w:szCs w:val="24"/>
          <w:lang w:val="en-US"/>
        </w:rPr>
        <w:t xml:space="preserve"> and during the follow-up visit of patients coming directly to </w:t>
      </w:r>
      <w:r w:rsidR="00A07490">
        <w:rPr>
          <w:szCs w:val="24"/>
          <w:lang w:val="en-US"/>
        </w:rPr>
        <w:t>the TAVI</w:t>
      </w:r>
      <w:r w:rsidR="00A07490" w:rsidRPr="006C2496">
        <w:rPr>
          <w:szCs w:val="24"/>
          <w:lang w:val="en-US"/>
        </w:rPr>
        <w:t xml:space="preserve"> </w:t>
      </w:r>
      <w:proofErr w:type="spellStart"/>
      <w:r w:rsidRPr="006C2496">
        <w:rPr>
          <w:szCs w:val="24"/>
          <w:lang w:val="en-US"/>
        </w:rPr>
        <w:t>centre</w:t>
      </w:r>
      <w:proofErr w:type="spellEnd"/>
      <w:r w:rsidRPr="006C2496">
        <w:rPr>
          <w:szCs w:val="24"/>
          <w:lang w:val="en-US"/>
        </w:rPr>
        <w:t xml:space="preserve">, </w:t>
      </w:r>
      <w:proofErr w:type="spellStart"/>
      <w:r w:rsidRPr="006C2496">
        <w:rPr>
          <w:szCs w:val="24"/>
          <w:lang w:val="en-US"/>
        </w:rPr>
        <w:t>neighbouring</w:t>
      </w:r>
      <w:proofErr w:type="spellEnd"/>
      <w:r w:rsidRPr="006C2496">
        <w:rPr>
          <w:szCs w:val="24"/>
          <w:lang w:val="en-US"/>
        </w:rPr>
        <w:t xml:space="preserve"> facilities and spoke hospitals.</w:t>
      </w:r>
    </w:p>
    <w:p w14:paraId="5CF616DD" w14:textId="37245366" w:rsidR="006C2496" w:rsidRPr="003F775D" w:rsidRDefault="006C2496" w:rsidP="006C2496">
      <w:pPr>
        <w:pStyle w:val="Titolo1"/>
        <w:rPr>
          <w:sz w:val="28"/>
          <w:lang w:val="en-GB"/>
        </w:rPr>
      </w:pPr>
    </w:p>
    <w:p w14:paraId="7BE6D70B" w14:textId="399FF7BA" w:rsidR="006C2496" w:rsidRDefault="006C2496" w:rsidP="00E47603">
      <w:pPr>
        <w:autoSpaceDE w:val="0"/>
        <w:spacing w:line="276" w:lineRule="auto"/>
        <w:rPr>
          <w:rFonts w:cs="Times New Roman"/>
          <w:b/>
          <w:sz w:val="28"/>
          <w:szCs w:val="28"/>
          <w:lang w:val="en-US"/>
        </w:rPr>
      </w:pPr>
      <w:r w:rsidRPr="00FE7CC2">
        <w:rPr>
          <w:rFonts w:cs="Times New Roman"/>
          <w:b/>
          <w:sz w:val="28"/>
          <w:szCs w:val="28"/>
          <w:lang w:val="en-US"/>
        </w:rPr>
        <w:t>Human and Instrumental Resources:</w:t>
      </w:r>
    </w:p>
    <w:p w14:paraId="4F09331B" w14:textId="1D099180" w:rsidR="006C2496" w:rsidRPr="00166AE5" w:rsidRDefault="00215DC6" w:rsidP="006C2496">
      <w:pPr>
        <w:rPr>
          <w:szCs w:val="24"/>
          <w:lang w:val="en-US"/>
        </w:rPr>
      </w:pPr>
      <w:r w:rsidRPr="00166AE5">
        <w:rPr>
          <w:rStyle w:val="rynqvb"/>
          <w:lang w:val="en"/>
        </w:rPr>
        <w:t xml:space="preserve">The Clinical Valve Coordinator is responsible for coordinating all the professionals involved in the TAVI </w:t>
      </w:r>
      <w:r w:rsidR="00060294" w:rsidRPr="00166AE5">
        <w:rPr>
          <w:rStyle w:val="rynqvb"/>
          <w:lang w:val="en"/>
        </w:rPr>
        <w:t>pathway</w:t>
      </w:r>
      <w:r w:rsidRPr="00166AE5">
        <w:rPr>
          <w:rStyle w:val="rynqvb"/>
          <w:lang w:val="en"/>
        </w:rPr>
        <w:t xml:space="preserve">. Furthermore </w:t>
      </w:r>
      <w:r w:rsidR="00611C30" w:rsidRPr="00166AE5">
        <w:rPr>
          <w:rStyle w:val="rynqvb"/>
          <w:lang w:val="en"/>
        </w:rPr>
        <w:t>it</w:t>
      </w:r>
      <w:r w:rsidRPr="00166AE5">
        <w:rPr>
          <w:rStyle w:val="rynqvb"/>
          <w:lang w:val="en"/>
        </w:rPr>
        <w:t xml:space="preserve"> is responsible for evaluating the technology used in the process.</w:t>
      </w:r>
    </w:p>
    <w:p w14:paraId="67B8D680" w14:textId="77777777" w:rsidR="00215DC6" w:rsidRDefault="00215DC6" w:rsidP="006C2496">
      <w:pPr>
        <w:rPr>
          <w:szCs w:val="24"/>
          <w:lang w:val="en-US"/>
        </w:rPr>
      </w:pPr>
    </w:p>
    <w:p w14:paraId="39D29122" w14:textId="77777777" w:rsidR="00215DC6" w:rsidRDefault="00215DC6" w:rsidP="006C2496">
      <w:pPr>
        <w:rPr>
          <w:szCs w:val="24"/>
          <w:lang w:val="en-US"/>
        </w:rPr>
      </w:pPr>
    </w:p>
    <w:p w14:paraId="5B8DE6CA" w14:textId="2990C070" w:rsidR="006C2496" w:rsidRPr="00FE7CC2" w:rsidRDefault="006C2496" w:rsidP="006C2496">
      <w:pPr>
        <w:pStyle w:val="Titolo1"/>
        <w:rPr>
          <w:color w:val="auto"/>
          <w:sz w:val="28"/>
          <w:szCs w:val="28"/>
          <w:lang w:val="en-US"/>
        </w:rPr>
      </w:pPr>
      <w:r w:rsidRPr="00FE7CC2">
        <w:rPr>
          <w:color w:val="auto"/>
          <w:sz w:val="28"/>
          <w:szCs w:val="28"/>
          <w:lang w:val="en-US"/>
        </w:rPr>
        <w:t>Organi</w:t>
      </w:r>
      <w:r w:rsidR="0093450A" w:rsidRPr="00FE7CC2">
        <w:rPr>
          <w:color w:val="auto"/>
          <w:sz w:val="28"/>
          <w:szCs w:val="28"/>
          <w:lang w:val="en-US"/>
        </w:rPr>
        <w:t>z</w:t>
      </w:r>
      <w:r w:rsidRPr="00FE7CC2">
        <w:rPr>
          <w:color w:val="auto"/>
          <w:sz w:val="28"/>
          <w:szCs w:val="28"/>
          <w:lang w:val="en-US"/>
        </w:rPr>
        <w:t>ational and functional relationships:</w:t>
      </w:r>
    </w:p>
    <w:p w14:paraId="65F42CF4" w14:textId="77777777" w:rsidR="008572B7" w:rsidRPr="008572B7" w:rsidRDefault="008572B7" w:rsidP="008572B7">
      <w:pPr>
        <w:rPr>
          <w:lang w:val="en-US"/>
        </w:rPr>
      </w:pPr>
    </w:p>
    <w:tbl>
      <w:tblPr>
        <w:tblW w:w="9438" w:type="dxa"/>
        <w:tblInd w:w="55" w:type="dxa"/>
        <w:tblLayout w:type="fixed"/>
        <w:tblCellMar>
          <w:top w:w="55" w:type="dxa"/>
          <w:left w:w="55" w:type="dxa"/>
          <w:bottom w:w="55" w:type="dxa"/>
          <w:right w:w="55" w:type="dxa"/>
        </w:tblCellMar>
        <w:tblLook w:val="0000" w:firstRow="0" w:lastRow="0" w:firstColumn="0" w:lastColumn="0" w:noHBand="0" w:noVBand="0"/>
      </w:tblPr>
      <w:tblGrid>
        <w:gridCol w:w="3626"/>
        <w:gridCol w:w="5812"/>
      </w:tblGrid>
      <w:tr w:rsidR="006C2496" w:rsidRPr="0077517F" w14:paraId="32EC40FF" w14:textId="77777777" w:rsidTr="00B37EA0">
        <w:trPr>
          <w:trHeight w:val="278"/>
        </w:trPr>
        <w:tc>
          <w:tcPr>
            <w:tcW w:w="3626" w:type="dxa"/>
            <w:tcBorders>
              <w:top w:val="single" w:sz="4" w:space="0" w:color="000000"/>
              <w:left w:val="single" w:sz="4" w:space="0" w:color="000000"/>
              <w:bottom w:val="single" w:sz="4" w:space="0" w:color="000000"/>
            </w:tcBorders>
            <w:shd w:val="clear" w:color="auto" w:fill="E7E6E6" w:themeFill="background2"/>
          </w:tcPr>
          <w:p w14:paraId="4EE761BB" w14:textId="0B4A8FF7" w:rsidR="006C2496" w:rsidRPr="0077517F" w:rsidRDefault="008B51FD" w:rsidP="00822679">
            <w:pPr>
              <w:pStyle w:val="Intestazionecelle"/>
            </w:pPr>
            <w:r w:rsidRPr="0077517F">
              <w:rPr>
                <w:rStyle w:val="rynqvb"/>
                <w:b/>
                <w:bCs/>
                <w:sz w:val="20"/>
                <w:szCs w:val="20"/>
                <w:lang w:val="en"/>
              </w:rPr>
              <w:t>Interlocutor</w:t>
            </w:r>
            <w:r w:rsidR="006C2496" w:rsidRPr="0077517F">
              <w:t>:</w:t>
            </w:r>
          </w:p>
        </w:tc>
        <w:tc>
          <w:tcPr>
            <w:tcW w:w="581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9D344D" w14:textId="3A38BE2D" w:rsidR="006C2496" w:rsidRPr="0077517F" w:rsidRDefault="00B37EA0" w:rsidP="00822679">
            <w:pPr>
              <w:pStyle w:val="Intestazionecelle"/>
            </w:pPr>
            <w:r w:rsidRPr="0077517F">
              <w:rPr>
                <w:rStyle w:val="rynqvb"/>
                <w:b/>
                <w:bCs/>
                <w:sz w:val="20"/>
                <w:szCs w:val="20"/>
                <w:lang w:val="en"/>
              </w:rPr>
              <w:t>Interaction</w:t>
            </w:r>
            <w:r w:rsidR="006C2496" w:rsidRPr="0077517F">
              <w:t>:</w:t>
            </w:r>
          </w:p>
        </w:tc>
      </w:tr>
      <w:tr w:rsidR="006C2496" w:rsidRPr="00611C30" w14:paraId="6DEEBD80" w14:textId="77777777">
        <w:trPr>
          <w:trHeight w:val="320"/>
        </w:trPr>
        <w:tc>
          <w:tcPr>
            <w:tcW w:w="3626" w:type="dxa"/>
            <w:tcBorders>
              <w:top w:val="single" w:sz="4" w:space="0" w:color="000000"/>
              <w:left w:val="single" w:sz="4" w:space="0" w:color="000000"/>
              <w:bottom w:val="single" w:sz="4" w:space="0" w:color="000000"/>
            </w:tcBorders>
            <w:shd w:val="clear" w:color="auto" w:fill="auto"/>
            <w:vAlign w:val="center"/>
          </w:tcPr>
          <w:p w14:paraId="4AF310EE" w14:textId="2D086159" w:rsidR="006C2496" w:rsidRPr="0077517F" w:rsidRDefault="006C2496">
            <w:pPr>
              <w:rPr>
                <w:sz w:val="20"/>
                <w:szCs w:val="20"/>
              </w:rPr>
            </w:pPr>
            <w:proofErr w:type="spellStart"/>
            <w:r w:rsidRPr="0077517F">
              <w:rPr>
                <w:sz w:val="20"/>
                <w:szCs w:val="20"/>
              </w:rPr>
              <w:t>Patients</w:t>
            </w:r>
            <w:proofErr w:type="spellEnd"/>
            <w:r w:rsidRPr="0077517F">
              <w:rPr>
                <w:sz w:val="20"/>
                <w:szCs w:val="20"/>
              </w:rPr>
              <w:t xml:space="preserve"> and family</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81DC" w14:textId="77777777" w:rsidR="006C2496" w:rsidRPr="0077517F" w:rsidRDefault="006C2496">
            <w:pPr>
              <w:rPr>
                <w:sz w:val="20"/>
                <w:szCs w:val="20"/>
                <w:lang w:val="en-US"/>
              </w:rPr>
            </w:pPr>
            <w:r w:rsidRPr="0077517F">
              <w:rPr>
                <w:b/>
                <w:bCs/>
                <w:sz w:val="20"/>
                <w:szCs w:val="20"/>
                <w:lang w:val="en-US"/>
              </w:rPr>
              <w:t xml:space="preserve">Functional relationship: </w:t>
            </w:r>
            <w:r w:rsidRPr="0077517F">
              <w:rPr>
                <w:sz w:val="20"/>
                <w:szCs w:val="20"/>
                <w:lang w:val="en-US"/>
              </w:rPr>
              <w:t>coordinates the pre-hospital pathway, gathering the information needed by the Heart Team to make decisions about the patient and the procedure to be performed, the pre-procedural pathway and the post-procedural pathway</w:t>
            </w:r>
            <w:r w:rsidR="00270661" w:rsidRPr="0077517F">
              <w:rPr>
                <w:sz w:val="20"/>
                <w:szCs w:val="20"/>
                <w:lang w:val="en-US"/>
              </w:rPr>
              <w:t xml:space="preserve"> (clinical assessment with completion of necessary preprocedural tests)</w:t>
            </w:r>
            <w:r w:rsidR="00481ACA" w:rsidRPr="0077517F">
              <w:rPr>
                <w:sz w:val="20"/>
                <w:szCs w:val="20"/>
                <w:lang w:val="en-US"/>
              </w:rPr>
              <w:t>.</w:t>
            </w:r>
          </w:p>
          <w:p w14:paraId="69DD6814" w14:textId="57CD2CE4" w:rsidR="00481ACA" w:rsidRPr="0077517F" w:rsidRDefault="00114836">
            <w:pPr>
              <w:rPr>
                <w:b/>
                <w:bCs/>
                <w:sz w:val="20"/>
                <w:szCs w:val="20"/>
                <w:lang w:val="en-US"/>
              </w:rPr>
            </w:pPr>
            <w:r w:rsidRPr="0077517F">
              <w:rPr>
                <w:sz w:val="20"/>
                <w:szCs w:val="20"/>
                <w:lang w:val="en-US"/>
              </w:rPr>
              <w:t xml:space="preserve">He/she is </w:t>
            </w:r>
            <w:r w:rsidRPr="0077517F">
              <w:rPr>
                <w:rStyle w:val="rynqvb"/>
                <w:sz w:val="20"/>
                <w:szCs w:val="20"/>
                <w:lang w:val="en"/>
              </w:rPr>
              <w:t>point of reference for patient and family education.</w:t>
            </w:r>
          </w:p>
        </w:tc>
      </w:tr>
      <w:tr w:rsidR="006C2496" w:rsidRPr="00611C30" w14:paraId="58F215EC" w14:textId="77777777">
        <w:trPr>
          <w:trHeight w:val="320"/>
        </w:trPr>
        <w:tc>
          <w:tcPr>
            <w:tcW w:w="3626" w:type="dxa"/>
            <w:tcBorders>
              <w:top w:val="single" w:sz="4" w:space="0" w:color="000000"/>
              <w:left w:val="single" w:sz="4" w:space="0" w:color="000000"/>
              <w:bottom w:val="single" w:sz="4" w:space="0" w:color="000000"/>
            </w:tcBorders>
            <w:shd w:val="clear" w:color="auto" w:fill="auto"/>
            <w:vAlign w:val="center"/>
          </w:tcPr>
          <w:p w14:paraId="7AE8C976" w14:textId="63D538BE" w:rsidR="006C2496" w:rsidRPr="0077517F" w:rsidRDefault="00EE469F" w:rsidP="0093450A">
            <w:pPr>
              <w:jc w:val="left"/>
              <w:rPr>
                <w:sz w:val="20"/>
                <w:szCs w:val="20"/>
                <w:lang w:val="en-US"/>
              </w:rPr>
            </w:pPr>
            <w:r w:rsidRPr="0077517F">
              <w:rPr>
                <w:sz w:val="20"/>
                <w:szCs w:val="20"/>
                <w:lang w:val="en-GB"/>
              </w:rPr>
              <w:t>G</w:t>
            </w:r>
            <w:proofErr w:type="spellStart"/>
            <w:r w:rsidRPr="0077517F">
              <w:rPr>
                <w:sz w:val="20"/>
                <w:szCs w:val="20"/>
                <w:lang w:val="en-US"/>
              </w:rPr>
              <w:t>eneral</w:t>
            </w:r>
            <w:proofErr w:type="spellEnd"/>
            <w:r w:rsidRPr="0077517F">
              <w:rPr>
                <w:sz w:val="20"/>
                <w:szCs w:val="20"/>
                <w:lang w:val="en-US"/>
              </w:rPr>
              <w:t xml:space="preserve"> practitioner</w:t>
            </w:r>
            <w:r w:rsidR="006C2496" w:rsidRPr="0077517F">
              <w:rPr>
                <w:sz w:val="20"/>
                <w:szCs w:val="20"/>
                <w:lang w:val="en-US"/>
              </w:rPr>
              <w:t>, other specialists and out-of-hospital cardiologists</w:t>
            </w:r>
          </w:p>
        </w:tc>
        <w:tc>
          <w:tcPr>
            <w:tcW w:w="5812" w:type="dxa"/>
            <w:vMerge w:val="restart"/>
            <w:tcBorders>
              <w:top w:val="single" w:sz="4" w:space="0" w:color="000000"/>
              <w:left w:val="single" w:sz="4" w:space="0" w:color="000000"/>
              <w:right w:val="single" w:sz="4" w:space="0" w:color="000000"/>
            </w:tcBorders>
            <w:shd w:val="clear" w:color="auto" w:fill="auto"/>
            <w:vAlign w:val="center"/>
          </w:tcPr>
          <w:p w14:paraId="15956702" w14:textId="77777777" w:rsidR="006C2496" w:rsidRPr="0077517F" w:rsidRDefault="006C2496">
            <w:pPr>
              <w:rPr>
                <w:sz w:val="20"/>
                <w:szCs w:val="20"/>
                <w:lang w:val="en-US"/>
              </w:rPr>
            </w:pPr>
            <w:r w:rsidRPr="0077517F">
              <w:rPr>
                <w:sz w:val="20"/>
                <w:szCs w:val="20"/>
                <w:lang w:val="en-US"/>
              </w:rPr>
              <w:t xml:space="preserve">Functional relation: informs them of the possibility of carrying out the TAVI procedure in patients with </w:t>
            </w:r>
            <w:proofErr w:type="spellStart"/>
            <w:r w:rsidR="004636FE" w:rsidRPr="0077517F">
              <w:rPr>
                <w:sz w:val="20"/>
                <w:szCs w:val="20"/>
                <w:lang w:val="en-US"/>
              </w:rPr>
              <w:t>s</w:t>
            </w:r>
            <w:r w:rsidRPr="0077517F">
              <w:rPr>
                <w:sz w:val="20"/>
                <w:szCs w:val="20"/>
                <w:lang w:val="en-US"/>
              </w:rPr>
              <w:t>AS</w:t>
            </w:r>
            <w:proofErr w:type="spellEnd"/>
            <w:r w:rsidR="0021595E" w:rsidRPr="0077517F">
              <w:rPr>
                <w:sz w:val="20"/>
                <w:szCs w:val="20"/>
                <w:lang w:val="en-US"/>
              </w:rPr>
              <w:t>.</w:t>
            </w:r>
          </w:p>
          <w:p w14:paraId="1CD068A0" w14:textId="77777777" w:rsidR="0021595E" w:rsidRPr="0077517F" w:rsidRDefault="0021595E">
            <w:pPr>
              <w:rPr>
                <w:sz w:val="20"/>
                <w:szCs w:val="20"/>
                <w:lang w:val="en-US"/>
              </w:rPr>
            </w:pPr>
            <w:r w:rsidRPr="0077517F">
              <w:rPr>
                <w:sz w:val="20"/>
                <w:szCs w:val="20"/>
                <w:lang w:val="en-US"/>
              </w:rPr>
              <w:t>Contact person for patients also in the follow up (after discharge).</w:t>
            </w:r>
          </w:p>
          <w:p w14:paraId="4F85BEB5" w14:textId="5EBAA9DA" w:rsidR="002C4318" w:rsidRPr="0077517F" w:rsidRDefault="00F2408D">
            <w:pPr>
              <w:rPr>
                <w:sz w:val="20"/>
                <w:szCs w:val="20"/>
                <w:lang w:val="en-US"/>
              </w:rPr>
            </w:pPr>
            <w:r w:rsidRPr="00F2408D">
              <w:rPr>
                <w:sz w:val="20"/>
                <w:szCs w:val="20"/>
                <w:lang w:val="en-US"/>
              </w:rPr>
              <w:t>Clinical Valve Coordinator</w:t>
            </w:r>
            <w:r w:rsidR="002C4318" w:rsidRPr="0077517F">
              <w:rPr>
                <w:sz w:val="20"/>
                <w:szCs w:val="20"/>
                <w:lang w:val="en-US"/>
              </w:rPr>
              <w:t xml:space="preserve"> is the contact person (Single point of contact) for referring physicians/hospitals.</w:t>
            </w:r>
          </w:p>
        </w:tc>
      </w:tr>
      <w:tr w:rsidR="006C2496" w:rsidRPr="00611C30" w14:paraId="43B355FE" w14:textId="77777777">
        <w:trPr>
          <w:trHeight w:val="320"/>
        </w:trPr>
        <w:tc>
          <w:tcPr>
            <w:tcW w:w="3626" w:type="dxa"/>
            <w:tcBorders>
              <w:top w:val="single" w:sz="4" w:space="0" w:color="000000"/>
              <w:left w:val="single" w:sz="4" w:space="0" w:color="000000"/>
              <w:bottom w:val="single" w:sz="4" w:space="0" w:color="000000"/>
            </w:tcBorders>
            <w:shd w:val="clear" w:color="auto" w:fill="auto"/>
            <w:vAlign w:val="center"/>
          </w:tcPr>
          <w:p w14:paraId="5A3FD55A" w14:textId="74F7911F" w:rsidR="006C2496" w:rsidRPr="0077517F" w:rsidRDefault="006C2496">
            <w:pPr>
              <w:rPr>
                <w:sz w:val="20"/>
                <w:szCs w:val="20"/>
                <w:lang w:val="en-US"/>
              </w:rPr>
            </w:pPr>
            <w:r w:rsidRPr="0077517F">
              <w:rPr>
                <w:sz w:val="20"/>
                <w:szCs w:val="20"/>
                <w:lang w:val="en-US"/>
              </w:rPr>
              <w:t xml:space="preserve">Clinical cardiologists </w:t>
            </w:r>
            <w:proofErr w:type="spellStart"/>
            <w:r w:rsidRPr="0077517F">
              <w:rPr>
                <w:sz w:val="20"/>
                <w:szCs w:val="20"/>
                <w:lang w:val="en-US"/>
              </w:rPr>
              <w:t>practising</w:t>
            </w:r>
            <w:proofErr w:type="spellEnd"/>
            <w:r w:rsidRPr="0077517F">
              <w:rPr>
                <w:sz w:val="20"/>
                <w:szCs w:val="20"/>
                <w:lang w:val="en-US"/>
              </w:rPr>
              <w:t xml:space="preserve"> in non-TAVI hospitals</w:t>
            </w:r>
          </w:p>
        </w:tc>
        <w:tc>
          <w:tcPr>
            <w:tcW w:w="5812" w:type="dxa"/>
            <w:vMerge/>
            <w:tcBorders>
              <w:left w:val="single" w:sz="4" w:space="0" w:color="000000"/>
              <w:bottom w:val="single" w:sz="4" w:space="0" w:color="000000"/>
              <w:right w:val="single" w:sz="4" w:space="0" w:color="000000"/>
            </w:tcBorders>
            <w:shd w:val="clear" w:color="auto" w:fill="auto"/>
            <w:vAlign w:val="center"/>
          </w:tcPr>
          <w:p w14:paraId="5DE8B6A2" w14:textId="77777777" w:rsidR="006C2496" w:rsidRPr="0077517F" w:rsidRDefault="006C2496">
            <w:pPr>
              <w:rPr>
                <w:b/>
                <w:bCs/>
                <w:sz w:val="20"/>
                <w:szCs w:val="20"/>
                <w:lang w:val="en-US"/>
              </w:rPr>
            </w:pPr>
          </w:p>
        </w:tc>
      </w:tr>
      <w:tr w:rsidR="006C2496" w:rsidRPr="00611C30" w14:paraId="2B402C1E" w14:textId="77777777">
        <w:trPr>
          <w:trHeight w:val="320"/>
        </w:trPr>
        <w:tc>
          <w:tcPr>
            <w:tcW w:w="3626" w:type="dxa"/>
            <w:tcBorders>
              <w:top w:val="single" w:sz="4" w:space="0" w:color="000000"/>
              <w:left w:val="single" w:sz="4" w:space="0" w:color="000000"/>
              <w:bottom w:val="single" w:sz="4" w:space="0" w:color="000000"/>
            </w:tcBorders>
            <w:shd w:val="clear" w:color="auto" w:fill="auto"/>
            <w:vAlign w:val="center"/>
          </w:tcPr>
          <w:p w14:paraId="51F6D5C0" w14:textId="1E960896" w:rsidR="006C2496" w:rsidRPr="0077517F" w:rsidRDefault="00145057">
            <w:pPr>
              <w:rPr>
                <w:sz w:val="20"/>
                <w:szCs w:val="20"/>
                <w:lang w:val="en-US"/>
              </w:rPr>
            </w:pPr>
            <w:r w:rsidRPr="0077517F">
              <w:rPr>
                <w:sz w:val="20"/>
                <w:szCs w:val="20"/>
                <w:lang w:val="en-US"/>
              </w:rPr>
              <w:t>Physicians</w:t>
            </w:r>
            <w:r w:rsidR="006C2496" w:rsidRPr="0077517F">
              <w:rPr>
                <w:sz w:val="20"/>
                <w:szCs w:val="20"/>
                <w:lang w:val="en-US"/>
              </w:rPr>
              <w:t xml:space="preserve"> and nurses attending TAVI patients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4A670" w14:textId="77777777" w:rsidR="0026467F" w:rsidRPr="0077517F" w:rsidRDefault="006C2496">
            <w:pPr>
              <w:rPr>
                <w:sz w:val="20"/>
                <w:szCs w:val="20"/>
                <w:lang w:val="en-US"/>
              </w:rPr>
            </w:pPr>
            <w:r w:rsidRPr="0077517F">
              <w:rPr>
                <w:b/>
                <w:bCs/>
                <w:sz w:val="20"/>
                <w:szCs w:val="20"/>
                <w:lang w:val="en-US"/>
              </w:rPr>
              <w:t>Functional relation</w:t>
            </w:r>
            <w:r w:rsidRPr="0077517F">
              <w:rPr>
                <w:sz w:val="20"/>
                <w:szCs w:val="20"/>
                <w:lang w:val="en-US"/>
              </w:rPr>
              <w:t>: collects patient information through them</w:t>
            </w:r>
            <w:r w:rsidR="0026467F" w:rsidRPr="0077517F">
              <w:rPr>
                <w:sz w:val="20"/>
                <w:szCs w:val="20"/>
                <w:lang w:val="en-US"/>
              </w:rPr>
              <w:t>. He/she is in connection and constant communication with all Heart team members for procedural planning and complication management</w:t>
            </w:r>
            <w:r w:rsidR="009734C2" w:rsidRPr="0077517F">
              <w:rPr>
                <w:sz w:val="20"/>
                <w:szCs w:val="20"/>
                <w:lang w:val="en-US"/>
              </w:rPr>
              <w:t>.</w:t>
            </w:r>
          </w:p>
          <w:p w14:paraId="41D9B5E5" w14:textId="01012357" w:rsidR="00140A6E" w:rsidRPr="0077517F" w:rsidRDefault="00F2408D" w:rsidP="00C70E28">
            <w:pPr>
              <w:rPr>
                <w:sz w:val="20"/>
                <w:szCs w:val="20"/>
                <w:lang w:val="en-US"/>
              </w:rPr>
            </w:pPr>
            <w:r w:rsidRPr="00F2408D">
              <w:rPr>
                <w:sz w:val="20"/>
                <w:szCs w:val="20"/>
                <w:lang w:val="en-US"/>
              </w:rPr>
              <w:lastRenderedPageBreak/>
              <w:t>Clinical Valve Coordinator</w:t>
            </w:r>
            <w:r w:rsidR="00140A6E" w:rsidRPr="0077517F">
              <w:rPr>
                <w:sz w:val="20"/>
                <w:szCs w:val="20"/>
                <w:lang w:val="en-US"/>
              </w:rPr>
              <w:t xml:space="preserve"> has a role in nursing education/mentoring</w:t>
            </w:r>
            <w:r w:rsidR="00C70E28" w:rsidRPr="0077517F">
              <w:rPr>
                <w:sz w:val="20"/>
                <w:szCs w:val="20"/>
                <w:lang w:val="en-US"/>
              </w:rPr>
              <w:t xml:space="preserve">. He/she </w:t>
            </w:r>
            <w:r w:rsidR="00FE7CC2" w:rsidRPr="0077517F">
              <w:rPr>
                <w:sz w:val="20"/>
                <w:szCs w:val="20"/>
                <w:lang w:val="en-US"/>
              </w:rPr>
              <w:t xml:space="preserve">also </w:t>
            </w:r>
            <w:r w:rsidR="00C70E28" w:rsidRPr="0077517F">
              <w:rPr>
                <w:sz w:val="20"/>
                <w:szCs w:val="20"/>
                <w:lang w:val="en-US"/>
              </w:rPr>
              <w:t>p</w:t>
            </w:r>
            <w:r w:rsidR="00140A6E" w:rsidRPr="0077517F">
              <w:rPr>
                <w:sz w:val="20"/>
                <w:szCs w:val="20"/>
                <w:lang w:val="en-US"/>
              </w:rPr>
              <w:t>romot</w:t>
            </w:r>
            <w:r w:rsidR="00C70E28" w:rsidRPr="0077517F">
              <w:rPr>
                <w:sz w:val="20"/>
                <w:szCs w:val="20"/>
                <w:lang w:val="en-US"/>
              </w:rPr>
              <w:t>es</w:t>
            </w:r>
            <w:r w:rsidR="00140A6E" w:rsidRPr="0077517F">
              <w:rPr>
                <w:sz w:val="20"/>
                <w:szCs w:val="20"/>
                <w:lang w:val="en-US"/>
              </w:rPr>
              <w:t xml:space="preserve"> early mobilization and early </w:t>
            </w:r>
            <w:r w:rsidR="00286C9C" w:rsidRPr="0077517F">
              <w:rPr>
                <w:sz w:val="20"/>
                <w:szCs w:val="20"/>
                <w:lang w:val="en-US"/>
              </w:rPr>
              <w:t>discharge</w:t>
            </w:r>
            <w:r w:rsidR="00140A6E" w:rsidRPr="0077517F">
              <w:rPr>
                <w:sz w:val="20"/>
                <w:szCs w:val="20"/>
                <w:lang w:val="en-US"/>
              </w:rPr>
              <w:t xml:space="preserve"> for suitable patients</w:t>
            </w:r>
            <w:r w:rsidR="00C70E28" w:rsidRPr="0077517F">
              <w:rPr>
                <w:sz w:val="20"/>
                <w:szCs w:val="20"/>
                <w:lang w:val="en-US"/>
              </w:rPr>
              <w:t>.</w:t>
            </w:r>
          </w:p>
          <w:p w14:paraId="057316D9" w14:textId="0CD38A13" w:rsidR="00140A6E" w:rsidRPr="0077517F" w:rsidRDefault="00140A6E">
            <w:pPr>
              <w:rPr>
                <w:sz w:val="20"/>
                <w:szCs w:val="20"/>
                <w:lang w:val="en-GB"/>
              </w:rPr>
            </w:pPr>
          </w:p>
        </w:tc>
      </w:tr>
    </w:tbl>
    <w:p w14:paraId="2D4F7DF6" w14:textId="06D231DD" w:rsidR="006C2496" w:rsidRPr="003F775D" w:rsidRDefault="006C2496" w:rsidP="006C2496">
      <w:pPr>
        <w:pStyle w:val="Titolo1"/>
        <w:rPr>
          <w:lang w:val="en-GB"/>
        </w:rPr>
      </w:pPr>
    </w:p>
    <w:p w14:paraId="7C20FDAB" w14:textId="450D23DE" w:rsidR="006C2496" w:rsidRPr="00A04381" w:rsidRDefault="006C2496" w:rsidP="006C2496">
      <w:pPr>
        <w:pStyle w:val="Titolo1"/>
        <w:rPr>
          <w:color w:val="auto"/>
          <w:sz w:val="28"/>
          <w:szCs w:val="28"/>
          <w:lang w:val="en-US"/>
        </w:rPr>
      </w:pPr>
      <w:r w:rsidRPr="00A04381">
        <w:rPr>
          <w:color w:val="auto"/>
          <w:sz w:val="28"/>
          <w:szCs w:val="28"/>
          <w:lang w:val="en-US"/>
        </w:rPr>
        <w:t>Objectives and responsibilities of the assignment</w:t>
      </w:r>
    </w:p>
    <w:p w14:paraId="6EA295C9" w14:textId="77777777" w:rsidR="006C2496" w:rsidRPr="006C2496" w:rsidRDefault="006C2496" w:rsidP="006C2496">
      <w:pPr>
        <w:rPr>
          <w:lang w:val="en-US"/>
        </w:rPr>
      </w:pPr>
    </w:p>
    <w:tbl>
      <w:tblPr>
        <w:tblW w:w="5000" w:type="pct"/>
        <w:tblLook w:val="0000" w:firstRow="0" w:lastRow="0" w:firstColumn="0" w:lastColumn="0" w:noHBand="0" w:noVBand="0"/>
      </w:tblPr>
      <w:tblGrid>
        <w:gridCol w:w="3965"/>
        <w:gridCol w:w="5663"/>
      </w:tblGrid>
      <w:tr w:rsidR="00A04381" w:rsidRPr="00611C30" w14:paraId="6C0C3252" w14:textId="77777777" w:rsidTr="00A04381">
        <w:tc>
          <w:tcPr>
            <w:tcW w:w="2059" w:type="pct"/>
            <w:tcBorders>
              <w:top w:val="single" w:sz="4" w:space="0" w:color="000000"/>
              <w:left w:val="single" w:sz="4" w:space="0" w:color="000000"/>
              <w:bottom w:val="single" w:sz="4" w:space="0" w:color="000000"/>
            </w:tcBorders>
            <w:shd w:val="clear" w:color="auto" w:fill="E7E6E6" w:themeFill="background2"/>
            <w:vAlign w:val="center"/>
          </w:tcPr>
          <w:p w14:paraId="681D4A16" w14:textId="58A7C351" w:rsidR="006C2496" w:rsidRPr="00DE352D" w:rsidRDefault="006C2496" w:rsidP="008D6D62">
            <w:pPr>
              <w:pStyle w:val="Intestazionecelle"/>
            </w:pPr>
            <w:proofErr w:type="spellStart"/>
            <w:r w:rsidRPr="00DE352D">
              <w:t>Objectives</w:t>
            </w:r>
            <w:proofErr w:type="spellEnd"/>
            <w:r w:rsidRPr="00DE352D">
              <w:t xml:space="preserve"> and </w:t>
            </w:r>
            <w:proofErr w:type="spellStart"/>
            <w:r w:rsidRPr="00DE352D">
              <w:t>responsibilities</w:t>
            </w:r>
            <w:proofErr w:type="spellEnd"/>
            <w:r w:rsidRPr="00DE352D">
              <w:t>:</w:t>
            </w:r>
          </w:p>
        </w:tc>
        <w:tc>
          <w:tcPr>
            <w:tcW w:w="294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6B0146B" w14:textId="2D6934A4" w:rsidR="006C2496" w:rsidRPr="00DE352D" w:rsidRDefault="006A7416" w:rsidP="008D6D62">
            <w:pPr>
              <w:pStyle w:val="Intestazionecelle"/>
              <w:rPr>
                <w:lang w:val="en-US"/>
              </w:rPr>
            </w:pPr>
            <w:r>
              <w:rPr>
                <w:lang w:val="en-US"/>
              </w:rPr>
              <w:t>E</w:t>
            </w:r>
            <w:r w:rsidRPr="006A7416">
              <w:rPr>
                <w:lang w:val="en-US"/>
              </w:rPr>
              <w:t>xamples of measurable actions</w:t>
            </w:r>
          </w:p>
        </w:tc>
      </w:tr>
      <w:tr w:rsidR="006C2496" w:rsidRPr="00611C30" w14:paraId="4935DF7A" w14:textId="77777777">
        <w:tc>
          <w:tcPr>
            <w:tcW w:w="2059" w:type="pct"/>
            <w:tcBorders>
              <w:top w:val="single" w:sz="4" w:space="0" w:color="000000"/>
              <w:left w:val="single" w:sz="4" w:space="0" w:color="000000"/>
              <w:bottom w:val="single" w:sz="4" w:space="0" w:color="000000"/>
            </w:tcBorders>
            <w:shd w:val="clear" w:color="auto" w:fill="auto"/>
            <w:vAlign w:val="center"/>
          </w:tcPr>
          <w:p w14:paraId="6D3BF35E" w14:textId="6984CF2A" w:rsidR="006C2496" w:rsidRPr="001C4132"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Correct application of the TAVI procedure</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44633" w14:textId="6F95953F" w:rsidR="006C2496" w:rsidRPr="001C4132"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N ... of patients to whom the procedure is correctly applied compared to eligible patients = &gt; 90%</w:t>
            </w:r>
          </w:p>
        </w:tc>
      </w:tr>
      <w:tr w:rsidR="006C2496" w:rsidRPr="00611C30" w14:paraId="6718668F" w14:textId="77777777">
        <w:tc>
          <w:tcPr>
            <w:tcW w:w="2059" w:type="pct"/>
            <w:tcBorders>
              <w:top w:val="single" w:sz="4" w:space="0" w:color="000000"/>
              <w:left w:val="single" w:sz="4" w:space="0" w:color="000000"/>
              <w:bottom w:val="single" w:sz="4" w:space="0" w:color="000000"/>
            </w:tcBorders>
            <w:shd w:val="clear" w:color="auto" w:fill="auto"/>
            <w:vAlign w:val="center"/>
          </w:tcPr>
          <w:p w14:paraId="32CB3A11" w14:textId="406D7B51" w:rsidR="006C2496" w:rsidRPr="001C4132" w:rsidRDefault="006C2496" w:rsidP="00BE2C8B">
            <w:pPr>
              <w:spacing w:before="60" w:after="60"/>
              <w:contextualSpacing w:val="0"/>
              <w:jc w:val="left"/>
              <w:rPr>
                <w:color w:val="262626" w:themeColor="text1" w:themeTint="D9"/>
                <w:sz w:val="20"/>
                <w:szCs w:val="20"/>
              </w:rPr>
            </w:pPr>
            <w:r w:rsidRPr="001C4132">
              <w:rPr>
                <w:color w:val="262626" w:themeColor="text1" w:themeTint="D9"/>
                <w:sz w:val="20"/>
                <w:szCs w:val="20"/>
              </w:rPr>
              <w:t>Management of information</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E9902" w14:textId="35EDFAB5" w:rsidR="00BB4BB6" w:rsidRPr="001C4132"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Timely entry, verification and correct handling of clinical information</w:t>
            </w:r>
            <w:r w:rsidR="008837CB">
              <w:rPr>
                <w:color w:val="262626" w:themeColor="text1" w:themeTint="D9"/>
                <w:sz w:val="20"/>
                <w:szCs w:val="20"/>
                <w:lang w:val="en-US"/>
              </w:rPr>
              <w:t>.</w:t>
            </w:r>
          </w:p>
          <w:p w14:paraId="397F637C" w14:textId="1A4075A5" w:rsidR="00BB4BB6" w:rsidRPr="001C4132" w:rsidRDefault="00822679" w:rsidP="00BE2C8B">
            <w:pPr>
              <w:spacing w:before="60" w:after="60"/>
              <w:contextualSpacing w:val="0"/>
              <w:jc w:val="left"/>
              <w:rPr>
                <w:color w:val="262626" w:themeColor="text1" w:themeTint="D9"/>
                <w:sz w:val="20"/>
                <w:szCs w:val="20"/>
                <w:lang w:val="en-GB"/>
              </w:rPr>
            </w:pPr>
            <w:r>
              <w:rPr>
                <w:color w:val="262626" w:themeColor="text1" w:themeTint="D9"/>
                <w:sz w:val="20"/>
                <w:szCs w:val="20"/>
                <w:lang w:val="en-US"/>
              </w:rPr>
              <w:t>Understands the need to collect data for clinical audit and reporting</w:t>
            </w:r>
          </w:p>
        </w:tc>
      </w:tr>
      <w:tr w:rsidR="006C2496" w:rsidRPr="00611C30" w14:paraId="250862DC" w14:textId="77777777">
        <w:tc>
          <w:tcPr>
            <w:tcW w:w="2059" w:type="pct"/>
            <w:tcBorders>
              <w:top w:val="single" w:sz="4" w:space="0" w:color="000000"/>
              <w:left w:val="single" w:sz="4" w:space="0" w:color="000000"/>
              <w:bottom w:val="single" w:sz="4" w:space="0" w:color="000000"/>
            </w:tcBorders>
            <w:shd w:val="clear" w:color="auto" w:fill="auto"/>
            <w:vAlign w:val="center"/>
          </w:tcPr>
          <w:p w14:paraId="2E2365F9" w14:textId="39E1D73C" w:rsidR="006C2496" w:rsidRPr="001C4132" w:rsidRDefault="006C2496" w:rsidP="00BE2C8B">
            <w:pPr>
              <w:spacing w:before="60" w:after="60"/>
              <w:contextualSpacing w:val="0"/>
              <w:jc w:val="left"/>
              <w:rPr>
                <w:color w:val="262626" w:themeColor="text1" w:themeTint="D9"/>
                <w:sz w:val="20"/>
                <w:szCs w:val="20"/>
              </w:rPr>
            </w:pPr>
            <w:r w:rsidRPr="001C4132">
              <w:rPr>
                <w:color w:val="262626" w:themeColor="text1" w:themeTint="D9"/>
                <w:sz w:val="20"/>
                <w:szCs w:val="20"/>
              </w:rPr>
              <w:t>Review and update procedure</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BDC1F" w14:textId="74ADF775" w:rsidR="00814A1E" w:rsidRPr="001C4132" w:rsidRDefault="004D5FC2" w:rsidP="00BE2C8B">
            <w:pPr>
              <w:spacing w:before="60" w:after="60"/>
              <w:contextualSpacing w:val="0"/>
              <w:jc w:val="left"/>
              <w:rPr>
                <w:color w:val="262626" w:themeColor="text1" w:themeTint="D9"/>
                <w:sz w:val="20"/>
                <w:szCs w:val="20"/>
                <w:lang w:val="en-GB"/>
              </w:rPr>
            </w:pPr>
            <w:r>
              <w:rPr>
                <w:color w:val="262626" w:themeColor="text1" w:themeTint="D9"/>
                <w:sz w:val="20"/>
                <w:szCs w:val="20"/>
                <w:lang w:val="en-US"/>
              </w:rPr>
              <w:t xml:space="preserve">Regular review of </w:t>
            </w:r>
            <w:r w:rsidR="00814A1E" w:rsidRPr="001C4132">
              <w:rPr>
                <w:color w:val="262626" w:themeColor="text1" w:themeTint="D9"/>
                <w:sz w:val="20"/>
                <w:szCs w:val="20"/>
                <w:lang w:val="en-US"/>
              </w:rPr>
              <w:t xml:space="preserve">TAVI pathway protocols/flowchart/check-lists to </w:t>
            </w:r>
            <w:r w:rsidR="00CF28FB">
              <w:rPr>
                <w:color w:val="262626" w:themeColor="text1" w:themeTint="D9"/>
                <w:sz w:val="20"/>
                <w:szCs w:val="20"/>
                <w:lang w:val="en-US"/>
              </w:rPr>
              <w:t xml:space="preserve">ensure alignment </w:t>
            </w:r>
            <w:r w:rsidR="00814A1E" w:rsidRPr="001C4132">
              <w:rPr>
                <w:color w:val="262626" w:themeColor="text1" w:themeTint="D9"/>
                <w:sz w:val="20"/>
                <w:szCs w:val="20"/>
                <w:lang w:val="en-US"/>
              </w:rPr>
              <w:t>with new guidelines/evidences</w:t>
            </w:r>
          </w:p>
        </w:tc>
      </w:tr>
      <w:tr w:rsidR="006C2496" w:rsidRPr="00611C30" w14:paraId="36A72CCE" w14:textId="77777777">
        <w:tc>
          <w:tcPr>
            <w:tcW w:w="2059" w:type="pct"/>
            <w:tcBorders>
              <w:top w:val="single" w:sz="4" w:space="0" w:color="000000"/>
              <w:left w:val="single" w:sz="4" w:space="0" w:color="000000"/>
              <w:bottom w:val="single" w:sz="4" w:space="0" w:color="000000"/>
            </w:tcBorders>
            <w:shd w:val="clear" w:color="auto" w:fill="auto"/>
            <w:vAlign w:val="center"/>
          </w:tcPr>
          <w:p w14:paraId="4DC56458" w14:textId="299BA4C5" w:rsidR="006C2496" w:rsidRPr="001C4132" w:rsidRDefault="006C2496" w:rsidP="00BE2C8B">
            <w:pPr>
              <w:spacing w:before="60" w:after="60"/>
              <w:contextualSpacing w:val="0"/>
              <w:jc w:val="left"/>
              <w:rPr>
                <w:color w:val="262626" w:themeColor="text1" w:themeTint="D9"/>
                <w:sz w:val="20"/>
                <w:szCs w:val="20"/>
              </w:rPr>
            </w:pPr>
            <w:r w:rsidRPr="001C4132">
              <w:rPr>
                <w:color w:val="262626" w:themeColor="text1" w:themeTint="D9"/>
                <w:sz w:val="20"/>
                <w:szCs w:val="20"/>
              </w:rPr>
              <w:t xml:space="preserve">Training of </w:t>
            </w:r>
            <w:proofErr w:type="spellStart"/>
            <w:r w:rsidRPr="001C4132">
              <w:rPr>
                <w:color w:val="262626" w:themeColor="text1" w:themeTint="D9"/>
                <w:sz w:val="20"/>
                <w:szCs w:val="20"/>
              </w:rPr>
              <w:t>colleagues</w:t>
            </w:r>
            <w:proofErr w:type="spellEnd"/>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FA6D7" w14:textId="2CE1A8BF" w:rsidR="000745C9" w:rsidRPr="000745C9" w:rsidRDefault="000745C9" w:rsidP="000745C9">
            <w:pPr>
              <w:spacing w:before="60" w:after="60"/>
              <w:contextualSpacing w:val="0"/>
              <w:jc w:val="left"/>
              <w:rPr>
                <w:color w:val="262626" w:themeColor="text1" w:themeTint="D9"/>
                <w:sz w:val="20"/>
                <w:szCs w:val="20"/>
                <w:lang w:val="en-US"/>
              </w:rPr>
            </w:pPr>
            <w:r>
              <w:rPr>
                <w:rStyle w:val="cf01"/>
                <w:lang w:val="en-GB"/>
              </w:rPr>
              <w:t>O</w:t>
            </w:r>
            <w:r w:rsidRPr="000745C9">
              <w:rPr>
                <w:rStyle w:val="cf01"/>
                <w:lang w:val="en-GB"/>
              </w:rPr>
              <w:t xml:space="preserve">rganisation and delivery of educational sessions according to local </w:t>
            </w:r>
            <w:r w:rsidRPr="000745C9">
              <w:rPr>
                <w:color w:val="262626" w:themeColor="text1" w:themeTint="D9"/>
                <w:sz w:val="20"/>
                <w:szCs w:val="20"/>
                <w:lang w:val="en-US"/>
              </w:rPr>
              <w:t>needs.</w:t>
            </w:r>
          </w:p>
          <w:p w14:paraId="28A75651" w14:textId="2DE6B41A" w:rsidR="004A3956" w:rsidRPr="000745C9" w:rsidRDefault="000745C9" w:rsidP="000745C9">
            <w:pPr>
              <w:spacing w:before="60" w:after="60"/>
              <w:contextualSpacing w:val="0"/>
              <w:jc w:val="left"/>
              <w:rPr>
                <w:rFonts w:ascii="Arial" w:hAnsi="Arial" w:cs="Arial"/>
                <w:sz w:val="20"/>
                <w:szCs w:val="20"/>
                <w:lang w:val="en-GB"/>
              </w:rPr>
            </w:pPr>
            <w:r w:rsidRPr="000745C9">
              <w:rPr>
                <w:color w:val="262626" w:themeColor="text1" w:themeTint="D9"/>
                <w:sz w:val="20"/>
                <w:szCs w:val="20"/>
                <w:lang w:val="en-US"/>
              </w:rPr>
              <w:t>Regular education and me</w:t>
            </w:r>
            <w:r w:rsidRPr="000745C9">
              <w:rPr>
                <w:rStyle w:val="cf01"/>
                <w:lang w:val="en-GB"/>
              </w:rPr>
              <w:t>ntoring with provision for new joiners to support their integration into the team</w:t>
            </w:r>
          </w:p>
        </w:tc>
      </w:tr>
      <w:tr w:rsidR="006C2496" w:rsidRPr="00611C30" w14:paraId="1A420CCC" w14:textId="77777777">
        <w:tc>
          <w:tcPr>
            <w:tcW w:w="2059" w:type="pct"/>
            <w:tcBorders>
              <w:top w:val="single" w:sz="4" w:space="0" w:color="000000"/>
              <w:left w:val="single" w:sz="4" w:space="0" w:color="000000"/>
              <w:bottom w:val="single" w:sz="4" w:space="0" w:color="000000"/>
            </w:tcBorders>
            <w:shd w:val="clear" w:color="auto" w:fill="auto"/>
            <w:vAlign w:val="center"/>
          </w:tcPr>
          <w:p w14:paraId="34A2BE2A" w14:textId="77777777" w:rsidR="006C2496"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Promoting, when appropriate, the “minimalist TAVI” model</w:t>
            </w:r>
          </w:p>
          <w:p w14:paraId="466EAA56" w14:textId="362B24B9" w:rsidR="0008252B" w:rsidRPr="007960AE" w:rsidRDefault="0008252B" w:rsidP="00BE2C8B">
            <w:pPr>
              <w:spacing w:before="60" w:after="60"/>
              <w:contextualSpacing w:val="0"/>
              <w:jc w:val="left"/>
              <w:rPr>
                <w:color w:val="262626" w:themeColor="text1" w:themeTint="D9"/>
                <w:sz w:val="20"/>
                <w:szCs w:val="20"/>
                <w:lang w:val="en-US"/>
              </w:rPr>
            </w:pPr>
            <w:r w:rsidRPr="007960AE">
              <w:rPr>
                <w:color w:val="262626" w:themeColor="text1" w:themeTint="D9"/>
                <w:sz w:val="20"/>
                <w:szCs w:val="20"/>
                <w:lang w:val="en-US"/>
              </w:rPr>
              <w:t xml:space="preserve">Ensure the engagement and alignment with all the multidisciplinary involved stakeholders </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9745E" w14:textId="4F301351" w:rsidR="004F0DD7" w:rsidRPr="003008D0" w:rsidRDefault="00773526" w:rsidP="00BE2C8B">
            <w:pPr>
              <w:spacing w:before="60" w:after="60"/>
              <w:contextualSpacing w:val="0"/>
              <w:jc w:val="left"/>
              <w:rPr>
                <w:color w:val="262626" w:themeColor="text1" w:themeTint="D9"/>
                <w:sz w:val="20"/>
                <w:szCs w:val="20"/>
                <w:lang w:val="en-GB"/>
              </w:rPr>
            </w:pPr>
            <w:r>
              <w:rPr>
                <w:rStyle w:val="cf01"/>
                <w:lang w:val="en-GB"/>
              </w:rPr>
              <w:t xml:space="preserve">% of patients </w:t>
            </w:r>
            <w:r w:rsidR="000D2975">
              <w:rPr>
                <w:rStyle w:val="cf01"/>
                <w:lang w:val="en-GB"/>
              </w:rPr>
              <w:t xml:space="preserve">treated </w:t>
            </w:r>
            <w:r w:rsidR="00561D81">
              <w:rPr>
                <w:rStyle w:val="cf01"/>
                <w:lang w:val="en-GB"/>
              </w:rPr>
              <w:t xml:space="preserve">with minimalist TAVI model </w:t>
            </w:r>
            <w:r w:rsidR="0079186F">
              <w:rPr>
                <w:rStyle w:val="cf01"/>
                <w:lang w:val="en-GB"/>
              </w:rPr>
              <w:t xml:space="preserve">among </w:t>
            </w:r>
            <w:r w:rsidR="003008D0" w:rsidRPr="003008D0">
              <w:rPr>
                <w:rStyle w:val="cf01"/>
                <w:lang w:val="en-GB"/>
              </w:rPr>
              <w:t>who are appropriate for a mi</w:t>
            </w:r>
            <w:r w:rsidR="0079186F">
              <w:rPr>
                <w:rStyle w:val="cf01"/>
                <w:lang w:val="en-GB"/>
              </w:rPr>
              <w:t>n</w:t>
            </w:r>
            <w:r w:rsidR="003008D0" w:rsidRPr="003008D0">
              <w:rPr>
                <w:rStyle w:val="cf01"/>
                <w:lang w:val="en-GB"/>
              </w:rPr>
              <w:t>imalist approach</w:t>
            </w:r>
            <w:r w:rsidR="0079186F">
              <w:rPr>
                <w:rStyle w:val="cf01"/>
                <w:lang w:val="en-GB"/>
              </w:rPr>
              <w:t>.</w:t>
            </w:r>
          </w:p>
        </w:tc>
      </w:tr>
      <w:tr w:rsidR="006C2496" w:rsidRPr="00611C30" w14:paraId="11FE3427" w14:textId="77777777">
        <w:tc>
          <w:tcPr>
            <w:tcW w:w="2059" w:type="pct"/>
            <w:tcBorders>
              <w:top w:val="single" w:sz="4" w:space="0" w:color="000000"/>
              <w:left w:val="single" w:sz="4" w:space="0" w:color="000000"/>
              <w:bottom w:val="single" w:sz="4" w:space="0" w:color="000000"/>
            </w:tcBorders>
            <w:shd w:val="clear" w:color="auto" w:fill="auto"/>
            <w:vAlign w:val="center"/>
          </w:tcPr>
          <w:p w14:paraId="4DAE4ABB" w14:textId="222FF36C" w:rsidR="006C2496" w:rsidRDefault="006C2496" w:rsidP="00BE2C8B">
            <w:pPr>
              <w:spacing w:before="60" w:after="60"/>
              <w:contextualSpacing w:val="0"/>
              <w:jc w:val="left"/>
              <w:rPr>
                <w:color w:val="262626" w:themeColor="text1" w:themeTint="D9"/>
                <w:sz w:val="20"/>
                <w:szCs w:val="20"/>
                <w:lang w:val="en-US"/>
              </w:rPr>
            </w:pPr>
            <w:proofErr w:type="spellStart"/>
            <w:r w:rsidRPr="001C4132">
              <w:rPr>
                <w:color w:val="262626" w:themeColor="text1" w:themeTint="D9"/>
                <w:sz w:val="20"/>
                <w:szCs w:val="20"/>
                <w:lang w:val="en-US"/>
              </w:rPr>
              <w:t>Optimisation</w:t>
            </w:r>
            <w:proofErr w:type="spellEnd"/>
            <w:r w:rsidRPr="001C4132">
              <w:rPr>
                <w:color w:val="262626" w:themeColor="text1" w:themeTint="D9"/>
                <w:sz w:val="20"/>
                <w:szCs w:val="20"/>
                <w:lang w:val="en-US"/>
              </w:rPr>
              <w:t xml:space="preserve"> of the pre-</w:t>
            </w:r>
            <w:r w:rsidR="00BA0460" w:rsidRPr="001C4132">
              <w:rPr>
                <w:color w:val="262626" w:themeColor="text1" w:themeTint="D9"/>
                <w:sz w:val="20"/>
                <w:szCs w:val="20"/>
                <w:lang w:val="en-US"/>
              </w:rPr>
              <w:t xml:space="preserve"> </w:t>
            </w:r>
            <w:r w:rsidR="00BA0460" w:rsidRPr="001C4132">
              <w:rPr>
                <w:color w:val="262626" w:themeColor="text1" w:themeTint="D9"/>
                <w:sz w:val="20"/>
                <w:szCs w:val="20"/>
                <w:lang w:val="en-US"/>
              </w:rPr>
              <w:t xml:space="preserve">procedural </w:t>
            </w:r>
            <w:r w:rsidRPr="001C4132">
              <w:rPr>
                <w:color w:val="262626" w:themeColor="text1" w:themeTint="D9"/>
                <w:sz w:val="20"/>
                <w:szCs w:val="20"/>
                <w:lang w:val="en-US"/>
              </w:rPr>
              <w:t>pathway</w:t>
            </w:r>
          </w:p>
          <w:p w14:paraId="72F1AEFF" w14:textId="1D21AE7B" w:rsidR="00530FE2" w:rsidRPr="001C4132" w:rsidRDefault="00530FE2" w:rsidP="00BE2C8B">
            <w:pPr>
              <w:spacing w:before="60" w:after="60"/>
              <w:contextualSpacing w:val="0"/>
              <w:jc w:val="left"/>
              <w:rPr>
                <w:color w:val="262626" w:themeColor="text1" w:themeTint="D9"/>
                <w:sz w:val="20"/>
                <w:szCs w:val="20"/>
                <w:lang w:val="en-US"/>
              </w:rPr>
            </w:pP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35204" w14:textId="0EB4F2D5" w:rsidR="00530FE2" w:rsidRPr="00530FE2" w:rsidRDefault="00530FE2" w:rsidP="00BE2C8B">
            <w:pPr>
              <w:spacing w:before="60" w:after="60"/>
              <w:contextualSpacing w:val="0"/>
              <w:jc w:val="left"/>
              <w:rPr>
                <w:color w:val="262626" w:themeColor="text1" w:themeTint="D9"/>
                <w:sz w:val="20"/>
                <w:szCs w:val="20"/>
                <w:lang w:val="en-GB"/>
              </w:rPr>
            </w:pPr>
            <w:r w:rsidRPr="001C4132">
              <w:rPr>
                <w:color w:val="262626" w:themeColor="text1" w:themeTint="D9"/>
                <w:sz w:val="20"/>
                <w:szCs w:val="20"/>
                <w:lang w:val="en-US"/>
              </w:rPr>
              <w:t xml:space="preserve">Adherence to </w:t>
            </w:r>
            <w:r>
              <w:rPr>
                <w:color w:val="262626" w:themeColor="text1" w:themeTint="D9"/>
                <w:sz w:val="20"/>
                <w:szCs w:val="20"/>
                <w:lang w:val="en-US"/>
              </w:rPr>
              <w:t>pre-procedural</w:t>
            </w:r>
            <w:r w:rsidRPr="001C4132">
              <w:rPr>
                <w:color w:val="262626" w:themeColor="text1" w:themeTint="D9"/>
                <w:sz w:val="20"/>
                <w:szCs w:val="20"/>
                <w:lang w:val="en-US"/>
              </w:rPr>
              <w:t xml:space="preserve"> times and containment within</w:t>
            </w:r>
            <w:r>
              <w:rPr>
                <w:color w:val="262626" w:themeColor="text1" w:themeTint="D9"/>
                <w:sz w:val="20"/>
                <w:szCs w:val="20"/>
                <w:lang w:val="en-US"/>
              </w:rPr>
              <w:t xml:space="preserve"> </w:t>
            </w:r>
            <w:r w:rsidRPr="001C4132">
              <w:rPr>
                <w:color w:val="262626" w:themeColor="text1" w:themeTint="D9"/>
                <w:sz w:val="20"/>
                <w:szCs w:val="20"/>
                <w:lang w:val="en-US"/>
              </w:rPr>
              <w:t>the planned duration</w:t>
            </w:r>
          </w:p>
        </w:tc>
      </w:tr>
      <w:tr w:rsidR="006C2496" w:rsidRPr="00611C30" w14:paraId="4679CD54" w14:textId="77777777">
        <w:tc>
          <w:tcPr>
            <w:tcW w:w="2059" w:type="pct"/>
            <w:tcBorders>
              <w:top w:val="single" w:sz="4" w:space="0" w:color="000000"/>
              <w:left w:val="single" w:sz="4" w:space="0" w:color="000000"/>
              <w:bottom w:val="single" w:sz="4" w:space="0" w:color="000000"/>
            </w:tcBorders>
            <w:shd w:val="clear" w:color="auto" w:fill="auto"/>
            <w:vAlign w:val="center"/>
          </w:tcPr>
          <w:p w14:paraId="602387B2" w14:textId="730077F8" w:rsidR="006C2496" w:rsidRPr="001C4132" w:rsidRDefault="006C2496" w:rsidP="00BE2C8B">
            <w:pPr>
              <w:spacing w:before="60" w:after="60"/>
              <w:contextualSpacing w:val="0"/>
              <w:jc w:val="left"/>
              <w:rPr>
                <w:color w:val="262626" w:themeColor="text1" w:themeTint="D9"/>
                <w:sz w:val="20"/>
                <w:szCs w:val="20"/>
                <w:lang w:val="en-US"/>
              </w:rPr>
            </w:pPr>
            <w:proofErr w:type="spellStart"/>
            <w:r w:rsidRPr="001C4132">
              <w:rPr>
                <w:color w:val="262626" w:themeColor="text1" w:themeTint="D9"/>
                <w:sz w:val="20"/>
                <w:szCs w:val="20"/>
                <w:lang w:val="en-US"/>
              </w:rPr>
              <w:t>Optimisation</w:t>
            </w:r>
            <w:proofErr w:type="spellEnd"/>
            <w:r w:rsidRPr="001C4132">
              <w:rPr>
                <w:color w:val="262626" w:themeColor="text1" w:themeTint="D9"/>
                <w:sz w:val="20"/>
                <w:szCs w:val="20"/>
                <w:lang w:val="en-US"/>
              </w:rPr>
              <w:t xml:space="preserve"> of post-procedural follow-up</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99519" w14:textId="3959B7D7" w:rsidR="006C2496" w:rsidRPr="001C4132"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 xml:space="preserve">Adherence to follow-up times and containment within </w:t>
            </w:r>
            <w:r w:rsidR="005758C2">
              <w:rPr>
                <w:color w:val="262626" w:themeColor="text1" w:themeTint="D9"/>
                <w:sz w:val="20"/>
                <w:szCs w:val="20"/>
                <w:lang w:val="en-US"/>
              </w:rPr>
              <w:t xml:space="preserve">the </w:t>
            </w:r>
            <w:r w:rsidRPr="001C4132">
              <w:rPr>
                <w:color w:val="262626" w:themeColor="text1" w:themeTint="D9"/>
                <w:sz w:val="20"/>
                <w:szCs w:val="20"/>
                <w:lang w:val="en-US"/>
              </w:rPr>
              <w:t>planned duration</w:t>
            </w:r>
          </w:p>
        </w:tc>
      </w:tr>
      <w:tr w:rsidR="006C2496" w:rsidRPr="00166AE5" w14:paraId="738761B9" w14:textId="77777777">
        <w:tc>
          <w:tcPr>
            <w:tcW w:w="2059" w:type="pct"/>
            <w:tcBorders>
              <w:top w:val="single" w:sz="4" w:space="0" w:color="000000"/>
              <w:left w:val="single" w:sz="4" w:space="0" w:color="000000"/>
              <w:bottom w:val="single" w:sz="4" w:space="0" w:color="000000"/>
            </w:tcBorders>
            <w:shd w:val="clear" w:color="auto" w:fill="auto"/>
            <w:vAlign w:val="center"/>
          </w:tcPr>
          <w:p w14:paraId="49C6E2E9" w14:textId="6CBE4BFD" w:rsidR="006C2496" w:rsidRPr="001C4132" w:rsidRDefault="006C2496" w:rsidP="00BE2C8B">
            <w:pPr>
              <w:spacing w:before="60" w:after="60"/>
              <w:contextualSpacing w:val="0"/>
              <w:jc w:val="left"/>
              <w:rPr>
                <w:color w:val="262626" w:themeColor="text1" w:themeTint="D9"/>
                <w:sz w:val="20"/>
                <w:szCs w:val="20"/>
              </w:rPr>
            </w:pPr>
            <w:r w:rsidRPr="001C4132">
              <w:rPr>
                <w:color w:val="262626" w:themeColor="text1" w:themeTint="D9"/>
                <w:sz w:val="20"/>
                <w:szCs w:val="20"/>
              </w:rPr>
              <w:t>Technology assesment</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BE4DA" w14:textId="427F60EB" w:rsidR="006C2496" w:rsidRPr="001C4132" w:rsidRDefault="002104F0" w:rsidP="00BE2C8B">
            <w:pPr>
              <w:spacing w:before="60" w:after="60"/>
              <w:contextualSpacing w:val="0"/>
              <w:jc w:val="left"/>
              <w:rPr>
                <w:color w:val="262626" w:themeColor="text1" w:themeTint="D9"/>
                <w:sz w:val="20"/>
                <w:szCs w:val="20"/>
                <w:lang w:val="en-US"/>
              </w:rPr>
            </w:pPr>
            <w:r>
              <w:rPr>
                <w:color w:val="262626" w:themeColor="text1" w:themeTint="D9"/>
                <w:sz w:val="20"/>
                <w:szCs w:val="20"/>
                <w:lang w:val="en-US"/>
              </w:rPr>
              <w:t>Management</w:t>
            </w:r>
            <w:r w:rsidR="006C2496" w:rsidRPr="001C4132">
              <w:rPr>
                <w:color w:val="262626" w:themeColor="text1" w:themeTint="D9"/>
                <w:sz w:val="20"/>
                <w:szCs w:val="20"/>
                <w:lang w:val="en-US"/>
              </w:rPr>
              <w:t xml:space="preserve"> of equipment and tools through timely scheduling of orders</w:t>
            </w:r>
          </w:p>
        </w:tc>
      </w:tr>
      <w:tr w:rsidR="006C2496" w:rsidRPr="00166AE5" w14:paraId="10A9A210" w14:textId="77777777">
        <w:tc>
          <w:tcPr>
            <w:tcW w:w="2059" w:type="pct"/>
            <w:tcBorders>
              <w:top w:val="single" w:sz="4" w:space="0" w:color="000000"/>
              <w:left w:val="single" w:sz="4" w:space="0" w:color="000000"/>
              <w:bottom w:val="single" w:sz="4" w:space="0" w:color="000000"/>
            </w:tcBorders>
            <w:shd w:val="clear" w:color="auto" w:fill="auto"/>
            <w:vAlign w:val="center"/>
          </w:tcPr>
          <w:p w14:paraId="2BBCF104" w14:textId="2858F70C" w:rsidR="006C2496" w:rsidRPr="001C4132" w:rsidRDefault="006C2496" w:rsidP="00BE2C8B">
            <w:pPr>
              <w:spacing w:before="60" w:after="60"/>
              <w:contextualSpacing w:val="0"/>
              <w:jc w:val="left"/>
              <w:rPr>
                <w:color w:val="262626" w:themeColor="text1" w:themeTint="D9"/>
                <w:sz w:val="20"/>
                <w:szCs w:val="20"/>
              </w:rPr>
            </w:pPr>
            <w:r w:rsidRPr="001C4132">
              <w:rPr>
                <w:color w:val="262626" w:themeColor="text1" w:themeTint="D9"/>
                <w:sz w:val="20"/>
                <w:szCs w:val="20"/>
              </w:rPr>
              <w:t>Quality of service</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9E03B" w14:textId="77777777" w:rsidR="00A902F4"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Continuous improvement of patient-perceived quality (customer satisfaction questionnaires)</w:t>
            </w:r>
            <w:r w:rsidR="00A902F4">
              <w:rPr>
                <w:color w:val="262626" w:themeColor="text1" w:themeTint="D9"/>
                <w:sz w:val="20"/>
                <w:szCs w:val="20"/>
                <w:lang w:val="en-US"/>
              </w:rPr>
              <w:t>.</w:t>
            </w:r>
          </w:p>
          <w:p w14:paraId="0A76F535" w14:textId="476C720D" w:rsidR="00A902F4" w:rsidRPr="00BE2C8B" w:rsidRDefault="00A902F4" w:rsidP="00BE2C8B">
            <w:pPr>
              <w:spacing w:before="60" w:after="60"/>
              <w:contextualSpacing w:val="0"/>
              <w:jc w:val="left"/>
              <w:rPr>
                <w:color w:val="262626" w:themeColor="text1" w:themeTint="D9"/>
                <w:sz w:val="20"/>
                <w:szCs w:val="20"/>
                <w:lang w:val="en-US"/>
              </w:rPr>
            </w:pPr>
            <w:r w:rsidRPr="00BE2C8B">
              <w:rPr>
                <w:color w:val="262626" w:themeColor="text1" w:themeTint="D9"/>
                <w:sz w:val="20"/>
                <w:szCs w:val="20"/>
                <w:lang w:val="en-US"/>
              </w:rPr>
              <w:t>An assessment about the patient understanding of the TAVI pathway to measure the quality of patient education</w:t>
            </w:r>
            <w:r w:rsidR="00BE2C8B" w:rsidRPr="00BE2C8B">
              <w:rPr>
                <w:color w:val="262626" w:themeColor="text1" w:themeTint="D9"/>
                <w:sz w:val="20"/>
                <w:szCs w:val="20"/>
                <w:lang w:val="en-US"/>
              </w:rPr>
              <w:t>.</w:t>
            </w:r>
          </w:p>
        </w:tc>
      </w:tr>
      <w:tr w:rsidR="006C2496" w:rsidRPr="00166AE5" w14:paraId="6E7D3650" w14:textId="77777777">
        <w:tc>
          <w:tcPr>
            <w:tcW w:w="2059" w:type="pct"/>
            <w:tcBorders>
              <w:top w:val="single" w:sz="4" w:space="0" w:color="000000"/>
              <w:left w:val="single" w:sz="4" w:space="0" w:color="000000"/>
              <w:bottom w:val="single" w:sz="4" w:space="0" w:color="000000"/>
            </w:tcBorders>
            <w:shd w:val="clear" w:color="auto" w:fill="auto"/>
            <w:vAlign w:val="center"/>
          </w:tcPr>
          <w:p w14:paraId="56BAEEF1" w14:textId="53E185F9" w:rsidR="006C2496" w:rsidRPr="001C4132"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Interface management with main stakeholders</w:t>
            </w:r>
          </w:p>
        </w:tc>
        <w:tc>
          <w:tcPr>
            <w:tcW w:w="2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D770E" w14:textId="48A3D247" w:rsidR="006C2496" w:rsidRPr="001C4132" w:rsidRDefault="006C2496" w:rsidP="00BE2C8B">
            <w:pPr>
              <w:spacing w:before="60" w:after="60"/>
              <w:contextualSpacing w:val="0"/>
              <w:jc w:val="left"/>
              <w:rPr>
                <w:color w:val="262626" w:themeColor="text1" w:themeTint="D9"/>
                <w:sz w:val="20"/>
                <w:szCs w:val="20"/>
                <w:lang w:val="en-US"/>
              </w:rPr>
            </w:pPr>
            <w:r w:rsidRPr="001C4132">
              <w:rPr>
                <w:color w:val="262626" w:themeColor="text1" w:themeTint="D9"/>
                <w:sz w:val="20"/>
                <w:szCs w:val="20"/>
                <w:lang w:val="en-US"/>
              </w:rPr>
              <w:t xml:space="preserve">Participation in meetings and integration with internal </w:t>
            </w:r>
            <w:r w:rsidR="00F521F3">
              <w:rPr>
                <w:color w:val="262626" w:themeColor="text1" w:themeTint="D9"/>
                <w:sz w:val="20"/>
                <w:szCs w:val="20"/>
                <w:lang w:val="en-US"/>
              </w:rPr>
              <w:t>(</w:t>
            </w:r>
            <w:r w:rsidR="00FA5DB8">
              <w:rPr>
                <w:color w:val="262626" w:themeColor="text1" w:themeTint="D9"/>
                <w:sz w:val="20"/>
                <w:szCs w:val="20"/>
                <w:lang w:val="en-US"/>
              </w:rPr>
              <w:t xml:space="preserve">physicians, nurses, etc.) </w:t>
            </w:r>
            <w:r w:rsidRPr="001C4132">
              <w:rPr>
                <w:color w:val="262626" w:themeColor="text1" w:themeTint="D9"/>
                <w:sz w:val="20"/>
                <w:szCs w:val="20"/>
                <w:lang w:val="en-US"/>
              </w:rPr>
              <w:t>and external stakeholders</w:t>
            </w:r>
            <w:r w:rsidR="00FA5DB8">
              <w:rPr>
                <w:color w:val="262626" w:themeColor="text1" w:themeTint="D9"/>
                <w:sz w:val="20"/>
                <w:szCs w:val="20"/>
                <w:lang w:val="en-US"/>
              </w:rPr>
              <w:t xml:space="preserve"> (</w:t>
            </w:r>
            <w:r w:rsidR="00752296" w:rsidRPr="00752296">
              <w:rPr>
                <w:color w:val="262626" w:themeColor="text1" w:themeTint="D9"/>
                <w:sz w:val="20"/>
                <w:szCs w:val="20"/>
                <w:lang w:val="en-US"/>
              </w:rPr>
              <w:t>spoke centers, rehabilitation facilities, etc.)</w:t>
            </w:r>
          </w:p>
        </w:tc>
      </w:tr>
    </w:tbl>
    <w:p w14:paraId="6F3890F0" w14:textId="77777777" w:rsidR="006C2496" w:rsidRDefault="006C2496" w:rsidP="006C2496">
      <w:pPr>
        <w:rPr>
          <w:lang w:val="en-US"/>
        </w:rPr>
      </w:pPr>
    </w:p>
    <w:p w14:paraId="2EF70E35" w14:textId="2792FF0A" w:rsidR="00CC1001" w:rsidRPr="00CC1001" w:rsidRDefault="00CC1001" w:rsidP="006C2496">
      <w:pPr>
        <w:rPr>
          <w:lang w:val="en-GB"/>
        </w:rPr>
      </w:pPr>
    </w:p>
    <w:sectPr w:rsidR="00CC1001" w:rsidRPr="00CC10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736"/>
    <w:multiLevelType w:val="hybridMultilevel"/>
    <w:tmpl w:val="9F562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8460FC"/>
    <w:multiLevelType w:val="hybridMultilevel"/>
    <w:tmpl w:val="E10C1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4D56F8"/>
    <w:multiLevelType w:val="hybridMultilevel"/>
    <w:tmpl w:val="83F26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A1297E"/>
    <w:multiLevelType w:val="hybridMultilevel"/>
    <w:tmpl w:val="E398F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9691182">
    <w:abstractNumId w:val="2"/>
  </w:num>
  <w:num w:numId="2" w16cid:durableId="1369142492">
    <w:abstractNumId w:val="3"/>
  </w:num>
  <w:num w:numId="3" w16cid:durableId="957030556">
    <w:abstractNumId w:val="1"/>
  </w:num>
  <w:num w:numId="4" w16cid:durableId="89400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96"/>
    <w:rsid w:val="00031421"/>
    <w:rsid w:val="00060294"/>
    <w:rsid w:val="000745C9"/>
    <w:rsid w:val="0008252B"/>
    <w:rsid w:val="000A1C14"/>
    <w:rsid w:val="000D2975"/>
    <w:rsid w:val="000E5B4E"/>
    <w:rsid w:val="000F4DA3"/>
    <w:rsid w:val="001007B2"/>
    <w:rsid w:val="001026CF"/>
    <w:rsid w:val="00114836"/>
    <w:rsid w:val="00140A6E"/>
    <w:rsid w:val="00145057"/>
    <w:rsid w:val="00166AE5"/>
    <w:rsid w:val="001A70B4"/>
    <w:rsid w:val="001C4132"/>
    <w:rsid w:val="001E7420"/>
    <w:rsid w:val="002104F0"/>
    <w:rsid w:val="002106D7"/>
    <w:rsid w:val="0021595E"/>
    <w:rsid w:val="00215DC6"/>
    <w:rsid w:val="00226201"/>
    <w:rsid w:val="00246411"/>
    <w:rsid w:val="0026467F"/>
    <w:rsid w:val="00270661"/>
    <w:rsid w:val="00271ABB"/>
    <w:rsid w:val="00286C9C"/>
    <w:rsid w:val="002C4318"/>
    <w:rsid w:val="002C7ABC"/>
    <w:rsid w:val="002D1E0F"/>
    <w:rsid w:val="003008D0"/>
    <w:rsid w:val="003147C0"/>
    <w:rsid w:val="00336EE4"/>
    <w:rsid w:val="00372046"/>
    <w:rsid w:val="003B3E80"/>
    <w:rsid w:val="003F775D"/>
    <w:rsid w:val="00447692"/>
    <w:rsid w:val="004636FE"/>
    <w:rsid w:val="00476148"/>
    <w:rsid w:val="00481ACA"/>
    <w:rsid w:val="004972E4"/>
    <w:rsid w:val="004A3956"/>
    <w:rsid w:val="004D5FC2"/>
    <w:rsid w:val="004F0DD7"/>
    <w:rsid w:val="005162B8"/>
    <w:rsid w:val="00530FE2"/>
    <w:rsid w:val="00561D81"/>
    <w:rsid w:val="005758C2"/>
    <w:rsid w:val="005779D4"/>
    <w:rsid w:val="005B3C61"/>
    <w:rsid w:val="00611C30"/>
    <w:rsid w:val="00621A11"/>
    <w:rsid w:val="00680B65"/>
    <w:rsid w:val="00682B8C"/>
    <w:rsid w:val="006A7416"/>
    <w:rsid w:val="006C2496"/>
    <w:rsid w:val="00752296"/>
    <w:rsid w:val="00773526"/>
    <w:rsid w:val="0077517F"/>
    <w:rsid w:val="0079186F"/>
    <w:rsid w:val="007960AE"/>
    <w:rsid w:val="007A1060"/>
    <w:rsid w:val="007A44B7"/>
    <w:rsid w:val="007B2B97"/>
    <w:rsid w:val="00814A1E"/>
    <w:rsid w:val="00822679"/>
    <w:rsid w:val="00845A3B"/>
    <w:rsid w:val="008572B7"/>
    <w:rsid w:val="008837CB"/>
    <w:rsid w:val="008B33E3"/>
    <w:rsid w:val="008B51FD"/>
    <w:rsid w:val="008D4385"/>
    <w:rsid w:val="008D6D62"/>
    <w:rsid w:val="00902D57"/>
    <w:rsid w:val="00904DFA"/>
    <w:rsid w:val="00931311"/>
    <w:rsid w:val="00933095"/>
    <w:rsid w:val="0093450A"/>
    <w:rsid w:val="009734C2"/>
    <w:rsid w:val="00A04381"/>
    <w:rsid w:val="00A07490"/>
    <w:rsid w:val="00A75560"/>
    <w:rsid w:val="00A902F4"/>
    <w:rsid w:val="00A915E9"/>
    <w:rsid w:val="00AB2989"/>
    <w:rsid w:val="00AB3E09"/>
    <w:rsid w:val="00AF1426"/>
    <w:rsid w:val="00B37EA0"/>
    <w:rsid w:val="00BA0460"/>
    <w:rsid w:val="00BB4BB6"/>
    <w:rsid w:val="00BE2C8B"/>
    <w:rsid w:val="00C03C45"/>
    <w:rsid w:val="00C70E28"/>
    <w:rsid w:val="00C91B18"/>
    <w:rsid w:val="00CA0B79"/>
    <w:rsid w:val="00CB7B01"/>
    <w:rsid w:val="00CC1001"/>
    <w:rsid w:val="00CC3684"/>
    <w:rsid w:val="00CE09D7"/>
    <w:rsid w:val="00CF28FB"/>
    <w:rsid w:val="00CF3E96"/>
    <w:rsid w:val="00D620B1"/>
    <w:rsid w:val="00D662B7"/>
    <w:rsid w:val="00D72F51"/>
    <w:rsid w:val="00DA2C94"/>
    <w:rsid w:val="00DE352D"/>
    <w:rsid w:val="00E108B0"/>
    <w:rsid w:val="00E20DD7"/>
    <w:rsid w:val="00E47603"/>
    <w:rsid w:val="00ED1D0D"/>
    <w:rsid w:val="00EE469F"/>
    <w:rsid w:val="00F2408D"/>
    <w:rsid w:val="00F521F3"/>
    <w:rsid w:val="00F845C9"/>
    <w:rsid w:val="00FA5DB8"/>
    <w:rsid w:val="00FE7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FC9C"/>
  <w15:chartTrackingRefBased/>
  <w15:docId w15:val="{EEBB2F3E-73B6-4007-9677-5F196B25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2496"/>
    <w:pPr>
      <w:contextualSpacing/>
      <w:jc w:val="both"/>
    </w:pPr>
    <w:rPr>
      <w:kern w:val="0"/>
      <w:szCs w:val="22"/>
      <w14:ligatures w14:val="none"/>
    </w:rPr>
  </w:style>
  <w:style w:type="paragraph" w:styleId="Titolo1">
    <w:name w:val="heading 1"/>
    <w:basedOn w:val="Normale"/>
    <w:next w:val="Normale"/>
    <w:link w:val="Titolo1Carattere"/>
    <w:uiPriority w:val="9"/>
    <w:qFormat/>
    <w:rsid w:val="006C2496"/>
    <w:pPr>
      <w:spacing w:line="276" w:lineRule="auto"/>
      <w:outlineLvl w:val="0"/>
    </w:pPr>
    <w:rPr>
      <w:rFonts w:cs="Times New Roman"/>
      <w:b/>
      <w:color w:val="2F5496" w:themeColor="accent1" w:themeShade="BF"/>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C249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6C2496"/>
    <w:rPr>
      <w:rFonts w:cs="Times New Roman"/>
      <w:b/>
      <w:color w:val="2F5496" w:themeColor="accent1" w:themeShade="BF"/>
      <w:kern w:val="0"/>
      <w:sz w:val="36"/>
      <w:szCs w:val="36"/>
      <w14:ligatures w14:val="none"/>
    </w:rPr>
  </w:style>
  <w:style w:type="paragraph" w:customStyle="1" w:styleId="Intestazionecelle">
    <w:name w:val="Intestazione celle"/>
    <w:basedOn w:val="Normale"/>
    <w:autoRedefine/>
    <w:qFormat/>
    <w:rsid w:val="00822679"/>
    <w:pPr>
      <w:jc w:val="left"/>
    </w:pPr>
  </w:style>
  <w:style w:type="character" w:customStyle="1" w:styleId="rynqvb">
    <w:name w:val="rynqvb"/>
    <w:basedOn w:val="Carpredefinitoparagrafo"/>
    <w:rsid w:val="00D72F51"/>
  </w:style>
  <w:style w:type="paragraph" w:styleId="Paragrafoelenco">
    <w:name w:val="List Paragraph"/>
    <w:basedOn w:val="Normale"/>
    <w:uiPriority w:val="34"/>
    <w:qFormat/>
    <w:rsid w:val="00D72F51"/>
    <w:pPr>
      <w:ind w:left="720"/>
    </w:pPr>
  </w:style>
  <w:style w:type="character" w:customStyle="1" w:styleId="cf01">
    <w:name w:val="cf01"/>
    <w:basedOn w:val="Carpredefinitoparagrafo"/>
    <w:rsid w:val="00621A11"/>
    <w:rPr>
      <w:rFonts w:ascii="Segoe UI" w:hAnsi="Segoe UI" w:cs="Segoe UI" w:hint="default"/>
      <w:sz w:val="18"/>
      <w:szCs w:val="18"/>
    </w:rPr>
  </w:style>
  <w:style w:type="paragraph" w:customStyle="1" w:styleId="pf0">
    <w:name w:val="pf0"/>
    <w:basedOn w:val="Normale"/>
    <w:rsid w:val="00682B8C"/>
    <w:pPr>
      <w:spacing w:before="100" w:beforeAutospacing="1" w:after="100" w:afterAutospacing="1"/>
      <w:contextualSpacing w:val="0"/>
      <w:jc w:val="left"/>
    </w:pPr>
    <w:rPr>
      <w:rFonts w:ascii="Times New Roman" w:eastAsia="Times New Roman" w:hAnsi="Times New Roman" w:cs="Times New Roman"/>
      <w:szCs w:val="24"/>
      <w:lang w:eastAsia="it-IT"/>
    </w:rPr>
  </w:style>
  <w:style w:type="paragraph" w:styleId="NormaleWeb">
    <w:name w:val="Normal (Web)"/>
    <w:basedOn w:val="Normale"/>
    <w:uiPriority w:val="99"/>
    <w:semiHidden/>
    <w:unhideWhenUsed/>
    <w:rsid w:val="00140A6E"/>
    <w:pPr>
      <w:spacing w:before="100" w:beforeAutospacing="1" w:after="100" w:afterAutospacing="1"/>
      <w:contextualSpacing w:val="0"/>
      <w:jc w:val="left"/>
    </w:pPr>
    <w:rPr>
      <w:rFonts w:ascii="Times New Roman" w:eastAsia="Times New Roman" w:hAnsi="Times New Roman" w:cs="Times New Roman"/>
      <w:szCs w:val="24"/>
      <w:lang w:eastAsia="it-IT"/>
    </w:rPr>
  </w:style>
  <w:style w:type="character" w:styleId="Rimandocommento">
    <w:name w:val="annotation reference"/>
    <w:basedOn w:val="Carpredefinitoparagrafo"/>
    <w:uiPriority w:val="99"/>
    <w:semiHidden/>
    <w:unhideWhenUsed/>
    <w:rsid w:val="00C03C45"/>
    <w:rPr>
      <w:sz w:val="16"/>
      <w:szCs w:val="16"/>
    </w:rPr>
  </w:style>
  <w:style w:type="paragraph" w:styleId="Testocommento">
    <w:name w:val="annotation text"/>
    <w:basedOn w:val="Normale"/>
    <w:link w:val="TestocommentoCarattere"/>
    <w:uiPriority w:val="99"/>
    <w:unhideWhenUsed/>
    <w:rsid w:val="00C03C45"/>
    <w:rPr>
      <w:sz w:val="20"/>
      <w:szCs w:val="20"/>
    </w:rPr>
  </w:style>
  <w:style w:type="character" w:customStyle="1" w:styleId="TestocommentoCarattere">
    <w:name w:val="Testo commento Carattere"/>
    <w:basedOn w:val="Carpredefinitoparagrafo"/>
    <w:link w:val="Testocommento"/>
    <w:uiPriority w:val="99"/>
    <w:rsid w:val="00C03C45"/>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C03C45"/>
    <w:rPr>
      <w:b/>
      <w:bCs/>
    </w:rPr>
  </w:style>
  <w:style w:type="character" w:customStyle="1" w:styleId="SoggettocommentoCarattere">
    <w:name w:val="Soggetto commento Carattere"/>
    <w:basedOn w:val="TestocommentoCarattere"/>
    <w:link w:val="Soggettocommento"/>
    <w:uiPriority w:val="99"/>
    <w:semiHidden/>
    <w:rsid w:val="00C03C45"/>
    <w:rPr>
      <w:b/>
      <w:bCs/>
      <w:kern w:val="0"/>
      <w:sz w:val="20"/>
      <w:szCs w:val="20"/>
      <w14:ligatures w14:val="none"/>
    </w:rPr>
  </w:style>
  <w:style w:type="paragraph" w:styleId="Revisione">
    <w:name w:val="Revision"/>
    <w:hidden/>
    <w:uiPriority w:val="99"/>
    <w:semiHidden/>
    <w:rsid w:val="00DA2C94"/>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63216">
      <w:bodyDiv w:val="1"/>
      <w:marLeft w:val="0"/>
      <w:marRight w:val="0"/>
      <w:marTop w:val="0"/>
      <w:marBottom w:val="0"/>
      <w:divBdr>
        <w:top w:val="none" w:sz="0" w:space="0" w:color="auto"/>
        <w:left w:val="none" w:sz="0" w:space="0" w:color="auto"/>
        <w:bottom w:val="none" w:sz="0" w:space="0" w:color="auto"/>
        <w:right w:val="none" w:sz="0" w:space="0" w:color="auto"/>
      </w:divBdr>
    </w:div>
    <w:div w:id="514926299">
      <w:bodyDiv w:val="1"/>
      <w:marLeft w:val="0"/>
      <w:marRight w:val="0"/>
      <w:marTop w:val="0"/>
      <w:marBottom w:val="0"/>
      <w:divBdr>
        <w:top w:val="none" w:sz="0" w:space="0" w:color="auto"/>
        <w:left w:val="none" w:sz="0" w:space="0" w:color="auto"/>
        <w:bottom w:val="none" w:sz="0" w:space="0" w:color="auto"/>
        <w:right w:val="none" w:sz="0" w:space="0" w:color="auto"/>
      </w:divBdr>
    </w:div>
    <w:div w:id="662507121">
      <w:bodyDiv w:val="1"/>
      <w:marLeft w:val="0"/>
      <w:marRight w:val="0"/>
      <w:marTop w:val="0"/>
      <w:marBottom w:val="0"/>
      <w:divBdr>
        <w:top w:val="none" w:sz="0" w:space="0" w:color="auto"/>
        <w:left w:val="none" w:sz="0" w:space="0" w:color="auto"/>
        <w:bottom w:val="none" w:sz="0" w:space="0" w:color="auto"/>
        <w:right w:val="none" w:sz="0" w:space="0" w:color="auto"/>
      </w:divBdr>
    </w:div>
    <w:div w:id="843516167">
      <w:bodyDiv w:val="1"/>
      <w:marLeft w:val="0"/>
      <w:marRight w:val="0"/>
      <w:marTop w:val="0"/>
      <w:marBottom w:val="0"/>
      <w:divBdr>
        <w:top w:val="none" w:sz="0" w:space="0" w:color="auto"/>
        <w:left w:val="none" w:sz="0" w:space="0" w:color="auto"/>
        <w:bottom w:val="none" w:sz="0" w:space="0" w:color="auto"/>
        <w:right w:val="none" w:sz="0" w:space="0" w:color="auto"/>
      </w:divBdr>
    </w:div>
    <w:div w:id="851145798">
      <w:bodyDiv w:val="1"/>
      <w:marLeft w:val="0"/>
      <w:marRight w:val="0"/>
      <w:marTop w:val="0"/>
      <w:marBottom w:val="0"/>
      <w:divBdr>
        <w:top w:val="none" w:sz="0" w:space="0" w:color="auto"/>
        <w:left w:val="none" w:sz="0" w:space="0" w:color="auto"/>
        <w:bottom w:val="none" w:sz="0" w:space="0" w:color="auto"/>
        <w:right w:val="none" w:sz="0" w:space="0" w:color="auto"/>
      </w:divBdr>
    </w:div>
    <w:div w:id="1086263817">
      <w:bodyDiv w:val="1"/>
      <w:marLeft w:val="0"/>
      <w:marRight w:val="0"/>
      <w:marTop w:val="0"/>
      <w:marBottom w:val="0"/>
      <w:divBdr>
        <w:top w:val="none" w:sz="0" w:space="0" w:color="auto"/>
        <w:left w:val="none" w:sz="0" w:space="0" w:color="auto"/>
        <w:bottom w:val="none" w:sz="0" w:space="0" w:color="auto"/>
        <w:right w:val="none" w:sz="0" w:space="0" w:color="auto"/>
      </w:divBdr>
    </w:div>
    <w:div w:id="1220171324">
      <w:bodyDiv w:val="1"/>
      <w:marLeft w:val="0"/>
      <w:marRight w:val="0"/>
      <w:marTop w:val="0"/>
      <w:marBottom w:val="0"/>
      <w:divBdr>
        <w:top w:val="none" w:sz="0" w:space="0" w:color="auto"/>
        <w:left w:val="none" w:sz="0" w:space="0" w:color="auto"/>
        <w:bottom w:val="none" w:sz="0" w:space="0" w:color="auto"/>
        <w:right w:val="none" w:sz="0" w:space="0" w:color="auto"/>
      </w:divBdr>
    </w:div>
    <w:div w:id="1286622320">
      <w:bodyDiv w:val="1"/>
      <w:marLeft w:val="0"/>
      <w:marRight w:val="0"/>
      <w:marTop w:val="0"/>
      <w:marBottom w:val="0"/>
      <w:divBdr>
        <w:top w:val="none" w:sz="0" w:space="0" w:color="auto"/>
        <w:left w:val="none" w:sz="0" w:space="0" w:color="auto"/>
        <w:bottom w:val="none" w:sz="0" w:space="0" w:color="auto"/>
        <w:right w:val="none" w:sz="0" w:space="0" w:color="auto"/>
      </w:divBdr>
    </w:div>
    <w:div w:id="1303927629">
      <w:bodyDiv w:val="1"/>
      <w:marLeft w:val="0"/>
      <w:marRight w:val="0"/>
      <w:marTop w:val="0"/>
      <w:marBottom w:val="0"/>
      <w:divBdr>
        <w:top w:val="none" w:sz="0" w:space="0" w:color="auto"/>
        <w:left w:val="none" w:sz="0" w:space="0" w:color="auto"/>
        <w:bottom w:val="none" w:sz="0" w:space="0" w:color="auto"/>
        <w:right w:val="none" w:sz="0" w:space="0" w:color="auto"/>
      </w:divBdr>
    </w:div>
    <w:div w:id="1481844058">
      <w:bodyDiv w:val="1"/>
      <w:marLeft w:val="0"/>
      <w:marRight w:val="0"/>
      <w:marTop w:val="0"/>
      <w:marBottom w:val="0"/>
      <w:divBdr>
        <w:top w:val="none" w:sz="0" w:space="0" w:color="auto"/>
        <w:left w:val="none" w:sz="0" w:space="0" w:color="auto"/>
        <w:bottom w:val="none" w:sz="0" w:space="0" w:color="auto"/>
        <w:right w:val="none" w:sz="0" w:space="0" w:color="auto"/>
      </w:divBdr>
    </w:div>
    <w:div w:id="164705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MASCI</dc:creator>
  <cp:keywords/>
  <dc:description/>
  <cp:lastModifiedBy>Simone FANELLI</cp:lastModifiedBy>
  <cp:revision>34</cp:revision>
  <dcterms:created xsi:type="dcterms:W3CDTF">2024-04-15T09:23:00Z</dcterms:created>
  <dcterms:modified xsi:type="dcterms:W3CDTF">2024-05-06T11:21:00Z</dcterms:modified>
</cp:coreProperties>
</file>