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20"/>
          <w:szCs w:val="20"/>
        </w:rPr>
      </w:pPr>
      <w:bookmarkStart w:id="0" w:name="OLE_LINK1"/>
      <w:r>
        <w:rPr>
          <w:b/>
          <w:bCs/>
          <w:sz w:val="20"/>
          <w:szCs w:val="20"/>
        </w:rPr>
        <w:t xml:space="preserve">Patient-reported walking difficulty </w:t>
      </w:r>
      <w:r>
        <w:rPr>
          <w:rFonts w:hint="eastAsia" w:eastAsia="宋体"/>
          <w:b/>
          <w:bCs/>
          <w:sz w:val="20"/>
          <w:szCs w:val="20"/>
          <w:lang w:eastAsia="zh-CN"/>
        </w:rPr>
        <w:t xml:space="preserve">predicting </w:t>
      </w:r>
      <w:r>
        <w:rPr>
          <w:b/>
          <w:bCs/>
          <w:sz w:val="20"/>
          <w:szCs w:val="20"/>
        </w:rPr>
        <w:t>the post-discharge overall function in patients with lung cancer undergoing minimally invasive surgery</w:t>
      </w:r>
      <w:bookmarkEnd w:id="0"/>
    </w:p>
    <w:p>
      <w:pPr>
        <w:rPr>
          <w:b/>
          <w:bCs/>
          <w:sz w:val="20"/>
          <w:szCs w:val="20"/>
        </w:rPr>
      </w:pPr>
    </w:p>
    <w:p>
      <w:pPr>
        <w:rPr>
          <w:rFonts w:hint="eastAsia"/>
          <w:b/>
          <w:bCs/>
          <w:i/>
          <w:iCs/>
          <w:sz w:val="20"/>
          <w:szCs w:val="20"/>
          <w:lang w:val="en-US" w:eastAsia="zh-CN"/>
        </w:rPr>
      </w:pPr>
      <w:r>
        <w:rPr>
          <w:rFonts w:hint="eastAsia"/>
          <w:b/>
          <w:bCs/>
          <w:i/>
          <w:iCs/>
          <w:sz w:val="20"/>
          <w:szCs w:val="20"/>
          <w:lang w:val="en-US" w:eastAsia="zh-CN"/>
        </w:rPr>
        <w:t>Supportive Care in Cancer</w:t>
      </w:r>
    </w:p>
    <w:p>
      <w:pPr>
        <w:rPr>
          <w:rFonts w:hint="eastAsia"/>
          <w:b/>
          <w:bCs/>
          <w:i/>
          <w:iCs/>
          <w:sz w:val="20"/>
          <w:szCs w:val="20"/>
          <w:lang w:val="en-US" w:eastAsia="zh-CN"/>
        </w:rPr>
      </w:pPr>
    </w:p>
    <w:p>
      <w:pPr>
        <w:snapToGrid w:val="0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Xin Tian,</w:t>
      </w:r>
      <w:r>
        <w:rPr>
          <w:rFonts w:hint="eastAsia" w:eastAsiaTheme="minorEastAsia"/>
          <w:sz w:val="20"/>
          <w:szCs w:val="20"/>
          <w:lang w:eastAsia="zh-CN"/>
        </w:rPr>
        <w:t xml:space="preserve"> </w:t>
      </w:r>
      <w:r>
        <w:rPr>
          <w:rFonts w:hint="eastAsia" w:eastAsia="宋体"/>
          <w:sz w:val="20"/>
          <w:szCs w:val="20"/>
          <w:lang w:eastAsia="zh-CN"/>
        </w:rPr>
        <w:t>MB</w:t>
      </w:r>
      <w:r>
        <w:rPr>
          <w:sz w:val="20"/>
          <w:szCs w:val="20"/>
        </w:rPr>
        <w:t xml:space="preserve"> </w:t>
      </w:r>
      <w:r>
        <w:rPr>
          <w:rStyle w:val="11"/>
          <w:color w:val="000000" w:themeColor="text1"/>
          <w:sz w:val="20"/>
          <w:szCs w:val="20"/>
          <w:u w:val="none"/>
          <w14:textFill>
            <w14:solidFill>
              <w14:schemeClr w14:val="tx1"/>
            </w14:solidFill>
          </w14:textFill>
        </w:rPr>
        <w:t>Peiyang Mao,</w:t>
      </w:r>
      <w:r>
        <w:rPr>
          <w:rStyle w:val="11"/>
          <w:rFonts w:hint="eastAsia" w:eastAsiaTheme="minorEastAsia"/>
          <w:color w:val="000000" w:themeColor="text1"/>
          <w:sz w:val="20"/>
          <w:szCs w:val="20"/>
          <w:u w:val="non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1"/>
          <w:rFonts w:hint="eastAsia" w:eastAsia="宋体"/>
          <w:color w:val="000000" w:themeColor="text1"/>
          <w:sz w:val="20"/>
          <w:szCs w:val="20"/>
          <w:u w:val="none"/>
          <w:lang w:eastAsia="zh-CN"/>
          <w14:textFill>
            <w14:solidFill>
              <w14:schemeClr w14:val="tx1"/>
            </w14:solidFill>
          </w14:textFill>
        </w:rPr>
        <w:t>MB</w:t>
      </w:r>
      <w:r>
        <w:rPr>
          <w:sz w:val="20"/>
          <w:szCs w:val="20"/>
        </w:rPr>
        <w:t xml:space="preserve"> Cheng Lei,</w:t>
      </w:r>
      <w:r>
        <w:rPr>
          <w:rFonts w:hint="eastAsia" w:eastAsiaTheme="minorEastAsia"/>
          <w:sz w:val="20"/>
          <w:szCs w:val="20"/>
          <w:lang w:eastAsia="zh-CN"/>
        </w:rPr>
        <w:t xml:space="preserve"> </w:t>
      </w:r>
      <w:r>
        <w:rPr>
          <w:rFonts w:hint="eastAsia" w:eastAsia="宋体"/>
          <w:sz w:val="20"/>
          <w:szCs w:val="20"/>
          <w:lang w:eastAsia="zh-CN"/>
        </w:rPr>
        <w:t>MD</w:t>
      </w:r>
      <w:r>
        <w:rPr>
          <w:sz w:val="20"/>
          <w:szCs w:val="20"/>
        </w:rPr>
        <w:t xml:space="preserve"> Hongfan Yu,</w:t>
      </w:r>
      <w:r>
        <w:rPr>
          <w:rFonts w:hint="eastAsia" w:eastAsiaTheme="minorEastAsia"/>
          <w:sz w:val="20"/>
          <w:szCs w:val="20"/>
          <w:lang w:eastAsia="zh-CN"/>
        </w:rPr>
        <w:t xml:space="preserve"> </w:t>
      </w:r>
      <w:r>
        <w:rPr>
          <w:rFonts w:hint="eastAsia" w:eastAsia="宋体"/>
          <w:sz w:val="20"/>
          <w:szCs w:val="20"/>
          <w:lang w:eastAsia="zh-CN"/>
        </w:rPr>
        <w:t>MM</w:t>
      </w:r>
      <w:r>
        <w:rPr>
          <w:sz w:val="20"/>
          <w:szCs w:val="20"/>
        </w:rPr>
        <w:t xml:space="preserve"> Wei Dai,</w:t>
      </w:r>
      <w:r>
        <w:rPr>
          <w:rFonts w:cs="Calibri"/>
          <w:sz w:val="20"/>
          <w:szCs w:val="20"/>
        </w:rPr>
        <w:t xml:space="preserve"> MD,</w:t>
      </w:r>
      <w:r>
        <w:rPr>
          <w:sz w:val="20"/>
          <w:szCs w:val="20"/>
        </w:rPr>
        <w:t xml:space="preserve"> Xing Wei,</w:t>
      </w:r>
      <w:r>
        <w:rPr>
          <w:rFonts w:cs="Calibri"/>
          <w:sz w:val="20"/>
          <w:szCs w:val="20"/>
        </w:rPr>
        <w:t xml:space="preserve"> MD</w:t>
      </w:r>
      <w:r>
        <w:rPr>
          <w:rStyle w:val="11"/>
          <w:color w:val="000000" w:themeColor="text1"/>
          <w:sz w:val="20"/>
          <w:szCs w:val="20"/>
          <w:u w:val="none"/>
          <w14:textFill>
            <w14:solidFill>
              <w14:schemeClr w14:val="tx1"/>
            </w14:solidFill>
          </w14:textFill>
        </w:rPr>
        <w:t xml:space="preserve"> Jingyu Zhang,</w:t>
      </w:r>
      <w:r>
        <w:rPr>
          <w:rStyle w:val="11"/>
          <w:rFonts w:hint="eastAsia" w:eastAsiaTheme="minorEastAsia"/>
          <w:color w:val="000000" w:themeColor="text1"/>
          <w:sz w:val="20"/>
          <w:szCs w:val="20"/>
          <w:u w:val="non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1"/>
          <w:rFonts w:hint="eastAsia" w:eastAsia="宋体"/>
          <w:color w:val="000000" w:themeColor="text1"/>
          <w:sz w:val="20"/>
          <w:szCs w:val="20"/>
          <w:u w:val="none"/>
          <w:lang w:eastAsia="zh-CN"/>
          <w14:textFill>
            <w14:solidFill>
              <w14:schemeClr w14:val="tx1"/>
            </w14:solidFill>
          </w14:textFill>
        </w:rPr>
        <w:t>MD</w:t>
      </w:r>
      <w:r>
        <w:rPr>
          <w:sz w:val="20"/>
          <w:szCs w:val="20"/>
        </w:rPr>
        <w:t xml:space="preserve"> Wei Xu, Qiuling Shi,</w:t>
      </w:r>
      <w:r>
        <w:rPr>
          <w:rFonts w:cs="Calibri"/>
          <w:sz w:val="20"/>
          <w:szCs w:val="20"/>
        </w:rPr>
        <w:t xml:space="preserve"> MD</w:t>
      </w:r>
      <w:r>
        <w:rPr>
          <w:sz w:val="20"/>
          <w:szCs w:val="20"/>
        </w:rPr>
        <w:t xml:space="preserve">  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snapToGrid w:val="0"/>
        <w:spacing w:line="48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Correspondence: </w:t>
      </w:r>
      <w:r>
        <w:rPr>
          <w:sz w:val="20"/>
          <w:szCs w:val="20"/>
        </w:rPr>
        <w:t>Qiuling Shi, School of Public Health, Chongqing Medical University, No. 1, Yixueyuan Road, Yuzhong District, Chongqing 400016, China</w:t>
      </w:r>
    </w:p>
    <w:p>
      <w:pPr>
        <w:snapToGrid w:val="0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E-mail: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"mailto:qshi@cqmu.edu.cn" </w:instrText>
      </w:r>
      <w:r>
        <w:rPr>
          <w:sz w:val="20"/>
          <w:szCs w:val="20"/>
        </w:rPr>
        <w:fldChar w:fldCharType="separate"/>
      </w:r>
      <w:r>
        <w:rPr>
          <w:rStyle w:val="11"/>
          <w:sz w:val="20"/>
          <w:szCs w:val="20"/>
        </w:rPr>
        <w:t>qshi@cqmu.edu.cn</w:t>
      </w:r>
      <w:r>
        <w:rPr>
          <w:rStyle w:val="11"/>
          <w:sz w:val="20"/>
          <w:szCs w:val="20"/>
        </w:rPr>
        <w:fldChar w:fldCharType="end"/>
      </w:r>
    </w:p>
    <w:p>
      <w:pPr>
        <w:snapToGrid w:val="0"/>
        <w:spacing w:line="480" w:lineRule="auto"/>
        <w:rPr>
          <w:rFonts w:eastAsia="宋体"/>
          <w:sz w:val="20"/>
          <w:szCs w:val="20"/>
          <w:lang w:eastAsia="zh-CN"/>
        </w:rPr>
      </w:pPr>
      <w:r>
        <w:rPr>
          <w:rFonts w:eastAsia="宋体"/>
          <w:sz w:val="20"/>
          <w:szCs w:val="20"/>
          <w:lang w:eastAsia="zh-CN"/>
        </w:rPr>
        <w:t>Tel.: +86</w:t>
      </w:r>
      <w:r>
        <w:rPr>
          <w:rFonts w:hint="eastAsia"/>
          <w:sz w:val="20"/>
          <w:szCs w:val="20"/>
          <w:lang w:val="en-US" w:eastAsia="zh-CN"/>
        </w:rPr>
        <w:t xml:space="preserve"> </w:t>
      </w:r>
      <w:r>
        <w:rPr>
          <w:rFonts w:eastAsia="宋体"/>
          <w:sz w:val="20"/>
          <w:szCs w:val="20"/>
          <w:lang w:eastAsia="zh-CN"/>
        </w:rPr>
        <w:t>18290585397</w:t>
      </w:r>
    </w:p>
    <w:p>
      <w:pPr>
        <w:snapToGrid w:val="0"/>
        <w:spacing w:line="480" w:lineRule="auto"/>
        <w:rPr>
          <w:b/>
          <w:bCs/>
          <w:sz w:val="20"/>
          <w:szCs w:val="20"/>
        </w:rPr>
      </w:pPr>
      <w:r>
        <w:rPr>
          <w:rFonts w:eastAsia="宋体"/>
          <w:sz w:val="20"/>
          <w:szCs w:val="20"/>
          <w:lang w:eastAsia="zh-CN"/>
        </w:rPr>
        <w:t>Fax: +86-28-85420116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69865" cy="3188335"/>
            <wp:effectExtent l="0" t="0" r="635" b="12065"/>
            <wp:docPr id="6" name="图片 6" descr="be4f7501b7fa787944b0604491453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e4f7501b7fa787944b06044914532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Figure 1 </w:t>
      </w:r>
      <w:r>
        <w:rPr>
          <w:rFonts w:ascii="Times New Roman" w:hAnsi="Times New Roman"/>
          <w:sz w:val="20"/>
          <w:szCs w:val="20"/>
        </w:rPr>
        <w:t>Study flow diagram for the analytical sample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 Table 1</w:t>
      </w:r>
      <w:r>
        <w:rPr>
          <w:rFonts w:ascii="Times New Roman" w:hAnsi="Times New Roman"/>
          <w:sz w:val="20"/>
          <w:szCs w:val="20"/>
        </w:rPr>
        <w:t xml:space="preserve"> Frequency distribution of the walking difficulty score and TUGT value on POD2</w:t>
      </w:r>
    </w:p>
    <w:tbl>
      <w:tblPr>
        <w:tblStyle w:val="8"/>
        <w:tblW w:w="8296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6"/>
        <w:gridCol w:w="2177"/>
        <w:gridCol w:w="221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Variables</w:t>
            </w:r>
          </w:p>
        </w:tc>
        <w:tc>
          <w:tcPr>
            <w:tcW w:w="2177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Number of patients (n=159)</w:t>
            </w:r>
          </w:p>
        </w:tc>
        <w:tc>
          <w:tcPr>
            <w:tcW w:w="2213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Percentage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tcBorders>
              <w:top w:val="single" w:color="auto" w:sz="6" w:space="0"/>
            </w:tcBorders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TUGT on POD2 (s), n (%)</w:t>
            </w:r>
          </w:p>
        </w:tc>
        <w:tc>
          <w:tcPr>
            <w:tcW w:w="2177" w:type="dxa"/>
            <w:tcBorders>
              <w:top w:val="single" w:color="auto" w:sz="6" w:space="0"/>
            </w:tcBorders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color="auto" w:sz="6" w:space="0"/>
            </w:tcBorders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</w:tcPr>
          <w:p>
            <w:pPr>
              <w:rPr>
                <w:rFonts w:ascii="Times New Roman" w:hAnsi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&lt;13.5</w:t>
            </w:r>
          </w:p>
        </w:tc>
        <w:tc>
          <w:tcPr>
            <w:tcW w:w="2177" w:type="dxa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95</w:t>
            </w:r>
          </w:p>
        </w:tc>
        <w:tc>
          <w:tcPr>
            <w:tcW w:w="2213" w:type="dxa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59.75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</w:tcPr>
          <w:p>
            <w:pPr>
              <w:rPr>
                <w:rFonts w:ascii="Times New Roman" w:hAnsi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≥13.5</w:t>
            </w:r>
          </w:p>
        </w:tc>
        <w:tc>
          <w:tcPr>
            <w:tcW w:w="2177" w:type="dxa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64</w:t>
            </w:r>
          </w:p>
        </w:tc>
        <w:tc>
          <w:tcPr>
            <w:tcW w:w="2213" w:type="dxa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40.25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</w:tcPr>
          <w:p>
            <w:pPr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Walking difficulty score on POD2</w:t>
            </w:r>
            <w:r>
              <w:rPr>
                <w:rFonts w:ascii="Times New Roman" w:hAnsi="Times New Roman" w:eastAsiaTheme="minorEastAsia"/>
                <w:sz w:val="20"/>
                <w:szCs w:val="20"/>
              </w:rPr>
              <w:t>,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n (%)</w:t>
            </w:r>
          </w:p>
        </w:tc>
        <w:tc>
          <w:tcPr>
            <w:tcW w:w="2177" w:type="dxa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</w:t>
            </w:r>
          </w:p>
        </w:tc>
        <w:tc>
          <w:tcPr>
            <w:tcW w:w="2177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15</w:t>
            </w:r>
          </w:p>
        </w:tc>
        <w:tc>
          <w:tcPr>
            <w:tcW w:w="2213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9.43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</w:t>
            </w:r>
          </w:p>
        </w:tc>
        <w:tc>
          <w:tcPr>
            <w:tcW w:w="2177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19</w:t>
            </w:r>
          </w:p>
        </w:tc>
        <w:tc>
          <w:tcPr>
            <w:tcW w:w="2213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11.95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</w:t>
            </w:r>
          </w:p>
        </w:tc>
        <w:tc>
          <w:tcPr>
            <w:tcW w:w="2177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24</w:t>
            </w:r>
          </w:p>
        </w:tc>
        <w:tc>
          <w:tcPr>
            <w:tcW w:w="2213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15.09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</w:t>
            </w:r>
          </w:p>
        </w:tc>
        <w:tc>
          <w:tcPr>
            <w:tcW w:w="2177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30</w:t>
            </w:r>
          </w:p>
        </w:tc>
        <w:tc>
          <w:tcPr>
            <w:tcW w:w="2213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18.87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4</w:t>
            </w:r>
          </w:p>
        </w:tc>
        <w:tc>
          <w:tcPr>
            <w:tcW w:w="2177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33</w:t>
            </w:r>
          </w:p>
        </w:tc>
        <w:tc>
          <w:tcPr>
            <w:tcW w:w="2213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20.75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</w:t>
            </w:r>
          </w:p>
        </w:tc>
        <w:tc>
          <w:tcPr>
            <w:tcW w:w="2177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19</w:t>
            </w:r>
          </w:p>
        </w:tc>
        <w:tc>
          <w:tcPr>
            <w:tcW w:w="2213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11.95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6</w:t>
            </w:r>
          </w:p>
        </w:tc>
        <w:tc>
          <w:tcPr>
            <w:tcW w:w="2177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</w:t>
            </w:r>
          </w:p>
        </w:tc>
        <w:tc>
          <w:tcPr>
            <w:tcW w:w="2213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5.66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7</w:t>
            </w:r>
          </w:p>
        </w:tc>
        <w:tc>
          <w:tcPr>
            <w:tcW w:w="2177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</w:t>
            </w:r>
          </w:p>
        </w:tc>
        <w:tc>
          <w:tcPr>
            <w:tcW w:w="2213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5.03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</w:t>
            </w:r>
          </w:p>
        </w:tc>
        <w:tc>
          <w:tcPr>
            <w:tcW w:w="2177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</w:t>
            </w:r>
          </w:p>
        </w:tc>
        <w:tc>
          <w:tcPr>
            <w:tcW w:w="2213" w:type="dxa"/>
          </w:tcPr>
          <w:p>
            <w:pPr>
              <w:rPr>
                <w:rFonts w:ascii="Times New Roman" w:hAnsi="Times New Roman" w:eastAsia="Times New Roman Uni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1.26</w:t>
            </w:r>
          </w:p>
        </w:tc>
      </w:tr>
    </w:tbl>
    <w:p>
      <w:pPr>
        <w:rPr>
          <w:rFonts w:ascii="Times New Roman" w:hAnsi="Times New Roman"/>
          <w:sz w:val="20"/>
          <w:szCs w:val="2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sz w:val="20"/>
          <w:szCs w:val="20"/>
        </w:rPr>
        <w:t>POD2, postoperative day 2; TUGT, Timed Up and Go Test</w:t>
      </w:r>
    </w:p>
    <w:p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Table 2 </w:t>
      </w:r>
      <w:r>
        <w:rPr>
          <w:rFonts w:ascii="Times New Roman" w:hAnsi="Times New Roman"/>
          <w:sz w:val="20"/>
          <w:szCs w:val="20"/>
        </w:rPr>
        <w:t xml:space="preserve">The functional status and quality of life scores at different time points post-discharge of patients with no/mild and severe difficulty walking at discharge </w:t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tbl>
      <w:tblPr>
        <w:tblStyle w:val="8"/>
        <w:tblW w:w="5529" w:type="pct"/>
        <w:tblInd w:w="-4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922"/>
        <w:gridCol w:w="1315"/>
        <w:gridCol w:w="925"/>
        <w:gridCol w:w="1527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676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Functional status</w:t>
            </w:r>
          </w:p>
        </w:tc>
        <w:tc>
          <w:tcPr>
            <w:tcW w:w="1549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Time point</w:t>
            </w:r>
          </w:p>
        </w:tc>
        <w:tc>
          <w:tcPr>
            <w:tcW w:w="1189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 (147)</w:t>
            </w:r>
          </w:p>
        </w:tc>
        <w:tc>
          <w:tcPr>
            <w:tcW w:w="1584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Mean (SD)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676" w:type="pct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pct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No/Mild</w:t>
            </w:r>
          </w:p>
        </w:tc>
        <w:tc>
          <w:tcPr>
            <w:tcW w:w="491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Severe</w:t>
            </w:r>
          </w:p>
        </w:tc>
        <w:tc>
          <w:tcPr>
            <w:tcW w:w="810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No/Mild</w:t>
            </w:r>
          </w:p>
        </w:tc>
        <w:tc>
          <w:tcPr>
            <w:tcW w:w="773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Severe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676" w:type="pct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Physical Function</w:t>
            </w:r>
          </w:p>
        </w:tc>
        <w:tc>
          <w:tcPr>
            <w:tcW w:w="1549" w:type="pct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Discharge</w:t>
            </w:r>
          </w:p>
        </w:tc>
        <w:tc>
          <w:tcPr>
            <w:tcW w:w="698" w:type="pct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491" w:type="pct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810" w:type="pct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78.04 (13.49)</w:t>
            </w:r>
          </w:p>
        </w:tc>
        <w:tc>
          <w:tcPr>
            <w:tcW w:w="773" w:type="pct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66.19(14.97)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676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Two weeks after discharge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82.63 (11.40)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78.39(12.42)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676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Four weeks after discharge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86.92 (9.13)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84.92(9.86)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67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Emotional Function</w:t>
            </w: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Discharge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79.10 (19.63)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68.97(22.36)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676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Two weeks after discharge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84.92 (15.41)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82.11(17.42)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676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Four weeks after discharge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86.54 (14.41)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85.56(16.80)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Role Function</w:t>
            </w: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Discharge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68.25(29.37)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48.72(34.71)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6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Two weeks after discharge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63.77 (26.65)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50.48(28.15)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6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Four weeks after discharge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69.74 (23.37)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63.44(29.00)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QOL</w:t>
            </w: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Discharge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51.90 (19.65)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42.09(21.63)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6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Two weeks after discharge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54.95(20.23)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54.05(20.35)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6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Four weeks after discharge</w:t>
            </w:r>
          </w:p>
        </w:tc>
        <w:tc>
          <w:tcPr>
            <w:tcW w:w="698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491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60.98(21.78)</w:t>
            </w:r>
          </w:p>
        </w:tc>
        <w:tc>
          <w:tcPr>
            <w:tcW w:w="773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58.06(21.93)</w:t>
            </w:r>
          </w:p>
        </w:tc>
      </w:tr>
    </w:tbl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SD, standard deviation; QOL, quality of life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Table 3 </w:t>
      </w:r>
      <w:r>
        <w:rPr>
          <w:rFonts w:ascii="Times New Roman" w:hAnsi="Times New Roman"/>
          <w:sz w:val="20"/>
          <w:szCs w:val="20"/>
        </w:rPr>
        <w:t>Comparison of disparities in walking difficulty between different groups defined by threshold</w:t>
      </w:r>
      <w:r>
        <w:rPr>
          <w:rFonts w:ascii="Times New Roman" w:hAnsi="Times New Roman" w:eastAsia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 the day of discharge</w:t>
      </w:r>
    </w:p>
    <w:tbl>
      <w:tblPr>
        <w:tblStyle w:val="8"/>
        <w:tblW w:w="8931" w:type="dxa"/>
        <w:tblInd w:w="-284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2"/>
        <w:gridCol w:w="2209"/>
        <w:gridCol w:w="2247"/>
        <w:gridCol w:w="98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Demographic and clinical characteristics</w:t>
            </w:r>
          </w:p>
        </w:tc>
        <w:tc>
          <w:tcPr>
            <w:tcW w:w="4456" w:type="dxa"/>
            <w:gridSpan w:val="2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Optimal </w:t>
            </w:r>
            <w:r>
              <w:rPr>
                <w:rFonts w:ascii="Times New Roman" w:hAnsi="Times New Roman"/>
                <w:sz w:val="20"/>
                <w:szCs w:val="20"/>
              </w:rPr>
              <w:t>threshold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4</w:t>
            </w:r>
          </w:p>
        </w:tc>
        <w:tc>
          <w:tcPr>
            <w:tcW w:w="983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3492" w:type="dxa"/>
            <w:vMerge w:val="continue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No/Mild (n=24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Severe (n=10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vMerge w:val="continue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349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Age (years), median [IQR]</w:t>
            </w:r>
          </w:p>
        </w:tc>
        <w:tc>
          <w:tcPr>
            <w:tcW w:w="2209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55 [47–6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]</w:t>
            </w:r>
          </w:p>
        </w:tc>
        <w:tc>
          <w:tcPr>
            <w:tcW w:w="2247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57 [51–64]</w:t>
            </w:r>
          </w:p>
        </w:tc>
        <w:tc>
          <w:tcPr>
            <w:tcW w:w="983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</w:t>
            </w: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  <w:vertAlign w:val="superscript"/>
              </w:rPr>
              <w:t xml:space="preserve"> 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BMI, median [IQR]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22.52 [20.83–24.6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]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22.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6 [20.9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–25.7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]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</w:rPr>
              <w:t>277</w:t>
            </w:r>
            <w:r>
              <w:rPr>
                <w:rFonts w:ascii="Times New Roman" w:hAnsi="Times New Roman" w:eastAsia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sex, n (%)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/>
                <w:sz w:val="20"/>
                <w:szCs w:val="20"/>
              </w:rPr>
              <w:t>91</w:t>
            </w:r>
            <w:r>
              <w:rPr>
                <w:rFonts w:ascii="Times New Roman" w:hAnsi="Times New Roman" w:eastAsia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Male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/>
                <w:sz w:val="20"/>
                <w:szCs w:val="20"/>
              </w:rPr>
              <w:t>5.89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32 (3</w:t>
            </w:r>
            <w:r>
              <w:rPr>
                <w:rFonts w:ascii="Times New Roman" w:hAnsi="Times New Roman"/>
                <w:sz w:val="20"/>
                <w:szCs w:val="20"/>
              </w:rPr>
              <w:t>2.00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Female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159 (6</w:t>
            </w:r>
            <w:r>
              <w:rPr>
                <w:rFonts w:ascii="Times New Roman" w:hAnsi="Times New Roman"/>
                <w:sz w:val="20"/>
                <w:szCs w:val="20"/>
              </w:rPr>
              <w:t>4.11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(68.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Smoking history, n (%)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0.85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eastAsia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Never smoked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(78.</w:t>
            </w:r>
            <w:r>
              <w:rPr>
                <w:rFonts w:ascii="Times New Roman" w:hAnsi="Times New Roman"/>
                <w:sz w:val="20"/>
                <w:szCs w:val="20"/>
              </w:rPr>
              <w:t>63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(80.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Current smoker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35 (14.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 (1</w:t>
            </w:r>
            <w:r>
              <w:rPr>
                <w:rFonts w:ascii="Times New Roman" w:hAnsi="Times New Roman"/>
                <w:sz w:val="20"/>
                <w:szCs w:val="20"/>
              </w:rPr>
              <w:t>2.00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Former smoker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18 (7.2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 (</w:t>
            </w:r>
            <w:r>
              <w:rPr>
                <w:rFonts w:ascii="Times New Roman" w:hAnsi="Times New Roman"/>
                <w:sz w:val="20"/>
                <w:szCs w:val="20"/>
              </w:rPr>
              <w:t>8.00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Surgical history, n (%)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</w:rPr>
              <w:t>528</w:t>
            </w:r>
            <w:r>
              <w:rPr>
                <w:rFonts w:ascii="Times New Roman" w:hAnsi="Times New Roman" w:eastAsia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Thoracic surgery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(4.44)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(2.00)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Non-thoracic surgery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45.97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49.00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No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(49.</w:t>
            </w: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49 (4</w:t>
            </w:r>
            <w:r>
              <w:rPr>
                <w:rFonts w:ascii="Times New Roman" w:hAnsi="Times New Roman"/>
                <w:sz w:val="20"/>
                <w:szCs w:val="20"/>
              </w:rPr>
              <w:t>9.00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Preoperative ECOG score, n (%)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1.000</w:t>
            </w:r>
            <w:r>
              <w:rPr>
                <w:rFonts w:ascii="Times New Roman" w:hAnsi="Times New Roman" w:eastAsia="Times New Roman"/>
                <w:sz w:val="20"/>
                <w:szCs w:val="20"/>
                <w:vertAlign w:val="superscript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(98.39)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(99.0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&gt;1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4 (1.61)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 (</w:t>
            </w:r>
            <w:r>
              <w:rPr>
                <w:rFonts w:ascii="Times New Roman" w:hAnsi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ASA classification, n (%)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eastAsia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Ⅰ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(91.9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(92.0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&gt;</w:t>
            </w:r>
            <w:r>
              <w:rPr>
                <w:rFonts w:hint="eastAsia" w:ascii="Times New Roman" w:hAnsi="Times New Roman"/>
                <w:sz w:val="20"/>
                <w:szCs w:val="20"/>
              </w:rPr>
              <w:t>Ⅰ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20 (8.0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 (</w:t>
            </w:r>
            <w:r>
              <w:rPr>
                <w:rFonts w:ascii="Times New Roman" w:hAnsi="Times New Roman"/>
                <w:sz w:val="20"/>
                <w:szCs w:val="20"/>
              </w:rPr>
              <w:t>8.00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Surgical approach, n (%)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</w:rPr>
              <w:t>52</w:t>
            </w:r>
            <w:r>
              <w:rPr>
                <w:rFonts w:ascii="Times New Roman" w:hAnsi="Times New Roman" w:eastAsia="Times New Roman"/>
                <w:sz w:val="20"/>
                <w:szCs w:val="20"/>
                <w:vertAlign w:val="superscript"/>
              </w:rPr>
              <w:t xml:space="preserve"> b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Single-port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83 (33.</w:t>
            </w:r>
            <w:r>
              <w:rPr>
                <w:rFonts w:ascii="Times New Roman" w:hAnsi="Times New Roman"/>
                <w:sz w:val="20"/>
                <w:szCs w:val="20"/>
              </w:rPr>
              <w:t>47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36 (3</w:t>
            </w:r>
            <w:r>
              <w:rPr>
                <w:rFonts w:ascii="Times New Roman" w:hAnsi="Times New Roman"/>
                <w:sz w:val="20"/>
                <w:szCs w:val="20"/>
              </w:rPr>
              <w:t>6.00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Multiple-port 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(66.</w:t>
            </w:r>
            <w:r>
              <w:rPr>
                <w:rFonts w:ascii="Times New Roman" w:hAnsi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(64.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Chest tube number, n (%)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eastAsia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(84.</w:t>
            </w:r>
            <w:r>
              <w:rPr>
                <w:rFonts w:ascii="Times New Roman" w:hAnsi="Times New Roman"/>
                <w:sz w:val="20"/>
                <w:szCs w:val="20"/>
              </w:rPr>
              <w:t>68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(79.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38 (15.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21 (2</w:t>
            </w:r>
            <w:r>
              <w:rPr>
                <w:rFonts w:ascii="Times New Roman" w:hAnsi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Postoperative pathological TNM stage, n (%)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</w:rPr>
              <w:t>886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0-I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227 (91.</w:t>
            </w:r>
            <w:r>
              <w:rPr>
                <w:rFonts w:ascii="Times New Roman" w:hAnsi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92 (9</w:t>
            </w:r>
            <w:r>
              <w:rPr>
                <w:rFonts w:ascii="Times New Roman" w:hAnsi="Times New Roman"/>
                <w:sz w:val="20"/>
                <w:szCs w:val="20"/>
              </w:rPr>
              <w:t>2.00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II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eastAsiaTheme="minorEastAsia"/>
                <w:sz w:val="20"/>
                <w:szCs w:val="20"/>
              </w:rPr>
              <w:t>IV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21 (8.4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8 (</w:t>
            </w:r>
            <w:r>
              <w:rPr>
                <w:rFonts w:ascii="Times New Roman" w:hAnsi="Times New Roman"/>
                <w:sz w:val="20"/>
                <w:szCs w:val="20"/>
              </w:rPr>
              <w:t>8.00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FEV1 (L), median [IQR]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2.36 [1.89–2.8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]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2.0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[1.</w:t>
            </w:r>
            <w:r>
              <w:rPr>
                <w:rFonts w:ascii="Times New Roman" w:hAnsi="Times New Roman"/>
                <w:sz w:val="20"/>
                <w:szCs w:val="20"/>
              </w:rPr>
              <w:t>56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–2.7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]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</w:rPr>
              <w:t>0.01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  <w:vertAlign w:val="superscript"/>
              </w:rPr>
              <w:t xml:space="preserve"> 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Operation time (min), median [IQR]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90</w:t>
            </w:r>
            <w:r>
              <w:rPr>
                <w:rFonts w:ascii="Times New Roman" w:hAnsi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[6</w:t>
            </w:r>
            <w:r>
              <w:rPr>
                <w:rFonts w:ascii="Times New Roman" w:hAnsi="Times New Roman"/>
                <w:sz w:val="20"/>
                <w:szCs w:val="20"/>
              </w:rPr>
              <w:t>6.00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–120</w:t>
            </w:r>
            <w:r>
              <w:rPr>
                <w:rFonts w:ascii="Times New Roman" w:hAnsi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]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90</w:t>
            </w:r>
            <w:r>
              <w:rPr>
                <w:rFonts w:ascii="Times New Roman" w:hAnsi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67.50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–125</w:t>
            </w:r>
            <w:r>
              <w:rPr>
                <w:rFonts w:ascii="Times New Roman" w:hAnsi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]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eastAsia="Times New Roman"/>
                <w:sz w:val="20"/>
                <w:szCs w:val="20"/>
                <w:vertAlign w:val="superscript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Operative bleeding volume (mL), median [IQR]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[50</w:t>
            </w:r>
            <w:r>
              <w:rPr>
                <w:rFonts w:ascii="Times New Roman" w:hAnsi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–100</w:t>
            </w:r>
            <w:r>
              <w:rPr>
                <w:rFonts w:ascii="Times New Roman" w:hAnsi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]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[50</w:t>
            </w:r>
            <w:r>
              <w:rPr>
                <w:rFonts w:ascii="Times New Roman" w:hAnsi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>65.00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]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eastAsia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34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Postoperative length of stay in hospital (days), median [IQR]</w:t>
            </w:r>
          </w:p>
        </w:tc>
        <w:tc>
          <w:tcPr>
            <w:tcW w:w="22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 [3–5]</w:t>
            </w:r>
          </w:p>
        </w:tc>
        <w:tc>
          <w:tcPr>
            <w:tcW w:w="22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3 [2–4]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  <w:vertAlign w:val="superscript"/>
              </w:rPr>
              <w:t xml:space="preserve"> a</w:t>
            </w:r>
          </w:p>
        </w:tc>
      </w:tr>
    </w:tbl>
    <w:p>
      <w:pPr>
        <w:rPr>
          <w:rFonts w:hint="eastAsia"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ASA, American Society of Anesthesiologists; BMI, body mass index; IQR, interquartile range; TNM, tumor, node, metastasis</w:t>
      </w:r>
      <w:r>
        <w:rPr>
          <w:rFonts w:hint="eastAsia" w:ascii="Times New Roman" w:hAnsi="Times New Roman"/>
          <w:sz w:val="20"/>
          <w:szCs w:val="20"/>
        </w:rPr>
        <w:t xml:space="preserve">; ECOG, Eastern </w:t>
      </w:r>
      <w:r>
        <w:rPr>
          <w:rFonts w:ascii="Times New Roman" w:hAnsi="Times New Roman"/>
          <w:sz w:val="20"/>
          <w:szCs w:val="20"/>
        </w:rPr>
        <w:t>Cooperative</w:t>
      </w:r>
      <w:r>
        <w:rPr>
          <w:rFonts w:hint="eastAsia" w:ascii="Times New Roman" w:hAnsi="Times New Roman"/>
          <w:sz w:val="20"/>
          <w:szCs w:val="20"/>
        </w:rPr>
        <w:t xml:space="preserve"> Oncology Group</w:t>
      </w:r>
    </w:p>
    <w:p>
      <w:pPr>
        <w:rPr>
          <w:rFonts w:hint="eastAsia" w:ascii="Times New Roman" w:hAnsi="Times New Roman"/>
          <w:sz w:val="20"/>
          <w:szCs w:val="20"/>
        </w:rPr>
      </w:pPr>
    </w:p>
    <w:p>
      <w:pPr>
        <w:pStyle w:val="5"/>
        <w:snapToGrid w:val="0"/>
        <w:rPr>
          <w:rFonts w:ascii="Times New Roman" w:hAnsi="Times New Roman"/>
          <w:sz w:val="20"/>
          <w:szCs w:val="20"/>
        </w:rPr>
      </w:pPr>
      <w:r>
        <w:rPr>
          <w:rStyle w:val="13"/>
          <w:rFonts w:ascii="Times New Roman" w:hAnsi="Times New Roman"/>
          <w:sz w:val="20"/>
          <w:szCs w:val="20"/>
        </w:rPr>
        <w:footnoteReference w:id="0"/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Mann–Whitney U test</w:t>
      </w:r>
    </w:p>
    <w:p>
      <w:pPr>
        <w:rPr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</w:pPr>
      <w:r>
        <w:rPr>
          <w:rStyle w:val="13"/>
          <w:sz w:val="20"/>
          <w:szCs w:val="20"/>
        </w:rPr>
        <w:footnoteReference w:id="1"/>
      </w:r>
      <w:r>
        <w:rPr>
          <w:rFonts w:hint="eastAsia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/>
          <w:sz w:val="20"/>
          <w:szCs w:val="20"/>
        </w:rPr>
        <w:t>Chi-square tests</w:t>
      </w:r>
    </w:p>
    <w:p>
      <w:pPr>
        <w:rPr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</w:pPr>
      <w:r>
        <w:rPr>
          <w:rStyle w:val="13"/>
          <w:sz w:val="20"/>
          <w:szCs w:val="20"/>
        </w:rPr>
        <w:footnoteReference w:id="2"/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Fisher exact probability test</w:t>
      </w:r>
      <w:bookmarkStart w:id="1" w:name="_GoBack"/>
      <w:bookmarkEnd w:id="1"/>
    </w:p>
    <w:p>
      <w:pPr>
        <w:rPr>
          <w:sz w:val="20"/>
          <w:szCs w:val="20"/>
        </w:rPr>
      </w:pPr>
    </w:p>
    <w:p>
      <w:pPr>
        <w:rPr>
          <w:rFonts w:hint="eastAsia"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sectPr>
      <w:footnotePr>
        <w:pos w:val="beneathText"/>
        <w:numFmt w:val="lowerLetter"/>
      </w:foot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Uni">
    <w:panose1 w:val="02020603050405020304"/>
    <w:charset w:val="86"/>
    <w:family w:val="roman"/>
    <w:pitch w:val="default"/>
    <w:sig w:usb0="B334AAFF" w:usb1="F9FFFFFF" w:usb2="0000003E" w:usb3="00000000" w:csb0="601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/>
  </w:footnote>
  <w:footnote w:type="continuationSeparator" w:id="7">
    <w:p/>
  </w:footnote>
  <w:footnote w:id="0">
    <w:p>
      <w:pPr>
        <w:pStyle w:val="5"/>
        <w:snapToGrid w:val="0"/>
        <w:rPr>
          <w:rFonts w:ascii="Times New Roman" w:hAnsi="Times New Roman"/>
          <w:sz w:val="22"/>
          <w:szCs w:val="22"/>
        </w:rPr>
      </w:pPr>
    </w:p>
  </w:footnote>
  <w:footnote w:id="1">
    <w:p>
      <w:pPr>
        <w:rPr>
          <w:rFonts w:ascii="Times New Roman" w:hAnsi="Times New Roman"/>
          <w:sz w:val="22"/>
          <w:szCs w:val="22"/>
        </w:rPr>
      </w:pPr>
      <w:r>
        <w:t xml:space="preserve"> </w:t>
      </w:r>
    </w:p>
    <w:p>
      <w:pPr>
        <w:pStyle w:val="5"/>
        <w:snapToGrid w:val="0"/>
      </w:pPr>
    </w:p>
  </w:footnote>
  <w:footnote w:id="2">
    <w:p>
      <w:pPr>
        <w:pStyle w:val="5"/>
        <w:snapToGrid w:val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6"/>
    <w:footnote w:id="7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zYTAzZjJkYzRkOGY3MDhmYzU1MDQzZjQ0YmM2ZjcifQ=="/>
  </w:docVars>
  <w:rsids>
    <w:rsidRoot w:val="00525084"/>
    <w:rsid w:val="00071BE2"/>
    <w:rsid w:val="000C1769"/>
    <w:rsid w:val="001D0EC2"/>
    <w:rsid w:val="00262CC6"/>
    <w:rsid w:val="002D0B8D"/>
    <w:rsid w:val="00480680"/>
    <w:rsid w:val="0052375A"/>
    <w:rsid w:val="00525084"/>
    <w:rsid w:val="00547B46"/>
    <w:rsid w:val="005B12B1"/>
    <w:rsid w:val="00752E1C"/>
    <w:rsid w:val="0078456E"/>
    <w:rsid w:val="0082190A"/>
    <w:rsid w:val="0092596E"/>
    <w:rsid w:val="009A7605"/>
    <w:rsid w:val="009C4BE8"/>
    <w:rsid w:val="00A7566E"/>
    <w:rsid w:val="00C67272"/>
    <w:rsid w:val="00C75BEE"/>
    <w:rsid w:val="00C8436E"/>
    <w:rsid w:val="00D03969"/>
    <w:rsid w:val="00D41A91"/>
    <w:rsid w:val="00E5093E"/>
    <w:rsid w:val="00F072FC"/>
    <w:rsid w:val="00F21F23"/>
    <w:rsid w:val="00F60122"/>
    <w:rsid w:val="00F94A0F"/>
    <w:rsid w:val="00FE6171"/>
    <w:rsid w:val="02375428"/>
    <w:rsid w:val="02830AFC"/>
    <w:rsid w:val="02D734AD"/>
    <w:rsid w:val="034D095E"/>
    <w:rsid w:val="03FD7348"/>
    <w:rsid w:val="04DD0DB5"/>
    <w:rsid w:val="04FC43EA"/>
    <w:rsid w:val="05235E1B"/>
    <w:rsid w:val="05373674"/>
    <w:rsid w:val="06115028"/>
    <w:rsid w:val="066E1317"/>
    <w:rsid w:val="069A65B0"/>
    <w:rsid w:val="06DA4BFF"/>
    <w:rsid w:val="07B87AD5"/>
    <w:rsid w:val="081B54CF"/>
    <w:rsid w:val="095C7B4D"/>
    <w:rsid w:val="098553AB"/>
    <w:rsid w:val="0992356F"/>
    <w:rsid w:val="0AD32091"/>
    <w:rsid w:val="0B564393"/>
    <w:rsid w:val="0D307327"/>
    <w:rsid w:val="0D5C45C0"/>
    <w:rsid w:val="0D8C6527"/>
    <w:rsid w:val="0E493622"/>
    <w:rsid w:val="0E5928AD"/>
    <w:rsid w:val="0E8F62CF"/>
    <w:rsid w:val="0F2033CB"/>
    <w:rsid w:val="0F384BB8"/>
    <w:rsid w:val="10CB7366"/>
    <w:rsid w:val="10F42D61"/>
    <w:rsid w:val="119360D6"/>
    <w:rsid w:val="1235718D"/>
    <w:rsid w:val="12704669"/>
    <w:rsid w:val="12C80CB7"/>
    <w:rsid w:val="143270D6"/>
    <w:rsid w:val="1461426A"/>
    <w:rsid w:val="14F275B8"/>
    <w:rsid w:val="1553598C"/>
    <w:rsid w:val="15DB0DC1"/>
    <w:rsid w:val="15E26251"/>
    <w:rsid w:val="15EC37BF"/>
    <w:rsid w:val="15F5735F"/>
    <w:rsid w:val="16C94348"/>
    <w:rsid w:val="17465999"/>
    <w:rsid w:val="18E611E1"/>
    <w:rsid w:val="193A6556"/>
    <w:rsid w:val="19706CFD"/>
    <w:rsid w:val="1B0D2C43"/>
    <w:rsid w:val="1B177D78"/>
    <w:rsid w:val="1BB05AD7"/>
    <w:rsid w:val="1C161DDD"/>
    <w:rsid w:val="1D7A639C"/>
    <w:rsid w:val="1E610303"/>
    <w:rsid w:val="20971013"/>
    <w:rsid w:val="211E7897"/>
    <w:rsid w:val="22284619"/>
    <w:rsid w:val="227E06DD"/>
    <w:rsid w:val="229972C4"/>
    <w:rsid w:val="22D84291"/>
    <w:rsid w:val="233B037C"/>
    <w:rsid w:val="236222AE"/>
    <w:rsid w:val="23B1063E"/>
    <w:rsid w:val="23F35C16"/>
    <w:rsid w:val="240D7F6A"/>
    <w:rsid w:val="24747FE9"/>
    <w:rsid w:val="24FE78B3"/>
    <w:rsid w:val="261A071C"/>
    <w:rsid w:val="26864004"/>
    <w:rsid w:val="271D6716"/>
    <w:rsid w:val="279938C3"/>
    <w:rsid w:val="28E31299"/>
    <w:rsid w:val="293D309F"/>
    <w:rsid w:val="29EE32C3"/>
    <w:rsid w:val="2A0A0DC7"/>
    <w:rsid w:val="2BD15D21"/>
    <w:rsid w:val="2C210A56"/>
    <w:rsid w:val="2C3A5674"/>
    <w:rsid w:val="2C873B84"/>
    <w:rsid w:val="2C923702"/>
    <w:rsid w:val="2C950AFD"/>
    <w:rsid w:val="2CA376BD"/>
    <w:rsid w:val="2CFC0B7C"/>
    <w:rsid w:val="2DB72CF5"/>
    <w:rsid w:val="2E3305CD"/>
    <w:rsid w:val="2F6C023B"/>
    <w:rsid w:val="2FA554FB"/>
    <w:rsid w:val="30F11E16"/>
    <w:rsid w:val="321B1AA4"/>
    <w:rsid w:val="33CC5F32"/>
    <w:rsid w:val="342B1D46"/>
    <w:rsid w:val="34711E4F"/>
    <w:rsid w:val="350D601C"/>
    <w:rsid w:val="355552CD"/>
    <w:rsid w:val="363E5E3F"/>
    <w:rsid w:val="36E52680"/>
    <w:rsid w:val="36F5338D"/>
    <w:rsid w:val="37A61E10"/>
    <w:rsid w:val="37E312B6"/>
    <w:rsid w:val="39225E0E"/>
    <w:rsid w:val="39641F82"/>
    <w:rsid w:val="3AED3A1B"/>
    <w:rsid w:val="3B516536"/>
    <w:rsid w:val="3B892174"/>
    <w:rsid w:val="3BBF16F2"/>
    <w:rsid w:val="3BF44975"/>
    <w:rsid w:val="3CF17FD1"/>
    <w:rsid w:val="3D600CB3"/>
    <w:rsid w:val="3E124CCA"/>
    <w:rsid w:val="3E151A9D"/>
    <w:rsid w:val="3E3963F4"/>
    <w:rsid w:val="3EA846BF"/>
    <w:rsid w:val="3ECA2888"/>
    <w:rsid w:val="3F584337"/>
    <w:rsid w:val="40297384"/>
    <w:rsid w:val="40F4142F"/>
    <w:rsid w:val="411A73CB"/>
    <w:rsid w:val="41202C33"/>
    <w:rsid w:val="42874AB4"/>
    <w:rsid w:val="434D1CD9"/>
    <w:rsid w:val="4368266F"/>
    <w:rsid w:val="43877E9C"/>
    <w:rsid w:val="43AC6A00"/>
    <w:rsid w:val="43FF0359"/>
    <w:rsid w:val="44366C11"/>
    <w:rsid w:val="44B57B36"/>
    <w:rsid w:val="45216F7A"/>
    <w:rsid w:val="454D5FC1"/>
    <w:rsid w:val="45A2455E"/>
    <w:rsid w:val="46537607"/>
    <w:rsid w:val="466C691A"/>
    <w:rsid w:val="46EB783F"/>
    <w:rsid w:val="478A0CA0"/>
    <w:rsid w:val="48AF2AEE"/>
    <w:rsid w:val="49520D56"/>
    <w:rsid w:val="495F4514"/>
    <w:rsid w:val="49EA2030"/>
    <w:rsid w:val="4A631069"/>
    <w:rsid w:val="4A945C93"/>
    <w:rsid w:val="4D550108"/>
    <w:rsid w:val="4E2441A8"/>
    <w:rsid w:val="4E3F5668"/>
    <w:rsid w:val="4E5D3917"/>
    <w:rsid w:val="4E8C7B5A"/>
    <w:rsid w:val="4F18763F"/>
    <w:rsid w:val="4F31425D"/>
    <w:rsid w:val="4FA47125"/>
    <w:rsid w:val="506348EA"/>
    <w:rsid w:val="50947199"/>
    <w:rsid w:val="50E7368D"/>
    <w:rsid w:val="510C6D30"/>
    <w:rsid w:val="510F6820"/>
    <w:rsid w:val="515F4F84"/>
    <w:rsid w:val="51B26791"/>
    <w:rsid w:val="523F4EE3"/>
    <w:rsid w:val="527F3531"/>
    <w:rsid w:val="529A3CEF"/>
    <w:rsid w:val="52E678FD"/>
    <w:rsid w:val="5325057D"/>
    <w:rsid w:val="53394028"/>
    <w:rsid w:val="537D2167"/>
    <w:rsid w:val="548E5CAE"/>
    <w:rsid w:val="557D5AAF"/>
    <w:rsid w:val="55801A9A"/>
    <w:rsid w:val="55F66200"/>
    <w:rsid w:val="56372AA1"/>
    <w:rsid w:val="564D6166"/>
    <w:rsid w:val="579621A8"/>
    <w:rsid w:val="57F40CD0"/>
    <w:rsid w:val="57FB18AC"/>
    <w:rsid w:val="58EC19CF"/>
    <w:rsid w:val="58EF7663"/>
    <w:rsid w:val="5903310E"/>
    <w:rsid w:val="59941FB8"/>
    <w:rsid w:val="5996188C"/>
    <w:rsid w:val="5A1924BD"/>
    <w:rsid w:val="5B85605C"/>
    <w:rsid w:val="5B9E711E"/>
    <w:rsid w:val="5BCA1CC1"/>
    <w:rsid w:val="5C891B7C"/>
    <w:rsid w:val="5E5E4943"/>
    <w:rsid w:val="5F8E1258"/>
    <w:rsid w:val="5FAB005C"/>
    <w:rsid w:val="5FB24F46"/>
    <w:rsid w:val="61A11716"/>
    <w:rsid w:val="61A905CB"/>
    <w:rsid w:val="6256605D"/>
    <w:rsid w:val="62DE2F31"/>
    <w:rsid w:val="62F45876"/>
    <w:rsid w:val="63626C83"/>
    <w:rsid w:val="63BE65AF"/>
    <w:rsid w:val="63C90AB0"/>
    <w:rsid w:val="643B7C00"/>
    <w:rsid w:val="65842EE1"/>
    <w:rsid w:val="66057BDD"/>
    <w:rsid w:val="66FE4F15"/>
    <w:rsid w:val="67410373"/>
    <w:rsid w:val="677A27ED"/>
    <w:rsid w:val="678278F4"/>
    <w:rsid w:val="67B864C1"/>
    <w:rsid w:val="67F67319"/>
    <w:rsid w:val="687A343C"/>
    <w:rsid w:val="6A615EE7"/>
    <w:rsid w:val="6AB51D8E"/>
    <w:rsid w:val="6AB53B3C"/>
    <w:rsid w:val="6B460C38"/>
    <w:rsid w:val="6CBA1D43"/>
    <w:rsid w:val="6D417909"/>
    <w:rsid w:val="6E1B015A"/>
    <w:rsid w:val="6E7D7067"/>
    <w:rsid w:val="6F6D70DC"/>
    <w:rsid w:val="705931BC"/>
    <w:rsid w:val="7080699B"/>
    <w:rsid w:val="709B37D5"/>
    <w:rsid w:val="71066EA0"/>
    <w:rsid w:val="71184E25"/>
    <w:rsid w:val="719426FE"/>
    <w:rsid w:val="71BB2380"/>
    <w:rsid w:val="72203F91"/>
    <w:rsid w:val="722A12B4"/>
    <w:rsid w:val="7238752D"/>
    <w:rsid w:val="72842D23"/>
    <w:rsid w:val="72D37256"/>
    <w:rsid w:val="72EF674F"/>
    <w:rsid w:val="731358A4"/>
    <w:rsid w:val="73B41995"/>
    <w:rsid w:val="73BE3A62"/>
    <w:rsid w:val="748527D2"/>
    <w:rsid w:val="749D7B1B"/>
    <w:rsid w:val="74A40EAA"/>
    <w:rsid w:val="75A03D67"/>
    <w:rsid w:val="75AB44BA"/>
    <w:rsid w:val="760C06CC"/>
    <w:rsid w:val="76CF5F86"/>
    <w:rsid w:val="77530965"/>
    <w:rsid w:val="78850CE9"/>
    <w:rsid w:val="78C0202A"/>
    <w:rsid w:val="78D5631D"/>
    <w:rsid w:val="797F0D45"/>
    <w:rsid w:val="7AC676A0"/>
    <w:rsid w:val="7B000C67"/>
    <w:rsid w:val="7C097E38"/>
    <w:rsid w:val="7C7B2E38"/>
    <w:rsid w:val="7D060228"/>
    <w:rsid w:val="7D2F59D0"/>
    <w:rsid w:val="7D99109C"/>
    <w:rsid w:val="7DCE6F97"/>
    <w:rsid w:val="7E2A1A53"/>
    <w:rsid w:val="7F037115"/>
    <w:rsid w:val="7F250E39"/>
    <w:rsid w:val="7FAC155A"/>
    <w:rsid w:val="7FF1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unhideWhenUsed/>
    <w:qFormat/>
    <w:uiPriority w:val="99"/>
    <w:pPr>
      <w:jc w:val="left"/>
    </w:p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6">
    <w:name w:val="annotation subject"/>
    <w:basedOn w:val="2"/>
    <w:next w:val="2"/>
    <w:link w:val="19"/>
    <w:qFormat/>
    <w:uiPriority w:val="0"/>
    <w:pPr>
      <w:jc w:val="both"/>
    </w:pPr>
    <w:rPr>
      <w:b/>
      <w:bCs/>
      <w:sz w:val="20"/>
      <w:szCs w:val="20"/>
    </w:rPr>
  </w:style>
  <w:style w:type="table" w:styleId="8">
    <w:name w:val="Table Grid"/>
    <w:basedOn w:val="7"/>
    <w:autoRedefine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line number"/>
    <w:basedOn w:val="9"/>
    <w:qFormat/>
    <w:uiPriority w:val="0"/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9"/>
    <w:autoRedefine/>
    <w:semiHidden/>
    <w:unhideWhenUsed/>
    <w:qFormat/>
    <w:uiPriority w:val="99"/>
    <w:rPr>
      <w:sz w:val="21"/>
      <w:szCs w:val="21"/>
    </w:rPr>
  </w:style>
  <w:style w:type="character" w:styleId="13">
    <w:name w:val="footnote reference"/>
    <w:basedOn w:val="9"/>
    <w:uiPriority w:val="0"/>
    <w:rPr>
      <w:vertAlign w:val="superscript"/>
    </w:rPr>
  </w:style>
  <w:style w:type="character" w:customStyle="1" w:styleId="14">
    <w:name w:val="transsent"/>
    <w:basedOn w:val="9"/>
    <w:autoRedefine/>
    <w:qFormat/>
    <w:uiPriority w:val="0"/>
  </w:style>
  <w:style w:type="character" w:customStyle="1" w:styleId="15">
    <w:name w:val="页眉 字符"/>
    <w:basedOn w:val="9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6">
    <w:name w:val="页脚 字符"/>
    <w:basedOn w:val="9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7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18">
    <w:name w:val="批注文字 字符"/>
    <w:basedOn w:val="9"/>
    <w:link w:val="2"/>
    <w:qFormat/>
    <w:uiPriority w:val="99"/>
    <w:rPr>
      <w:rFonts w:ascii="Calibri" w:hAnsi="Calibri" w:eastAsia="宋体" w:cs="Times New Roman"/>
      <w:kern w:val="2"/>
      <w:sz w:val="21"/>
      <w:szCs w:val="21"/>
    </w:rPr>
  </w:style>
  <w:style w:type="character" w:customStyle="1" w:styleId="19">
    <w:name w:val="批注主题 字符"/>
    <w:basedOn w:val="18"/>
    <w:link w:val="6"/>
    <w:qFormat/>
    <w:uiPriority w:val="0"/>
    <w:rPr>
      <w:rFonts w:ascii="Calibri" w:hAnsi="Calibri" w:eastAsia="宋体" w:cs="Times New Roman"/>
      <w:b/>
      <w:bCs/>
      <w:kern w:val="2"/>
      <w:sz w:val="21"/>
      <w:szCs w:val="21"/>
    </w:rPr>
  </w:style>
  <w:style w:type="paragraph" w:customStyle="1" w:styleId="20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580</Words>
  <Characters>3123</Characters>
  <Lines>23</Lines>
  <Paragraphs>6</Paragraphs>
  <TotalTime>3</TotalTime>
  <ScaleCrop>false</ScaleCrop>
  <LinksUpToDate>false</LinksUpToDate>
  <CharactersWithSpaces>3483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2024-07-10T02:53:00Z</dcterms:created>
  <dc:creator>平平</dc:creator>
  <cp:lastModifiedBy>平平</cp:lastModifiedBy>
  <dcterms:modified xsi:type="dcterms:W3CDTF">2024-07-14T07:27:28Z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F6211162B2DE4A38A16D88E0A8D4B716_12</vt:lpwstr>
  </property>
</Properties>
</file>