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311BF1A8" w14:textId="77777777" w:rsidR="0090235B" w:rsidRPr="005D30BE" w:rsidRDefault="0090235B" w:rsidP="0090235B">
      <w:pPr>
        <w:pStyle w:val="Captionnew"/>
        <w:spacing w:after="0pt" w:line="24pt" w:lineRule="auto"/>
        <w:jc w:val="start"/>
        <w:rPr>
          <w:rFonts w:cs="Times New Roman"/>
          <w:b/>
          <w:sz w:val="24"/>
          <w:szCs w:val="24"/>
          <w:lang w:val="en-GB"/>
        </w:rPr>
      </w:pPr>
      <w:r w:rsidRPr="005D30BE">
        <w:rPr>
          <w:rFonts w:cs="Times New Roman"/>
          <w:b/>
          <w:sz w:val="24"/>
          <w:szCs w:val="24"/>
          <w:lang w:val="en-GB"/>
        </w:rPr>
        <w:t xml:space="preserve">ANNEX 1. </w:t>
      </w:r>
      <w:r w:rsidRPr="005D30BE">
        <w:rPr>
          <w:rFonts w:eastAsia="Times New Roman" w:cs="Times New Roman"/>
          <w:iCs w:val="0"/>
          <w:color w:val="333333"/>
          <w:sz w:val="24"/>
          <w:szCs w:val="24"/>
          <w:lang w:val="en-GB" w:eastAsia="lt-LT"/>
        </w:rPr>
        <w:t xml:space="preserve">Interview </w:t>
      </w:r>
      <w:r>
        <w:rPr>
          <w:rFonts w:eastAsia="Times New Roman" w:cs="Times New Roman"/>
          <w:iCs w:val="0"/>
          <w:color w:val="333333"/>
          <w:sz w:val="24"/>
          <w:szCs w:val="24"/>
          <w:lang w:val="en-GB" w:eastAsia="lt-LT"/>
        </w:rPr>
        <w:t>Questionnaire</w:t>
      </w:r>
    </w:p>
    <w:tbl>
      <w:tblPr>
        <w:tblStyle w:val="TableGrid1"/>
        <w:tblW w:w="100.0%" w:type="pct"/>
        <w:shd w:val="clear" w:color="auto" w:fill="FFFFFF" w:themeFill="background1"/>
        <w:tblLook w:firstRow="1" w:lastRow="0" w:firstColumn="1" w:lastColumn="0" w:noHBand="0" w:noVBand="1"/>
      </w:tblPr>
      <w:tblGrid>
        <w:gridCol w:w="785"/>
        <w:gridCol w:w="8565"/>
      </w:tblGrid>
      <w:tr w:rsidR="0090235B" w:rsidRPr="005D30BE" w14:paraId="5F99684B" w14:textId="77777777" w:rsidTr="007A2CE2">
        <w:tc>
          <w:tcPr>
            <w:tcW w:w="8.4%" w:type="pct"/>
            <w:shd w:val="clear" w:color="auto" w:fill="FFFFFF" w:themeFill="background1"/>
          </w:tcPr>
          <w:p w14:paraId="18127C58" w14:textId="77777777" w:rsidR="0090235B" w:rsidRPr="005D30BE" w:rsidRDefault="0090235B" w:rsidP="007A2CE2">
            <w:pPr>
              <w:rPr>
                <w:rFonts w:eastAsia="Calibri"/>
                <w:b/>
                <w:sz w:val="20"/>
                <w:szCs w:val="20"/>
              </w:rPr>
            </w:pPr>
            <w:r w:rsidRPr="005D30BE">
              <w:rPr>
                <w:rFonts w:eastAsia="Calibri"/>
                <w:b/>
                <w:sz w:val="20"/>
                <w:szCs w:val="20"/>
              </w:rPr>
              <w:t>Nr.</w:t>
            </w:r>
          </w:p>
        </w:tc>
        <w:tc>
          <w:tcPr>
            <w:tcW w:w="91.6%" w:type="pct"/>
            <w:shd w:val="clear" w:color="auto" w:fill="FFFFFF" w:themeFill="background1"/>
          </w:tcPr>
          <w:p w14:paraId="18390C4B" w14:textId="77777777" w:rsidR="0090235B" w:rsidRPr="005D30BE" w:rsidRDefault="0090235B" w:rsidP="007A2CE2">
            <w:pPr>
              <w:rPr>
                <w:rFonts w:eastAsia="Calibri"/>
                <w:b/>
                <w:sz w:val="20"/>
                <w:szCs w:val="20"/>
              </w:rPr>
            </w:pPr>
            <w:r w:rsidRPr="005D30BE">
              <w:rPr>
                <w:rFonts w:eastAsia="Calibri"/>
                <w:b/>
                <w:sz w:val="20"/>
                <w:szCs w:val="20"/>
              </w:rPr>
              <w:t>Question</w:t>
            </w:r>
          </w:p>
        </w:tc>
      </w:tr>
      <w:tr w:rsidR="0090235B" w:rsidRPr="005D30BE" w14:paraId="1E4A8DD5" w14:textId="77777777" w:rsidTr="007A2CE2">
        <w:tc>
          <w:tcPr>
            <w:tcW w:w="8.4%" w:type="pct"/>
            <w:shd w:val="clear" w:color="auto" w:fill="FFFFFF" w:themeFill="background1"/>
          </w:tcPr>
          <w:p w14:paraId="1B42F74A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1.6%" w:type="pct"/>
            <w:shd w:val="clear" w:color="auto" w:fill="FFFFFF" w:themeFill="background1"/>
          </w:tcPr>
          <w:p w14:paraId="731596E4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 xml:space="preserve">Please describe in short what is your experience with digital health services/programs/solutions. </w:t>
            </w:r>
          </w:p>
        </w:tc>
      </w:tr>
      <w:tr w:rsidR="0090235B" w:rsidRPr="005D30BE" w14:paraId="46130F27" w14:textId="77777777" w:rsidTr="007A2CE2">
        <w:tc>
          <w:tcPr>
            <w:tcW w:w="8.4%" w:type="pct"/>
            <w:shd w:val="clear" w:color="auto" w:fill="FFFFFF" w:themeFill="background1"/>
          </w:tcPr>
          <w:p w14:paraId="2D2FF886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1.6%" w:type="pct"/>
            <w:shd w:val="clear" w:color="auto" w:fill="FFFFFF" w:themeFill="background1"/>
          </w:tcPr>
          <w:p w14:paraId="245E05D9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 xml:space="preserve">What are the drivers for the development of digital health services? </w:t>
            </w:r>
          </w:p>
        </w:tc>
      </w:tr>
      <w:tr w:rsidR="0090235B" w:rsidRPr="005D30BE" w14:paraId="752F91F5" w14:textId="77777777" w:rsidTr="007A2CE2">
        <w:tc>
          <w:tcPr>
            <w:tcW w:w="8.4%" w:type="pct"/>
            <w:shd w:val="clear" w:color="auto" w:fill="FFFFFF" w:themeFill="background1"/>
          </w:tcPr>
          <w:p w14:paraId="64392348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1.6%" w:type="pct"/>
            <w:shd w:val="clear" w:color="auto" w:fill="FFFFFF" w:themeFill="background1"/>
          </w:tcPr>
          <w:p w14:paraId="7F0B725F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>What are the main frictions/ difficulties in establishing digital health services?</w:t>
            </w:r>
          </w:p>
        </w:tc>
      </w:tr>
      <w:tr w:rsidR="0090235B" w:rsidRPr="005D30BE" w14:paraId="222C60AA" w14:textId="77777777" w:rsidTr="007A2CE2">
        <w:tc>
          <w:tcPr>
            <w:tcW w:w="8.4%" w:type="pct"/>
            <w:shd w:val="clear" w:color="auto" w:fill="FFFFFF" w:themeFill="background1"/>
          </w:tcPr>
          <w:p w14:paraId="3CFF5020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91.6%" w:type="pct"/>
            <w:shd w:val="clear" w:color="auto" w:fill="FFFFFF" w:themeFill="background1"/>
          </w:tcPr>
          <w:p w14:paraId="29B1B9A9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 xml:space="preserve">What is the role of technology in digital health services development? </w:t>
            </w:r>
          </w:p>
        </w:tc>
      </w:tr>
      <w:tr w:rsidR="0090235B" w:rsidRPr="005D30BE" w14:paraId="2FFB7284" w14:textId="77777777" w:rsidTr="007A2CE2">
        <w:tc>
          <w:tcPr>
            <w:tcW w:w="8.4%" w:type="pct"/>
            <w:shd w:val="clear" w:color="auto" w:fill="FFFFFF" w:themeFill="background1"/>
          </w:tcPr>
          <w:p w14:paraId="1B850C30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91.6%" w:type="pct"/>
            <w:shd w:val="clear" w:color="auto" w:fill="FFFFFF" w:themeFill="background1"/>
          </w:tcPr>
          <w:p w14:paraId="5A314A47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>How do you perceive the added value of digital health services?</w:t>
            </w:r>
          </w:p>
        </w:tc>
      </w:tr>
      <w:tr w:rsidR="0090235B" w:rsidRPr="005D30BE" w14:paraId="52719CDC" w14:textId="77777777" w:rsidTr="007A2CE2">
        <w:tc>
          <w:tcPr>
            <w:tcW w:w="8.4%" w:type="pct"/>
            <w:shd w:val="clear" w:color="auto" w:fill="FFFFFF" w:themeFill="background1"/>
          </w:tcPr>
          <w:p w14:paraId="5C64FAEF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91.6%" w:type="pct"/>
            <w:shd w:val="clear" w:color="auto" w:fill="FFFFFF" w:themeFill="background1"/>
          </w:tcPr>
          <w:p w14:paraId="28FB7985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  <w:r w:rsidRPr="005D30BE">
              <w:rPr>
                <w:rFonts w:eastAsia="Calibri"/>
                <w:sz w:val="20"/>
                <w:szCs w:val="20"/>
              </w:rPr>
              <w:t xml:space="preserve">What has changed since digital health services were adopted? </w:t>
            </w:r>
          </w:p>
        </w:tc>
      </w:tr>
    </w:tbl>
    <w:p w14:paraId="6B9B90F1" w14:textId="77777777" w:rsidR="0090235B" w:rsidRPr="005D30BE" w:rsidRDefault="0090235B" w:rsidP="0090235B">
      <w:pPr>
        <w:pStyle w:val="Captionnew"/>
        <w:spacing w:after="0pt" w:line="24pt" w:lineRule="auto"/>
        <w:jc w:val="start"/>
        <w:rPr>
          <w:rFonts w:cs="Times New Roman"/>
          <w:b/>
          <w:sz w:val="24"/>
          <w:szCs w:val="24"/>
          <w:lang w:val="en-GB"/>
        </w:rPr>
      </w:pPr>
    </w:p>
    <w:p w14:paraId="4A145267" w14:textId="77777777" w:rsidR="0090235B" w:rsidRPr="005D30BE" w:rsidRDefault="0090235B" w:rsidP="0090235B">
      <w:pPr>
        <w:pStyle w:val="Captionnew"/>
        <w:spacing w:after="0pt" w:line="24pt" w:lineRule="auto"/>
        <w:jc w:val="start"/>
        <w:rPr>
          <w:rFonts w:eastAsia="Times New Roman" w:cs="Times New Roman"/>
          <w:iCs w:val="0"/>
          <w:color w:val="333333"/>
          <w:sz w:val="24"/>
          <w:szCs w:val="24"/>
          <w:lang w:val="en-GB" w:eastAsia="lt-LT"/>
        </w:rPr>
      </w:pPr>
      <w:r w:rsidRPr="005D30BE">
        <w:rPr>
          <w:rFonts w:cs="Times New Roman"/>
          <w:b/>
          <w:sz w:val="24"/>
          <w:szCs w:val="24"/>
          <w:lang w:val="en-GB"/>
        </w:rPr>
        <w:t xml:space="preserve">ANNEX 2. </w:t>
      </w:r>
      <w:r w:rsidRPr="005D30BE">
        <w:rPr>
          <w:rFonts w:eastAsia="Times New Roman" w:cs="Times New Roman"/>
          <w:iCs w:val="0"/>
          <w:color w:val="333333"/>
          <w:sz w:val="24"/>
          <w:szCs w:val="24"/>
          <w:lang w:val="en-GB" w:eastAsia="lt-LT"/>
        </w:rPr>
        <w:t>A summary of drivers and frictions affecting each type of DHBE</w:t>
      </w:r>
    </w:p>
    <w:tbl>
      <w:tblPr>
        <w:tblStyle w:val="TableGrid"/>
        <w:tblW w:w="0pt" w:type="auto"/>
        <w:tblLook w:firstRow="1" w:lastRow="0" w:firstColumn="1" w:lastColumn="0" w:noHBand="0" w:noVBand="1"/>
      </w:tblPr>
      <w:tblGrid>
        <w:gridCol w:w="3114"/>
        <w:gridCol w:w="2922"/>
        <w:gridCol w:w="3018"/>
      </w:tblGrid>
      <w:tr w:rsidR="0090235B" w:rsidRPr="005D30BE" w14:paraId="0285FC10" w14:textId="77777777" w:rsidTr="007A2CE2">
        <w:tc>
          <w:tcPr>
            <w:tcW w:w="452.70pt" w:type="dxa"/>
            <w:gridSpan w:val="3"/>
          </w:tcPr>
          <w:p w14:paraId="08AA2625" w14:textId="77777777" w:rsidR="0090235B" w:rsidRPr="005D30BE" w:rsidRDefault="0090235B" w:rsidP="007A2CE2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  <w:r w:rsidRPr="005D30BE">
              <w:rPr>
                <w:rFonts w:eastAsia="Calibri"/>
                <w:b/>
                <w:iCs/>
                <w:sz w:val="20"/>
                <w:szCs w:val="20"/>
              </w:rPr>
              <w:t>Drivers</w:t>
            </w:r>
          </w:p>
        </w:tc>
      </w:tr>
      <w:tr w:rsidR="0090235B" w:rsidRPr="005D30BE" w14:paraId="69EC95D3" w14:textId="77777777" w:rsidTr="007A2CE2">
        <w:tc>
          <w:tcPr>
            <w:tcW w:w="155.70pt" w:type="dxa"/>
          </w:tcPr>
          <w:p w14:paraId="6923A224" w14:textId="77777777" w:rsidR="0090235B" w:rsidRPr="005D30BE" w:rsidRDefault="0090235B" w:rsidP="007A2CE2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  <w:r w:rsidRPr="005D30BE">
              <w:rPr>
                <w:rFonts w:eastAsia="Calibri"/>
                <w:b/>
                <w:iCs/>
                <w:sz w:val="20"/>
                <w:szCs w:val="20"/>
              </w:rPr>
              <w:t>Spain (Catalonia)</w:t>
            </w:r>
          </w:p>
        </w:tc>
        <w:tc>
          <w:tcPr>
            <w:tcW w:w="146.10pt" w:type="dxa"/>
          </w:tcPr>
          <w:p w14:paraId="17101EFE" w14:textId="77777777" w:rsidR="0090235B" w:rsidRPr="005D30BE" w:rsidRDefault="0090235B" w:rsidP="007A2CE2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  <w:r w:rsidRPr="005D30BE">
              <w:rPr>
                <w:rFonts w:eastAsia="Calibri"/>
                <w:b/>
                <w:iCs/>
                <w:sz w:val="20"/>
                <w:szCs w:val="20"/>
              </w:rPr>
              <w:t>Lithuania</w:t>
            </w:r>
          </w:p>
        </w:tc>
        <w:tc>
          <w:tcPr>
            <w:tcW w:w="150.90pt" w:type="dxa"/>
          </w:tcPr>
          <w:p w14:paraId="6081AD92" w14:textId="77777777" w:rsidR="0090235B" w:rsidRPr="005D30BE" w:rsidRDefault="0090235B" w:rsidP="007A2CE2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  <w:r w:rsidRPr="005D30BE">
              <w:rPr>
                <w:rFonts w:eastAsia="Calibri"/>
                <w:b/>
                <w:iCs/>
                <w:sz w:val="20"/>
                <w:szCs w:val="20"/>
              </w:rPr>
              <w:t>United States (California)</w:t>
            </w:r>
          </w:p>
        </w:tc>
      </w:tr>
      <w:tr w:rsidR="0090235B" w:rsidRPr="005D30BE" w14:paraId="1225F5CD" w14:textId="77777777" w:rsidTr="007A2CE2">
        <w:tc>
          <w:tcPr>
            <w:tcW w:w="155.70pt" w:type="dxa"/>
          </w:tcPr>
          <w:p w14:paraId="343CAD0C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Increased patient interest in use of gadgets</w:t>
            </w:r>
          </w:p>
          <w:p w14:paraId="16C786B2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Needs of caregivers caring for patients with chronic diseases and terminal illness</w:t>
            </w:r>
          </w:p>
          <w:p w14:paraId="7F870C43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Periodical healthcare specialist–patient communication for home monitoring</w:t>
            </w:r>
          </w:p>
          <w:p w14:paraId="7AEE6FFB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Lack of physical hospital space</w:t>
            </w:r>
          </w:p>
          <w:p w14:paraId="284AE3F3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Reduced workload for medical staff and minimised doctor–patient physical contact</w:t>
            </w:r>
          </w:p>
          <w:p w14:paraId="5C17AD2E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Competitiveness of organisations with and without digital healthcare services</w:t>
            </w:r>
          </w:p>
          <w:p w14:paraId="135B97A1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Avoided unnecessary transfers, supported clinical decision-making and faster diagnosis</w:t>
            </w:r>
          </w:p>
          <w:p w14:paraId="3BD4ADC4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Need of homogenised data on diseases</w:t>
            </w:r>
          </w:p>
          <w:p w14:paraId="691B0D78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Increased influence of education and research in digital healthcare</w:t>
            </w:r>
          </w:p>
          <w:p w14:paraId="4DE0A98E" w14:textId="77777777" w:rsidR="0090235B" w:rsidRPr="005D30BE" w:rsidRDefault="0090235B" w:rsidP="007A2CE2">
            <w:pPr>
              <w:ind w:start="18pt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146.10pt" w:type="dxa"/>
          </w:tcPr>
          <w:p w14:paraId="3ED59B2E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Enthusiasm and willingness of medical doctors and patients to engage in digital transformation of healthcare services</w:t>
            </w:r>
          </w:p>
          <w:p w14:paraId="23AF1173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Patients’ incentives to take care of themselves and be responsible for their own health</w:t>
            </w:r>
          </w:p>
          <w:p w14:paraId="0E3D252C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More structured and better managed healthcare specialist–patient consultation time</w:t>
            </w:r>
          </w:p>
          <w:p w14:paraId="5AC7CBE5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Digital literacy of younger generations</w:t>
            </w:r>
          </w:p>
          <w:p w14:paraId="3DE5F1E6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Ability to introduce multidisciplinary healthcare services and bring multidisciplinary teams together (medical doctors, IT engineers, economists, etc.)</w:t>
            </w:r>
          </w:p>
          <w:p w14:paraId="397DD900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Standardisation of digital healthcare services procedures and metrics, including at the national level</w:t>
            </w:r>
          </w:p>
          <w:p w14:paraId="2BFAA3AD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Ability of healthcare specialists to work in more than one organisation</w:t>
            </w:r>
          </w:p>
        </w:tc>
        <w:tc>
          <w:tcPr>
            <w:tcW w:w="150.90pt" w:type="dxa"/>
          </w:tcPr>
          <w:p w14:paraId="4965F30C" w14:textId="77777777" w:rsidR="0090235B" w:rsidRPr="005D30BE" w:rsidRDefault="0090235B" w:rsidP="007A2CE2">
            <w:pPr>
              <w:numPr>
                <w:ilvl w:val="0"/>
                <w:numId w:val="1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Having a champion with the vision to promote digital healthcare solutions</w:t>
            </w:r>
          </w:p>
          <w:p w14:paraId="6729ECF9" w14:textId="77777777" w:rsidR="0090235B" w:rsidRPr="005D30BE" w:rsidRDefault="0090235B" w:rsidP="007A2CE2">
            <w:pPr>
              <w:numPr>
                <w:ilvl w:val="0"/>
                <w:numId w:val="1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Patient satisfaction with the quality of digital healthcare services</w:t>
            </w:r>
          </w:p>
          <w:p w14:paraId="4E74EF96" w14:textId="77777777" w:rsidR="0090235B" w:rsidRPr="005D30BE" w:rsidRDefault="0090235B" w:rsidP="007A2CE2">
            <w:pPr>
              <w:numPr>
                <w:ilvl w:val="0"/>
                <w:numId w:val="1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Initiatives from healthcare insurers and providers to optimise healthcare systems by minimising costs and improving outcomes</w:t>
            </w:r>
          </w:p>
          <w:p w14:paraId="7718333E" w14:textId="77777777" w:rsidR="0090235B" w:rsidRPr="005D30BE" w:rsidRDefault="0090235B" w:rsidP="007A2CE2">
            <w:pPr>
              <w:numPr>
                <w:ilvl w:val="0"/>
                <w:numId w:val="1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Digital-native generation</w:t>
            </w:r>
          </w:p>
          <w:p w14:paraId="7672C4FC" w14:textId="77777777" w:rsidR="0090235B" w:rsidRPr="005D30BE" w:rsidRDefault="0090235B" w:rsidP="007A2CE2">
            <w:pPr>
              <w:numPr>
                <w:ilvl w:val="0"/>
                <w:numId w:val="1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Digital healthcare solutions seen as a business model to attract patients</w:t>
            </w:r>
          </w:p>
          <w:p w14:paraId="2BFBF44E" w14:textId="77777777" w:rsidR="0090235B" w:rsidRPr="005D30BE" w:rsidRDefault="0090235B" w:rsidP="007A2CE2">
            <w:pPr>
              <w:numPr>
                <w:ilvl w:val="0"/>
                <w:numId w:val="1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Ability to expand the scope of healthcare services</w:t>
            </w:r>
          </w:p>
          <w:p w14:paraId="7BD81871" w14:textId="77777777" w:rsidR="0090235B" w:rsidRPr="005D30BE" w:rsidRDefault="0090235B" w:rsidP="007A2CE2">
            <w:pPr>
              <w:numPr>
                <w:ilvl w:val="0"/>
                <w:numId w:val="1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Prevention and monitoring of treatment and care plans based on data collected through wearable and other devices</w:t>
            </w:r>
          </w:p>
          <w:p w14:paraId="2C2EAB87" w14:textId="77777777" w:rsidR="0090235B" w:rsidRPr="005D30BE" w:rsidRDefault="0090235B" w:rsidP="007A2CE2">
            <w:pPr>
              <w:numPr>
                <w:ilvl w:val="0"/>
                <w:numId w:val="1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User-friendly IT systems</w:t>
            </w:r>
          </w:p>
          <w:p w14:paraId="157712EB" w14:textId="77777777" w:rsidR="0090235B" w:rsidRPr="005D30BE" w:rsidRDefault="0090235B" w:rsidP="007A2CE2">
            <w:pPr>
              <w:numPr>
                <w:ilvl w:val="0"/>
                <w:numId w:val="1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The efficacy of the IT equipment reinforces broader usage</w:t>
            </w:r>
          </w:p>
          <w:p w14:paraId="141D6FAE" w14:textId="77777777" w:rsidR="0090235B" w:rsidRPr="005D30BE" w:rsidRDefault="0090235B" w:rsidP="007A2CE2">
            <w:pPr>
              <w:numPr>
                <w:ilvl w:val="0"/>
                <w:numId w:val="1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Increased utilisation and functionality of digital healthcare solutions</w:t>
            </w:r>
          </w:p>
          <w:p w14:paraId="4852236D" w14:textId="77777777" w:rsidR="0090235B" w:rsidRPr="005D30BE" w:rsidRDefault="0090235B" w:rsidP="007A2CE2">
            <w:pPr>
              <w:numPr>
                <w:ilvl w:val="0"/>
                <w:numId w:val="2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Patient-centred care</w:t>
            </w:r>
          </w:p>
        </w:tc>
      </w:tr>
      <w:tr w:rsidR="0090235B" w:rsidRPr="005D30BE" w14:paraId="7CA9F665" w14:textId="77777777" w:rsidTr="007A2CE2">
        <w:tc>
          <w:tcPr>
            <w:tcW w:w="452.70pt" w:type="dxa"/>
            <w:gridSpan w:val="3"/>
          </w:tcPr>
          <w:p w14:paraId="55536DD9" w14:textId="77777777" w:rsidR="0090235B" w:rsidRPr="005D30BE" w:rsidRDefault="0090235B" w:rsidP="007A2CE2">
            <w:pPr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  <w:r w:rsidRPr="005D30BE">
              <w:rPr>
                <w:rFonts w:eastAsia="Calibri"/>
                <w:b/>
                <w:iCs/>
                <w:sz w:val="20"/>
                <w:szCs w:val="20"/>
              </w:rPr>
              <w:t>Frictions</w:t>
            </w:r>
          </w:p>
        </w:tc>
      </w:tr>
      <w:tr w:rsidR="0090235B" w:rsidRPr="005D30BE" w14:paraId="32D5D2BD" w14:textId="77777777" w:rsidTr="007A2CE2">
        <w:tc>
          <w:tcPr>
            <w:tcW w:w="155.70pt" w:type="dxa"/>
          </w:tcPr>
          <w:p w14:paraId="1F5E755B" w14:textId="77777777" w:rsidR="0090235B" w:rsidRPr="005D30BE" w:rsidRDefault="0090235B" w:rsidP="007A2CE2">
            <w:pPr>
              <w:ind w:start="18pt"/>
              <w:contextualSpacing/>
              <w:rPr>
                <w:rFonts w:eastAsia="Calibri"/>
                <w:b/>
                <w:iCs/>
                <w:sz w:val="20"/>
                <w:szCs w:val="20"/>
              </w:rPr>
            </w:pPr>
            <w:r w:rsidRPr="005D30BE">
              <w:rPr>
                <w:rFonts w:eastAsia="Calibri"/>
                <w:b/>
                <w:iCs/>
                <w:sz w:val="20"/>
                <w:szCs w:val="20"/>
              </w:rPr>
              <w:t>Spain (Catalonia)</w:t>
            </w:r>
          </w:p>
        </w:tc>
        <w:tc>
          <w:tcPr>
            <w:tcW w:w="146.10pt" w:type="dxa"/>
          </w:tcPr>
          <w:p w14:paraId="05C8F6DC" w14:textId="77777777" w:rsidR="0090235B" w:rsidRPr="005D30BE" w:rsidRDefault="0090235B" w:rsidP="007A2CE2">
            <w:pPr>
              <w:ind w:start="18pt"/>
              <w:contextualSpacing/>
              <w:rPr>
                <w:rFonts w:eastAsia="Calibri"/>
                <w:b/>
                <w:iCs/>
                <w:sz w:val="20"/>
                <w:szCs w:val="20"/>
              </w:rPr>
            </w:pPr>
            <w:r w:rsidRPr="005D30BE">
              <w:rPr>
                <w:rFonts w:eastAsia="Calibri"/>
                <w:b/>
                <w:iCs/>
                <w:sz w:val="20"/>
                <w:szCs w:val="20"/>
              </w:rPr>
              <w:t>Lithuania</w:t>
            </w:r>
          </w:p>
        </w:tc>
        <w:tc>
          <w:tcPr>
            <w:tcW w:w="150.90pt" w:type="dxa"/>
          </w:tcPr>
          <w:p w14:paraId="09B2FE63" w14:textId="77777777" w:rsidR="0090235B" w:rsidRPr="005D30BE" w:rsidRDefault="0090235B" w:rsidP="007A2CE2">
            <w:pPr>
              <w:ind w:start="18pt"/>
              <w:contextualSpacing/>
              <w:rPr>
                <w:rFonts w:eastAsia="Calibri"/>
                <w:b/>
                <w:iCs/>
                <w:sz w:val="20"/>
                <w:szCs w:val="20"/>
              </w:rPr>
            </w:pPr>
            <w:r w:rsidRPr="005D30BE">
              <w:rPr>
                <w:rFonts w:eastAsia="Calibri"/>
                <w:b/>
                <w:iCs/>
                <w:sz w:val="20"/>
                <w:szCs w:val="20"/>
              </w:rPr>
              <w:t>United States (California)</w:t>
            </w:r>
          </w:p>
        </w:tc>
      </w:tr>
      <w:tr w:rsidR="0090235B" w:rsidRPr="005D30BE" w14:paraId="352AD454" w14:textId="77777777" w:rsidTr="007A2CE2">
        <w:tc>
          <w:tcPr>
            <w:tcW w:w="155.70pt" w:type="dxa"/>
          </w:tcPr>
          <w:p w14:paraId="50026E08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Healthcare specialists solving technical issues addressed by patients</w:t>
            </w:r>
          </w:p>
          <w:p w14:paraId="08440CCA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 xml:space="preserve">Lack of human resources for additional functions (digital </w:t>
            </w:r>
            <w:r w:rsidRPr="005D30BE">
              <w:rPr>
                <w:iCs/>
                <w:sz w:val="20"/>
                <w:szCs w:val="20"/>
              </w:rPr>
              <w:lastRenderedPageBreak/>
              <w:t>data analysis, data entry, answering technological questions, repeating same information, etc.)</w:t>
            </w:r>
          </w:p>
          <w:p w14:paraId="35AB59BB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Overscheduled healthcare specialists</w:t>
            </w:r>
          </w:p>
          <w:p w14:paraId="099E2531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Patients not having smartphones</w:t>
            </w:r>
          </w:p>
          <w:p w14:paraId="13057C81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Excessive regulation</w:t>
            </w:r>
          </w:p>
          <w:p w14:paraId="54862113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Lack of public understanding that technology is here to assist rather than to compete with healthcare professionals</w:t>
            </w:r>
          </w:p>
          <w:p w14:paraId="38AFC94B" w14:textId="77777777" w:rsidR="0090235B" w:rsidRPr="005D30BE" w:rsidRDefault="0090235B" w:rsidP="007A2CE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6.10pt" w:type="dxa"/>
          </w:tcPr>
          <w:p w14:paraId="4ACA1198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lastRenderedPageBreak/>
              <w:t>Physical need to be in hospital, such as for waiting room conversations</w:t>
            </w:r>
          </w:p>
          <w:p w14:paraId="4511DBC5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lastRenderedPageBreak/>
              <w:t>Lack of healthcare specialist–patient physical contact and communication</w:t>
            </w:r>
          </w:p>
          <w:p w14:paraId="5928EF74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Lack of time, linked to fear of increased workload for healthcare specialists</w:t>
            </w:r>
          </w:p>
          <w:p w14:paraId="12771BA5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Inappropriate amount of data to analyse</w:t>
            </w:r>
          </w:p>
          <w:p w14:paraId="7E6C4EFF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Lack of regulation and support from authorities</w:t>
            </w:r>
          </w:p>
          <w:p w14:paraId="1C1F8679" w14:textId="77777777" w:rsidR="0090235B" w:rsidRPr="005D30BE" w:rsidRDefault="0090235B" w:rsidP="007A2CE2">
            <w:pPr>
              <w:numPr>
                <w:ilvl w:val="0"/>
                <w:numId w:val="4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Slow speed of changes in the healthcare sector</w:t>
            </w:r>
          </w:p>
        </w:tc>
        <w:tc>
          <w:tcPr>
            <w:tcW w:w="150.90pt" w:type="dxa"/>
          </w:tcPr>
          <w:p w14:paraId="007690ED" w14:textId="77777777" w:rsidR="0090235B" w:rsidRPr="005D30BE" w:rsidRDefault="0090235B" w:rsidP="007A2CE2">
            <w:pPr>
              <w:numPr>
                <w:ilvl w:val="0"/>
                <w:numId w:val="3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lastRenderedPageBreak/>
              <w:t>Healthcare specialists’ fear that patients will not appreciate digital services as much as physical services, leading to loss of the doctor–</w:t>
            </w:r>
            <w:r w:rsidRPr="005D30BE">
              <w:rPr>
                <w:iCs/>
                <w:sz w:val="20"/>
                <w:szCs w:val="20"/>
              </w:rPr>
              <w:lastRenderedPageBreak/>
              <w:t>patient relationship, resulting in loss of that additional sales channel</w:t>
            </w:r>
          </w:p>
          <w:p w14:paraId="5FA273B7" w14:textId="77777777" w:rsidR="0090235B" w:rsidRPr="005D30BE" w:rsidRDefault="0090235B" w:rsidP="007A2CE2">
            <w:pPr>
              <w:numPr>
                <w:ilvl w:val="0"/>
                <w:numId w:val="3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Organisational strategy focused on financial costs instead of benefits</w:t>
            </w:r>
          </w:p>
          <w:p w14:paraId="763E2658" w14:textId="77777777" w:rsidR="0090235B" w:rsidRPr="005D30BE" w:rsidRDefault="0090235B" w:rsidP="007A2CE2">
            <w:pPr>
              <w:numPr>
                <w:ilvl w:val="0"/>
                <w:numId w:val="3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Lack of technical expertise in healthcare organisations</w:t>
            </w:r>
          </w:p>
          <w:p w14:paraId="4951F4BB" w14:textId="77777777" w:rsidR="0090235B" w:rsidRPr="005D30BE" w:rsidRDefault="0090235B" w:rsidP="007A2CE2">
            <w:pPr>
              <w:numPr>
                <w:ilvl w:val="0"/>
                <w:numId w:val="3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Lack of public promotion of digital healthcare as a benefit for society</w:t>
            </w:r>
          </w:p>
          <w:p w14:paraId="68268006" w14:textId="77777777" w:rsidR="0090235B" w:rsidRPr="005D30BE" w:rsidRDefault="0090235B" w:rsidP="007A2CE2">
            <w:pPr>
              <w:numPr>
                <w:ilvl w:val="0"/>
                <w:numId w:val="3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Different licensing in different states, as well as excessive regulation</w:t>
            </w:r>
          </w:p>
          <w:p w14:paraId="280A5B12" w14:textId="77777777" w:rsidR="0090235B" w:rsidRPr="005D30BE" w:rsidRDefault="0090235B" w:rsidP="007A2CE2">
            <w:pPr>
              <w:numPr>
                <w:ilvl w:val="0"/>
                <w:numId w:val="3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High cost of services</w:t>
            </w:r>
          </w:p>
          <w:p w14:paraId="305482CE" w14:textId="77777777" w:rsidR="0090235B" w:rsidRPr="005D30BE" w:rsidRDefault="0090235B" w:rsidP="007A2CE2">
            <w:pPr>
              <w:numPr>
                <w:ilvl w:val="0"/>
                <w:numId w:val="3"/>
              </w:numPr>
              <w:ind w:firstLine="0pt"/>
              <w:contextualSpacing/>
              <w:rPr>
                <w:iCs/>
                <w:sz w:val="20"/>
                <w:szCs w:val="20"/>
              </w:rPr>
            </w:pPr>
            <w:r w:rsidRPr="005D30BE">
              <w:rPr>
                <w:iCs/>
                <w:sz w:val="20"/>
                <w:szCs w:val="20"/>
              </w:rPr>
              <w:t>Lack of institutional involvement to minimise disparities between big economic centres and smaller hospitals</w:t>
            </w:r>
          </w:p>
        </w:tc>
      </w:tr>
    </w:tbl>
    <w:p w14:paraId="1F7B3C9A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10C0497A"/>
    <w:multiLevelType w:val="hybridMultilevel"/>
    <w:tmpl w:val="0A1ACDA8"/>
    <w:lvl w:ilvl="0" w:tplc="0409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158259D6"/>
    <w:multiLevelType w:val="hybridMultilevel"/>
    <w:tmpl w:val="6660F472"/>
    <w:lvl w:ilvl="0" w:tplc="0409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2" w15:restartNumberingAfterBreak="0">
    <w:nsid w:val="286E409C"/>
    <w:multiLevelType w:val="hybridMultilevel"/>
    <w:tmpl w:val="D06AF18A"/>
    <w:lvl w:ilvl="0" w:tplc="0409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3" w15:restartNumberingAfterBreak="0">
    <w:nsid w:val="543C3D5F"/>
    <w:multiLevelType w:val="hybridMultilevel"/>
    <w:tmpl w:val="58A67110"/>
    <w:lvl w:ilvl="0" w:tplc="0409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num w:numId="1" w16cid:durableId="939526346">
    <w:abstractNumId w:val="0"/>
  </w:num>
  <w:num w:numId="2" w16cid:durableId="606696884">
    <w:abstractNumId w:val="2"/>
  </w:num>
  <w:num w:numId="3" w16cid:durableId="550270575">
    <w:abstractNumId w:val="1"/>
  </w:num>
  <w:num w:numId="4" w16cid:durableId="865214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5B"/>
    <w:rsid w:val="002A5090"/>
    <w:rsid w:val="003F36CB"/>
    <w:rsid w:val="008C374B"/>
    <w:rsid w:val="0090235B"/>
    <w:rsid w:val="00954821"/>
    <w:rsid w:val="00AF416B"/>
    <w:rsid w:val="00E459B1"/>
    <w:rsid w:val="00E910FB"/>
    <w:rsid w:val="00EC56D1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E35FF1"/>
  <w15:chartTrackingRefBased/>
  <w15:docId w15:val="{7A44878F-CE02-4974-9C6F-142CD977F1D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35B"/>
    <w:pPr>
      <w:spacing w:after="0pt" w:line="12pt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35B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35B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35B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35B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35B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35B"/>
    <w:pPr>
      <w:keepNext/>
      <w:keepLines/>
      <w:spacing w:before="2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35B"/>
    <w:pPr>
      <w:keepNext/>
      <w:keepLines/>
      <w:spacing w:before="2pt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3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3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3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3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3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3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3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3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35B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35B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35B"/>
    <w:pPr>
      <w:ind w:start="36pt"/>
      <w:contextualSpacing/>
    </w:pPr>
  </w:style>
  <w:style w:type="character" w:styleId="IntenseEmphasis">
    <w:name w:val="Intense Emphasis"/>
    <w:basedOn w:val="DefaultParagraphFont"/>
    <w:uiPriority w:val="21"/>
    <w:qFormat/>
    <w:rsid w:val="009023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3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3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Lentelės celė"/>
    <w:basedOn w:val="TableNormal"/>
    <w:uiPriority w:val="39"/>
    <w:rsid w:val="0090235B"/>
    <w:pPr>
      <w:spacing w:after="0pt" w:line="12pt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0235B"/>
    <w:pPr>
      <w:spacing w:after="0pt" w:line="12pt" w:lineRule="auto"/>
    </w:pPr>
    <w:rPr>
      <w:kern w:val="0"/>
      <w:lang w:val="lt-LT"/>
      <w14:ligatures w14:val="none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new">
    <w:name w:val="Caption new"/>
    <w:basedOn w:val="Caption"/>
    <w:link w:val="CaptionnewChar"/>
    <w:qFormat/>
    <w:rsid w:val="0090235B"/>
    <w:pPr>
      <w:jc w:val="center"/>
    </w:pPr>
    <w:rPr>
      <w:rFonts w:eastAsiaTheme="minorHAnsi" w:cstheme="minorBidi"/>
      <w:i w:val="0"/>
      <w:color w:val="auto"/>
      <w:sz w:val="20"/>
      <w:lang w:val="en-US" w:eastAsia="en-US"/>
    </w:rPr>
  </w:style>
  <w:style w:type="character" w:customStyle="1" w:styleId="CaptionnewChar">
    <w:name w:val="Caption new Char"/>
    <w:basedOn w:val="DefaultParagraphFont"/>
    <w:link w:val="Captionnew"/>
    <w:rsid w:val="0090235B"/>
    <w:rPr>
      <w:rFonts w:ascii="Times New Roman" w:hAnsi="Times New Roman"/>
      <w:iCs/>
      <w:kern w:val="0"/>
      <w:sz w:val="20"/>
      <w:szCs w:val="18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235B"/>
    <w:pPr>
      <w:spacing w:after="10pt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608</Words>
  <Characters>3471</Characters>
  <Application>Microsoft Office Word</Application>
  <DocSecurity>0</DocSecurity>
  <Lines>28</Lines>
  <Paragraphs>8</Paragraphs>
  <ScaleCrop>false</ScaleCrop>
  <Company>Springer Nature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2024-08-08T05:30:00Z</dcterms:created>
  <dcterms:modified xsi:type="dcterms:W3CDTF">2024-08-08T05:30:00Z</dcterms:modified>
</cp:coreProperties>
</file>