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E925F1" w14:textId="77777777" w:rsidR="001615FD" w:rsidRPr="00B66CC9" w:rsidRDefault="001615FD" w:rsidP="001615FD">
      <w:pPr>
        <w:pStyle w:val="Heading4"/>
        <w:rPr>
          <w:rFonts w:ascii="Georgia" w:hAnsi="Georgia"/>
          <w:color w:val="000000" w:themeColor="text1"/>
          <w:lang w:val="en-US"/>
        </w:rPr>
      </w:pPr>
      <w:r w:rsidRPr="00B66CC9">
        <w:rPr>
          <w:rFonts w:ascii="Georgia" w:hAnsi="Georgia"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154C5863" wp14:editId="2CE7923A">
            <wp:extent cx="4597400" cy="1727200"/>
            <wp:effectExtent l="0" t="0" r="0" b="0"/>
            <wp:docPr id="182493188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931886" name="Imagem 182493188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154C2" w14:textId="77777777" w:rsidR="001615FD" w:rsidRPr="00B66CC9" w:rsidRDefault="001615FD" w:rsidP="001615FD">
      <w:pPr>
        <w:pStyle w:val="Heading4"/>
        <w:rPr>
          <w:rFonts w:ascii="Georgia" w:hAnsi="Georgia"/>
          <w:color w:val="000000" w:themeColor="text1"/>
          <w:sz w:val="20"/>
          <w:szCs w:val="20"/>
          <w:lang w:val="en-US"/>
        </w:rPr>
      </w:pPr>
      <w:r w:rsidRPr="00B66CC9">
        <w:rPr>
          <w:rFonts w:ascii="Georgia" w:hAnsi="Georgia"/>
          <w:color w:val="000000" w:themeColor="text1"/>
          <w:sz w:val="20"/>
          <w:szCs w:val="20"/>
          <w:lang w:val="en-US"/>
        </w:rPr>
        <w:t>Table 1: Efficacy of Cannabinoids in Managing Chronic Pain</w:t>
      </w:r>
    </w:p>
    <w:p w14:paraId="66BE59CF" w14:textId="77777777" w:rsidR="001615FD" w:rsidRPr="00B66CC9" w:rsidRDefault="001615FD" w:rsidP="001615FD">
      <w:pPr>
        <w:pStyle w:val="NormalWeb"/>
        <w:rPr>
          <w:rFonts w:ascii="Georgia" w:hAnsi="Georgia"/>
          <w:color w:val="000000" w:themeColor="text1"/>
          <w:sz w:val="20"/>
          <w:szCs w:val="20"/>
          <w:lang w:val="en-US"/>
        </w:rPr>
      </w:pPr>
      <w:r w:rsidRPr="00B66CC9">
        <w:rPr>
          <w:rFonts w:ascii="Georgia" w:hAnsi="Georgia"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4AE180C1" wp14:editId="4815431B">
            <wp:extent cx="4597400" cy="1168400"/>
            <wp:effectExtent l="0" t="0" r="0" b="0"/>
            <wp:docPr id="211938366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383661" name="Imagem 211938366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84FEA" w14:textId="77777777" w:rsidR="001615FD" w:rsidRPr="00445800" w:rsidRDefault="001615FD" w:rsidP="001615FD">
      <w:pPr>
        <w:pStyle w:val="NormalWeb"/>
        <w:rPr>
          <w:rStyle w:val="Strong"/>
          <w:rFonts w:ascii="Georgia" w:eastAsiaTheme="majorEastAsia" w:hAnsi="Georgia"/>
          <w:b w:val="0"/>
          <w:bCs w:val="0"/>
          <w:color w:val="000000" w:themeColor="text1"/>
          <w:lang w:val="en-US"/>
        </w:rPr>
      </w:pPr>
      <w:r w:rsidRPr="00B66CC9">
        <w:rPr>
          <w:rFonts w:ascii="Georgia" w:hAnsi="Georgia"/>
          <w:color w:val="000000" w:themeColor="text1"/>
          <w:sz w:val="20"/>
          <w:szCs w:val="20"/>
          <w:lang w:val="en-US"/>
        </w:rPr>
        <w:t>Table 2: Opioid-Sparing Effects of Cannabinoids</w:t>
      </w:r>
    </w:p>
    <w:p w14:paraId="0210B376" w14:textId="77777777" w:rsidR="001615FD" w:rsidRPr="00B66CC9" w:rsidRDefault="001615FD" w:rsidP="001615FD">
      <w:pPr>
        <w:pStyle w:val="Heading4"/>
        <w:rPr>
          <w:rFonts w:ascii="Georgia" w:hAnsi="Georgia"/>
          <w:color w:val="000000" w:themeColor="text1"/>
          <w:lang w:val="en-US"/>
        </w:rPr>
      </w:pPr>
      <w:r w:rsidRPr="00B66CC9">
        <w:rPr>
          <w:rFonts w:ascii="Georgia" w:hAnsi="Georgia"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72BC3839" wp14:editId="39C5E59C">
            <wp:extent cx="4571671" cy="1573823"/>
            <wp:effectExtent l="0" t="0" r="635" b="1270"/>
            <wp:docPr id="162209062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090626" name="Imagem 162209062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710" cy="157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176AE" w14:textId="77777777" w:rsidR="001615FD" w:rsidRPr="00B66CC9" w:rsidRDefault="001615FD" w:rsidP="001615FD">
      <w:pPr>
        <w:pStyle w:val="Heading4"/>
        <w:rPr>
          <w:rFonts w:ascii="Georgia" w:hAnsi="Georgia"/>
          <w:b/>
          <w:bCs/>
          <w:color w:val="000000" w:themeColor="text1"/>
        </w:rPr>
      </w:pPr>
    </w:p>
    <w:p w14:paraId="79F2CF9F" w14:textId="77777777" w:rsidR="001615FD" w:rsidRPr="003B3E25" w:rsidRDefault="001615FD" w:rsidP="001615FD">
      <w:pPr>
        <w:pStyle w:val="Heading4"/>
        <w:rPr>
          <w:rFonts w:ascii="Georgia" w:hAnsi="Georgia"/>
          <w:color w:val="000000" w:themeColor="text1"/>
          <w:sz w:val="20"/>
          <w:szCs w:val="20"/>
          <w:lang w:val="en-US"/>
        </w:rPr>
      </w:pPr>
      <w:r w:rsidRPr="00357D44">
        <w:rPr>
          <w:rFonts w:ascii="Georgia" w:hAnsi="Georgia"/>
          <w:color w:val="000000" w:themeColor="text1"/>
          <w:sz w:val="20"/>
          <w:szCs w:val="20"/>
          <w:lang w:val="en-US"/>
        </w:rPr>
        <w:t>Table</w:t>
      </w:r>
      <w:r w:rsidRPr="00B66CC9">
        <w:rPr>
          <w:rFonts w:ascii="Georgia" w:hAnsi="Georgia"/>
          <w:color w:val="000000" w:themeColor="text1"/>
          <w:sz w:val="20"/>
          <w:szCs w:val="20"/>
          <w:lang w:val="en-US"/>
        </w:rPr>
        <w:t xml:space="preserve"> 3</w:t>
      </w:r>
      <w:r w:rsidRPr="00357D44">
        <w:rPr>
          <w:rFonts w:ascii="Georgia" w:hAnsi="Georgia"/>
          <w:color w:val="000000" w:themeColor="text1"/>
          <w:sz w:val="20"/>
          <w:szCs w:val="20"/>
          <w:lang w:val="en-US"/>
        </w:rPr>
        <w:t>: Mechanisms of Cannabinoid Analgesia</w:t>
      </w:r>
    </w:p>
    <w:p w14:paraId="34FE0300" w14:textId="77777777" w:rsidR="001615FD" w:rsidRDefault="001615FD" w:rsidP="001615FD">
      <w:pPr>
        <w:pStyle w:val="Heading3"/>
        <w:rPr>
          <w:rFonts w:ascii="Georgia" w:hAnsi="Georgia"/>
          <w:color w:val="000000" w:themeColor="text1"/>
          <w:sz w:val="24"/>
          <w:szCs w:val="24"/>
          <w:lang w:val="en-US"/>
        </w:rPr>
      </w:pPr>
      <w:r>
        <w:rPr>
          <w:rFonts w:ascii="Georgia" w:hAnsi="Georgia"/>
          <w:noProof/>
          <w:color w:val="000000" w:themeColor="text1"/>
          <w:sz w:val="24"/>
          <w:szCs w:val="24"/>
          <w:lang w:val="en-US"/>
          <w14:ligatures w14:val="standardContextual"/>
        </w:rPr>
        <w:drawing>
          <wp:inline distT="0" distB="0" distL="0" distR="0" wp14:anchorId="780651BC" wp14:editId="257A7EC0">
            <wp:extent cx="4622800" cy="927100"/>
            <wp:effectExtent l="0" t="0" r="0" b="0"/>
            <wp:docPr id="2041216576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216576" name="Imagem 204121657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5E155" w14:textId="77777777" w:rsidR="001615FD" w:rsidRPr="00E83CE5" w:rsidRDefault="001615FD" w:rsidP="001615FD">
      <w:pPr>
        <w:pStyle w:val="NormalWeb"/>
        <w:rPr>
          <w:rFonts w:ascii="Georgia" w:hAnsi="Georgia"/>
          <w:b/>
          <w:bCs/>
          <w:i/>
          <w:iCs/>
          <w:sz w:val="20"/>
          <w:szCs w:val="20"/>
          <w:lang w:val="en-US"/>
        </w:rPr>
      </w:pPr>
      <w:r w:rsidRPr="00E83CE5">
        <w:rPr>
          <w:rStyle w:val="Strong"/>
          <w:rFonts w:ascii="Georgia" w:eastAsiaTheme="majorEastAsia" w:hAnsi="Georgia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4</w:t>
      </w:r>
      <w:r w:rsidRPr="00E83CE5">
        <w:rPr>
          <w:rStyle w:val="Strong"/>
          <w:rFonts w:ascii="Georgia" w:eastAsiaTheme="majorEastAsia" w:hAnsi="Georgia"/>
          <w:sz w:val="20"/>
          <w:szCs w:val="20"/>
          <w:lang w:val="en-US"/>
        </w:rPr>
        <w:t>: Heterogeneity Assessment for Primary Outcomes</w:t>
      </w:r>
    </w:p>
    <w:p w14:paraId="3562348C" w14:textId="77777777" w:rsidR="001615FD" w:rsidRDefault="001615FD" w:rsidP="001615FD">
      <w:pPr>
        <w:pStyle w:val="Heading3"/>
        <w:tabs>
          <w:tab w:val="left" w:pos="2423"/>
        </w:tabs>
        <w:rPr>
          <w:rFonts w:ascii="Georgia" w:hAnsi="Georgia"/>
          <w:color w:val="000000" w:themeColor="text1"/>
          <w:sz w:val="24"/>
          <w:szCs w:val="24"/>
          <w:lang w:val="en-US"/>
        </w:rPr>
      </w:pPr>
      <w:r>
        <w:rPr>
          <w:rFonts w:ascii="Georgia" w:hAnsi="Georgia"/>
          <w:noProof/>
          <w:color w:val="000000" w:themeColor="text1"/>
          <w:sz w:val="24"/>
          <w:szCs w:val="24"/>
          <w:lang w:val="en-US"/>
          <w14:ligatures w14:val="standardContextual"/>
        </w:rPr>
        <w:lastRenderedPageBreak/>
        <w:drawing>
          <wp:inline distT="0" distB="0" distL="0" distR="0" wp14:anchorId="675D637D" wp14:editId="04BEA727">
            <wp:extent cx="4610100" cy="889000"/>
            <wp:effectExtent l="0" t="0" r="0" b="0"/>
            <wp:docPr id="1653883717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883717" name="Imagem 165388371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6C151" w14:textId="77777777" w:rsidR="001615FD" w:rsidRPr="00445800" w:rsidRDefault="001615FD" w:rsidP="001615FD">
      <w:pPr>
        <w:pStyle w:val="NormalWeb"/>
        <w:rPr>
          <w:rFonts w:ascii="Georgia" w:hAnsi="Georgia"/>
          <w:b/>
          <w:bCs/>
          <w:i/>
          <w:iCs/>
          <w:sz w:val="20"/>
          <w:szCs w:val="20"/>
          <w:lang w:val="en-US"/>
        </w:rPr>
      </w:pPr>
      <w:r w:rsidRPr="00E83CE5">
        <w:rPr>
          <w:rStyle w:val="Strong"/>
          <w:rFonts w:ascii="Georgia" w:eastAsiaTheme="majorEastAsia" w:hAnsi="Georgia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5</w:t>
      </w:r>
      <w:r w:rsidRPr="00E83CE5">
        <w:rPr>
          <w:rStyle w:val="Strong"/>
          <w:rFonts w:ascii="Georgia" w:eastAsiaTheme="majorEastAsia" w:hAnsi="Georgia"/>
          <w:sz w:val="20"/>
          <w:szCs w:val="20"/>
          <w:lang w:val="en-US"/>
        </w:rPr>
        <w:t>: Heterogeneity Assessment for Secondary Outcomes</w:t>
      </w:r>
    </w:p>
    <w:p w14:paraId="12EBB66B" w14:textId="77777777" w:rsidR="001615FD" w:rsidRPr="00B66CC9" w:rsidRDefault="001615FD" w:rsidP="001615FD">
      <w:pPr>
        <w:pStyle w:val="NormalWeb"/>
        <w:rPr>
          <w:rStyle w:val="Strong"/>
          <w:rFonts w:ascii="Georgia" w:eastAsiaTheme="majorEastAsia" w:hAnsi="Georgia"/>
          <w:b w:val="0"/>
          <w:bCs w:val="0"/>
          <w:i/>
          <w:iCs/>
          <w:lang w:val="en-US"/>
        </w:rPr>
      </w:pPr>
      <w:r w:rsidRPr="00B66CC9">
        <w:rPr>
          <w:rFonts w:ascii="Georgia" w:hAnsi="Georgia"/>
          <w:i/>
          <w:iCs/>
          <w:noProof/>
          <w:lang w:val="en-US"/>
          <w14:ligatures w14:val="standardContextual"/>
        </w:rPr>
        <w:drawing>
          <wp:inline distT="0" distB="0" distL="0" distR="0" wp14:anchorId="211F367F" wp14:editId="457A69DF">
            <wp:extent cx="4610100" cy="1371600"/>
            <wp:effectExtent l="0" t="0" r="0" b="0"/>
            <wp:docPr id="1840515159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515159" name="Imagem 184051515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1DD57" w14:textId="77777777" w:rsidR="001615FD" w:rsidRPr="00B66CC9" w:rsidRDefault="001615FD" w:rsidP="001615FD">
      <w:pPr>
        <w:pStyle w:val="NormalWeb"/>
        <w:rPr>
          <w:rStyle w:val="Strong"/>
          <w:rFonts w:ascii="Georgia" w:eastAsiaTheme="majorEastAsia" w:hAnsi="Georgia"/>
          <w:i/>
          <w:iCs/>
          <w:sz w:val="20"/>
          <w:szCs w:val="20"/>
          <w:lang w:val="en-US"/>
        </w:rPr>
      </w:pP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6</w:t>
      </w: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>: Sensitivity Analysis Excluding High-Risk Studies</w:t>
      </w:r>
    </w:p>
    <w:p w14:paraId="5BA43D87" w14:textId="77777777" w:rsidR="001615FD" w:rsidRPr="00B66CC9" w:rsidRDefault="001615FD" w:rsidP="001615FD">
      <w:pPr>
        <w:pStyle w:val="NormalWeb"/>
        <w:rPr>
          <w:rStyle w:val="Strong"/>
          <w:rFonts w:ascii="Georgia" w:eastAsiaTheme="majorEastAsia" w:hAnsi="Georgia"/>
        </w:rPr>
      </w:pPr>
      <w:r w:rsidRPr="00B66CC9">
        <w:rPr>
          <w:rFonts w:ascii="Georgia" w:hAnsi="Georgia"/>
          <w:b/>
          <w:bCs/>
          <w:noProof/>
          <w14:ligatures w14:val="standardContextual"/>
        </w:rPr>
        <w:drawing>
          <wp:inline distT="0" distB="0" distL="0" distR="0" wp14:anchorId="043C71A6" wp14:editId="1DE0946B">
            <wp:extent cx="4622800" cy="914400"/>
            <wp:effectExtent l="0" t="0" r="0" b="0"/>
            <wp:docPr id="124511375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113755" name="Imagem 124511375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94F31" w14:textId="77777777" w:rsidR="001615FD" w:rsidRPr="00B66CC9" w:rsidRDefault="001615FD" w:rsidP="001615FD">
      <w:pPr>
        <w:pStyle w:val="NormalWeb"/>
        <w:rPr>
          <w:rFonts w:ascii="Georgia" w:hAnsi="Georgia"/>
          <w:b/>
          <w:bCs/>
          <w:i/>
          <w:iCs/>
          <w:sz w:val="20"/>
          <w:szCs w:val="20"/>
          <w:lang w:val="en-US"/>
        </w:rPr>
      </w:pP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7</w:t>
      </w: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>: Sensitivity Analysis Excluding One Study at a Time</w:t>
      </w:r>
    </w:p>
    <w:p w14:paraId="703D8A0F" w14:textId="77777777" w:rsidR="001615FD" w:rsidRPr="00B66CC9" w:rsidRDefault="001615FD" w:rsidP="001615FD">
      <w:pPr>
        <w:spacing w:before="100" w:beforeAutospacing="1" w:after="100" w:afterAutospacing="1"/>
        <w:rPr>
          <w:rFonts w:ascii="Georgia" w:hAnsi="Georgia"/>
          <w:b/>
          <w:bCs/>
          <w:color w:val="000000" w:themeColor="text1"/>
          <w:lang w:val="en-US"/>
        </w:rPr>
      </w:pPr>
      <w:r w:rsidRPr="00B66CC9">
        <w:rPr>
          <w:rFonts w:ascii="Georgia" w:hAnsi="Georgia"/>
          <w:b/>
          <w:bCs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4BAA9FAB" wp14:editId="6BBC31F1">
            <wp:extent cx="4648200" cy="1435100"/>
            <wp:effectExtent l="0" t="0" r="0" b="0"/>
            <wp:docPr id="1025122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1222" name="Imagem 1025122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65FDB" w14:textId="77777777" w:rsidR="001615FD" w:rsidRPr="00B66CC9" w:rsidRDefault="001615FD" w:rsidP="001615FD">
      <w:pPr>
        <w:pStyle w:val="NormalWeb"/>
        <w:rPr>
          <w:rFonts w:ascii="Georgia" w:hAnsi="Georgia"/>
          <w:b/>
          <w:bCs/>
          <w:i/>
          <w:iCs/>
          <w:sz w:val="20"/>
          <w:szCs w:val="20"/>
          <w:lang w:val="en-US"/>
        </w:rPr>
      </w:pP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8</w:t>
      </w: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>: Sensitivity Analysis Changing Inclusion Criteria</w:t>
      </w:r>
    </w:p>
    <w:p w14:paraId="43D1767D" w14:textId="77777777" w:rsidR="001615FD" w:rsidRPr="00B66CC9" w:rsidRDefault="001615FD" w:rsidP="001615FD">
      <w:pPr>
        <w:spacing w:before="100" w:beforeAutospacing="1" w:after="100" w:afterAutospacing="1"/>
        <w:rPr>
          <w:rFonts w:ascii="Georgia" w:hAnsi="Georgia"/>
          <w:b/>
          <w:bCs/>
          <w:color w:val="000000" w:themeColor="text1"/>
          <w:lang w:val="en-US"/>
        </w:rPr>
      </w:pPr>
      <w:r>
        <w:rPr>
          <w:rFonts w:ascii="Georgia" w:hAnsi="Georgia"/>
          <w:b/>
          <w:bCs/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2DD4EE0D" wp14:editId="5CBD3A2B">
            <wp:extent cx="4622800" cy="1346200"/>
            <wp:effectExtent l="0" t="0" r="0" b="0"/>
            <wp:docPr id="203629311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293117" name="Imagem 203629311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CBB8E" w14:textId="4E381505" w:rsidR="001615FD" w:rsidRPr="001615FD" w:rsidRDefault="001615FD" w:rsidP="001615FD">
      <w:pPr>
        <w:pStyle w:val="NormalWeb"/>
        <w:rPr>
          <w:rFonts w:ascii="Georgia" w:hAnsi="Georgia"/>
          <w:b/>
          <w:bCs/>
          <w:i/>
          <w:iCs/>
          <w:sz w:val="20"/>
          <w:szCs w:val="20"/>
          <w:lang w:val="en-US"/>
        </w:rPr>
      </w:pP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lastRenderedPageBreak/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9</w:t>
      </w: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>: Sensitivity Analysis Using Different Statistical Models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7"/>
        <w:gridCol w:w="2826"/>
        <w:gridCol w:w="1862"/>
      </w:tblGrid>
      <w:tr w:rsidR="001615FD" w:rsidRPr="00B66CC9" w14:paraId="19453A99" w14:textId="77777777" w:rsidTr="0050279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741239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26EBF42B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Funnel Plot Symmetry</w:t>
            </w:r>
          </w:p>
        </w:tc>
        <w:tc>
          <w:tcPr>
            <w:tcW w:w="0" w:type="auto"/>
            <w:vAlign w:val="center"/>
            <w:hideMark/>
          </w:tcPr>
          <w:p w14:paraId="4502D8D5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Interpretation</w:t>
            </w:r>
          </w:p>
        </w:tc>
      </w:tr>
      <w:tr w:rsidR="001615FD" w:rsidRPr="00B66CC9" w14:paraId="387F5F94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E5C38C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Pain Reduction</w:t>
            </w:r>
          </w:p>
        </w:tc>
        <w:tc>
          <w:tcPr>
            <w:tcW w:w="0" w:type="auto"/>
            <w:vAlign w:val="center"/>
            <w:hideMark/>
          </w:tcPr>
          <w:p w14:paraId="7C8B7BAA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Symmetric</w:t>
            </w:r>
          </w:p>
        </w:tc>
        <w:tc>
          <w:tcPr>
            <w:tcW w:w="0" w:type="auto"/>
            <w:vAlign w:val="center"/>
            <w:hideMark/>
          </w:tcPr>
          <w:p w14:paraId="0E14369A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Low risk of bias</w:t>
            </w:r>
          </w:p>
        </w:tc>
      </w:tr>
      <w:tr w:rsidR="001615FD" w:rsidRPr="00B66CC9" w14:paraId="00A2F13E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827BFF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Quality of Life</w:t>
            </w:r>
          </w:p>
        </w:tc>
        <w:tc>
          <w:tcPr>
            <w:tcW w:w="0" w:type="auto"/>
            <w:vAlign w:val="center"/>
            <w:hideMark/>
          </w:tcPr>
          <w:p w14:paraId="6DDBA732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Slightly Asymmetric</w:t>
            </w:r>
          </w:p>
        </w:tc>
        <w:tc>
          <w:tcPr>
            <w:tcW w:w="0" w:type="auto"/>
            <w:vAlign w:val="center"/>
            <w:hideMark/>
          </w:tcPr>
          <w:p w14:paraId="1EAA26E5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Possible bias</w:t>
            </w:r>
          </w:p>
        </w:tc>
      </w:tr>
      <w:tr w:rsidR="001615FD" w:rsidRPr="00B66CC9" w14:paraId="6CF56608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D8708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Opioid-Sparing Effects</w:t>
            </w:r>
          </w:p>
        </w:tc>
        <w:tc>
          <w:tcPr>
            <w:tcW w:w="0" w:type="auto"/>
            <w:vAlign w:val="center"/>
            <w:hideMark/>
          </w:tcPr>
          <w:p w14:paraId="5001F787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Symmetric</w:t>
            </w:r>
          </w:p>
        </w:tc>
        <w:tc>
          <w:tcPr>
            <w:tcW w:w="0" w:type="auto"/>
            <w:vAlign w:val="center"/>
            <w:hideMark/>
          </w:tcPr>
          <w:p w14:paraId="7681CF2A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Low risk of bias</w:t>
            </w:r>
          </w:p>
        </w:tc>
      </w:tr>
      <w:tr w:rsidR="001615FD" w:rsidRPr="00B66CC9" w14:paraId="75227ED5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5830C7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Mechanisms of Pain Modulation</w:t>
            </w:r>
          </w:p>
        </w:tc>
        <w:tc>
          <w:tcPr>
            <w:tcW w:w="0" w:type="auto"/>
            <w:vAlign w:val="center"/>
            <w:hideMark/>
          </w:tcPr>
          <w:p w14:paraId="5B53FD1C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Symmetric</w:t>
            </w:r>
          </w:p>
        </w:tc>
        <w:tc>
          <w:tcPr>
            <w:tcW w:w="0" w:type="auto"/>
            <w:vAlign w:val="center"/>
            <w:hideMark/>
          </w:tcPr>
          <w:p w14:paraId="40220B91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Low risk of bias</w:t>
            </w:r>
          </w:p>
        </w:tc>
      </w:tr>
    </w:tbl>
    <w:p w14:paraId="4768A452" w14:textId="77777777" w:rsidR="001615FD" w:rsidRPr="00B66CC9" w:rsidRDefault="001615FD" w:rsidP="001615FD">
      <w:pPr>
        <w:pStyle w:val="Heading4"/>
        <w:rPr>
          <w:rFonts w:ascii="Georgia" w:hAnsi="Georgia"/>
          <w:b/>
          <w:bCs/>
          <w:color w:val="000000" w:themeColor="text1"/>
          <w:sz w:val="20"/>
          <w:szCs w:val="20"/>
          <w:lang w:val="en-US"/>
        </w:rPr>
      </w:pPr>
      <w:r w:rsidRPr="00B66CC9">
        <w:rPr>
          <w:rStyle w:val="Strong"/>
          <w:rFonts w:ascii="Georgia" w:hAnsi="Georgia"/>
          <w:color w:val="000000" w:themeColor="text1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hAnsi="Georgia"/>
          <w:color w:val="000000" w:themeColor="text1"/>
          <w:sz w:val="20"/>
          <w:szCs w:val="20"/>
          <w:lang w:val="en-US"/>
        </w:rPr>
        <w:t>10</w:t>
      </w:r>
      <w:r w:rsidRPr="00B66CC9">
        <w:rPr>
          <w:rStyle w:val="Strong"/>
          <w:rFonts w:ascii="Georgia" w:hAnsi="Georgia"/>
          <w:color w:val="000000" w:themeColor="text1"/>
          <w:sz w:val="20"/>
          <w:szCs w:val="20"/>
          <w:lang w:val="en-US"/>
        </w:rPr>
        <w:t>: Funnel Plot Symmetry Assessment</w:t>
      </w:r>
      <w:r w:rsidRPr="00B66CC9">
        <w:rPr>
          <w:rFonts w:ascii="Georgia" w:hAnsi="Georgia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1474A9D8" w14:textId="77777777" w:rsidR="001615FD" w:rsidRPr="00B66CC9" w:rsidRDefault="001615FD" w:rsidP="001615FD">
      <w:pPr>
        <w:pStyle w:val="Heading4"/>
        <w:rPr>
          <w:rFonts w:ascii="Georgia" w:hAnsi="Georgia"/>
          <w:lang w:val="en-US"/>
        </w:rPr>
      </w:pPr>
    </w:p>
    <w:p w14:paraId="748D7B66" w14:textId="0415EC2D" w:rsidR="001615FD" w:rsidRPr="00AF7AC6" w:rsidRDefault="001615FD" w:rsidP="001615FD">
      <w:pPr>
        <w:pStyle w:val="NormalWeb"/>
        <w:rPr>
          <w:rFonts w:ascii="Georgia" w:hAnsi="Georgia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7"/>
        <w:gridCol w:w="2512"/>
        <w:gridCol w:w="2045"/>
      </w:tblGrid>
      <w:tr w:rsidR="001615FD" w:rsidRPr="00B66CC9" w14:paraId="3C298A6B" w14:textId="77777777" w:rsidTr="0050279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2C3F46F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6285343E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Egger's Test p-value</w:t>
            </w:r>
          </w:p>
        </w:tc>
        <w:tc>
          <w:tcPr>
            <w:tcW w:w="0" w:type="auto"/>
            <w:vAlign w:val="center"/>
            <w:hideMark/>
          </w:tcPr>
          <w:p w14:paraId="2B321A59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Interpretation</w:t>
            </w:r>
          </w:p>
        </w:tc>
      </w:tr>
      <w:tr w:rsidR="001615FD" w:rsidRPr="00B66CC9" w14:paraId="44E6B8A6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B00CA8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Pain Reduction</w:t>
            </w:r>
          </w:p>
        </w:tc>
        <w:tc>
          <w:tcPr>
            <w:tcW w:w="0" w:type="auto"/>
            <w:vAlign w:val="center"/>
            <w:hideMark/>
          </w:tcPr>
          <w:p w14:paraId="1CE23E15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0.12</w:t>
            </w:r>
          </w:p>
        </w:tc>
        <w:tc>
          <w:tcPr>
            <w:tcW w:w="0" w:type="auto"/>
            <w:vAlign w:val="center"/>
            <w:hideMark/>
          </w:tcPr>
          <w:p w14:paraId="2E74762F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No significant bias</w:t>
            </w:r>
          </w:p>
        </w:tc>
      </w:tr>
      <w:tr w:rsidR="001615FD" w:rsidRPr="00B66CC9" w14:paraId="6F52542F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468E65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Quality of Life</w:t>
            </w:r>
          </w:p>
        </w:tc>
        <w:tc>
          <w:tcPr>
            <w:tcW w:w="0" w:type="auto"/>
            <w:vAlign w:val="center"/>
            <w:hideMark/>
          </w:tcPr>
          <w:p w14:paraId="47D1AD94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51FCEE64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Possible bias</w:t>
            </w:r>
          </w:p>
        </w:tc>
      </w:tr>
      <w:tr w:rsidR="001615FD" w:rsidRPr="00B66CC9" w14:paraId="758A392C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747175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Opioid-Sparing Effects</w:t>
            </w:r>
          </w:p>
        </w:tc>
        <w:tc>
          <w:tcPr>
            <w:tcW w:w="0" w:type="auto"/>
            <w:vAlign w:val="center"/>
            <w:hideMark/>
          </w:tcPr>
          <w:p w14:paraId="42315C03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14:paraId="7AA3B601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No significant bias</w:t>
            </w:r>
          </w:p>
        </w:tc>
      </w:tr>
      <w:tr w:rsidR="001615FD" w:rsidRPr="00B66CC9" w14:paraId="2C7F7A16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C05414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Mechanisms of Pain Modulation</w:t>
            </w:r>
          </w:p>
        </w:tc>
        <w:tc>
          <w:tcPr>
            <w:tcW w:w="0" w:type="auto"/>
            <w:vAlign w:val="center"/>
            <w:hideMark/>
          </w:tcPr>
          <w:p w14:paraId="3766704A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14:paraId="6FEE855F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No significant bias</w:t>
            </w:r>
          </w:p>
        </w:tc>
      </w:tr>
    </w:tbl>
    <w:p w14:paraId="317B591D" w14:textId="77777777" w:rsidR="001615FD" w:rsidRPr="00B66CC9" w:rsidRDefault="001615FD" w:rsidP="001615FD">
      <w:pPr>
        <w:pStyle w:val="Heading4"/>
        <w:rPr>
          <w:rFonts w:ascii="Georgia" w:hAnsi="Georgia"/>
          <w:color w:val="000000" w:themeColor="text1"/>
          <w:lang w:val="en-US"/>
        </w:rPr>
      </w:pPr>
      <w:r w:rsidRPr="00B66CC9">
        <w:rPr>
          <w:rStyle w:val="Strong"/>
          <w:rFonts w:ascii="Georgia" w:hAnsi="Georgia"/>
          <w:color w:val="000000" w:themeColor="text1"/>
          <w:sz w:val="20"/>
          <w:szCs w:val="20"/>
          <w:lang w:val="en-US"/>
        </w:rPr>
        <w:t>Table</w:t>
      </w:r>
      <w:r>
        <w:rPr>
          <w:rStyle w:val="Strong"/>
          <w:rFonts w:ascii="Georgia" w:hAnsi="Georgia"/>
          <w:color w:val="000000" w:themeColor="text1"/>
          <w:sz w:val="20"/>
          <w:szCs w:val="20"/>
          <w:lang w:val="en-US"/>
        </w:rPr>
        <w:t xml:space="preserve"> 11</w:t>
      </w:r>
      <w:r w:rsidRPr="00B66CC9">
        <w:rPr>
          <w:rStyle w:val="Strong"/>
          <w:rFonts w:ascii="Georgia" w:hAnsi="Georgia"/>
          <w:color w:val="000000" w:themeColor="text1"/>
          <w:sz w:val="20"/>
          <w:szCs w:val="20"/>
          <w:lang w:val="en-US"/>
        </w:rPr>
        <w:t>: Egger's Test Results</w:t>
      </w:r>
      <w:r w:rsidRPr="00B66CC9">
        <w:rPr>
          <w:rFonts w:ascii="Georgia" w:hAnsi="Georgia"/>
          <w:color w:val="000000" w:themeColor="text1"/>
          <w:lang w:val="en-US"/>
        </w:rPr>
        <w:t xml:space="preserve"> </w:t>
      </w:r>
    </w:p>
    <w:p w14:paraId="64166D13" w14:textId="77777777" w:rsidR="001615FD" w:rsidRPr="00B66CC9" w:rsidRDefault="001615FD" w:rsidP="001615FD">
      <w:pPr>
        <w:rPr>
          <w:rFonts w:ascii="Georgia" w:hAnsi="Georgia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2"/>
        <w:gridCol w:w="2434"/>
        <w:gridCol w:w="2102"/>
        <w:gridCol w:w="1862"/>
      </w:tblGrid>
      <w:tr w:rsidR="001615FD" w:rsidRPr="00B66CC9" w14:paraId="30AC0CB8" w14:textId="77777777" w:rsidTr="0050279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634CF1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3B8B87A0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Funnel Plot Symmetry</w:t>
            </w:r>
          </w:p>
        </w:tc>
        <w:tc>
          <w:tcPr>
            <w:tcW w:w="0" w:type="auto"/>
            <w:vAlign w:val="center"/>
            <w:hideMark/>
          </w:tcPr>
          <w:p w14:paraId="72DEE94D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Egger's Test p-value</w:t>
            </w:r>
          </w:p>
        </w:tc>
        <w:tc>
          <w:tcPr>
            <w:tcW w:w="0" w:type="auto"/>
            <w:vAlign w:val="center"/>
            <w:hideMark/>
          </w:tcPr>
          <w:p w14:paraId="6CA9298E" w14:textId="77777777" w:rsidR="001615FD" w:rsidRPr="00B66CC9" w:rsidRDefault="001615FD" w:rsidP="0050279A">
            <w:pPr>
              <w:jc w:val="center"/>
              <w:rPr>
                <w:rFonts w:ascii="Georgia" w:hAnsi="Georgia"/>
                <w:b/>
                <w:bCs/>
              </w:rPr>
            </w:pPr>
            <w:r w:rsidRPr="00B66CC9">
              <w:rPr>
                <w:rFonts w:ascii="Georgia" w:hAnsi="Georgia"/>
                <w:b/>
                <w:bCs/>
              </w:rPr>
              <w:t>Interpretation</w:t>
            </w:r>
          </w:p>
        </w:tc>
      </w:tr>
      <w:tr w:rsidR="001615FD" w:rsidRPr="00B66CC9" w14:paraId="149ABF6E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70CA7B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Pain Reduction</w:t>
            </w:r>
          </w:p>
        </w:tc>
        <w:tc>
          <w:tcPr>
            <w:tcW w:w="0" w:type="auto"/>
            <w:vAlign w:val="center"/>
            <w:hideMark/>
          </w:tcPr>
          <w:p w14:paraId="2914B025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Symmetric</w:t>
            </w:r>
          </w:p>
        </w:tc>
        <w:tc>
          <w:tcPr>
            <w:tcW w:w="0" w:type="auto"/>
            <w:vAlign w:val="center"/>
            <w:hideMark/>
          </w:tcPr>
          <w:p w14:paraId="19B63EA8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0.12</w:t>
            </w:r>
          </w:p>
        </w:tc>
        <w:tc>
          <w:tcPr>
            <w:tcW w:w="0" w:type="auto"/>
            <w:vAlign w:val="center"/>
            <w:hideMark/>
          </w:tcPr>
          <w:p w14:paraId="7F8E63E2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Low risk of bias</w:t>
            </w:r>
          </w:p>
        </w:tc>
      </w:tr>
      <w:tr w:rsidR="001615FD" w:rsidRPr="00B66CC9" w14:paraId="60593CE7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AE88D9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Quality of Life</w:t>
            </w:r>
          </w:p>
        </w:tc>
        <w:tc>
          <w:tcPr>
            <w:tcW w:w="0" w:type="auto"/>
            <w:vAlign w:val="center"/>
            <w:hideMark/>
          </w:tcPr>
          <w:p w14:paraId="35C4B4EA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Slightly Asymmetric</w:t>
            </w:r>
          </w:p>
        </w:tc>
        <w:tc>
          <w:tcPr>
            <w:tcW w:w="0" w:type="auto"/>
            <w:vAlign w:val="center"/>
            <w:hideMark/>
          </w:tcPr>
          <w:p w14:paraId="565D44CE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53257DD5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Possible bias</w:t>
            </w:r>
          </w:p>
        </w:tc>
      </w:tr>
      <w:tr w:rsidR="001615FD" w:rsidRPr="00B66CC9" w14:paraId="1E381883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8252AB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Opioid-Sparing Effects</w:t>
            </w:r>
          </w:p>
        </w:tc>
        <w:tc>
          <w:tcPr>
            <w:tcW w:w="0" w:type="auto"/>
            <w:vAlign w:val="center"/>
            <w:hideMark/>
          </w:tcPr>
          <w:p w14:paraId="54AA4169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Symmetric</w:t>
            </w:r>
          </w:p>
        </w:tc>
        <w:tc>
          <w:tcPr>
            <w:tcW w:w="0" w:type="auto"/>
            <w:vAlign w:val="center"/>
            <w:hideMark/>
          </w:tcPr>
          <w:p w14:paraId="229C4A70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14:paraId="60E076BD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Low risk of bias</w:t>
            </w:r>
          </w:p>
        </w:tc>
      </w:tr>
      <w:tr w:rsidR="001615FD" w:rsidRPr="00B66CC9" w14:paraId="04A68D03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1129FC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Mechanisms of Pain Modulation</w:t>
            </w:r>
          </w:p>
        </w:tc>
        <w:tc>
          <w:tcPr>
            <w:tcW w:w="0" w:type="auto"/>
            <w:vAlign w:val="center"/>
            <w:hideMark/>
          </w:tcPr>
          <w:p w14:paraId="5284A4ED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Symmetric</w:t>
            </w:r>
          </w:p>
        </w:tc>
        <w:tc>
          <w:tcPr>
            <w:tcW w:w="0" w:type="auto"/>
            <w:vAlign w:val="center"/>
            <w:hideMark/>
          </w:tcPr>
          <w:p w14:paraId="45B80604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14:paraId="3FCBB333" w14:textId="77777777" w:rsidR="001615FD" w:rsidRPr="00B66CC9" w:rsidRDefault="001615FD" w:rsidP="0050279A">
            <w:pPr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Low risk of bias</w:t>
            </w:r>
          </w:p>
        </w:tc>
      </w:tr>
    </w:tbl>
    <w:p w14:paraId="047C6BA2" w14:textId="77777777" w:rsidR="001615FD" w:rsidRPr="00B66CC9" w:rsidRDefault="001615FD" w:rsidP="001615FD">
      <w:pPr>
        <w:pStyle w:val="NormalWeb"/>
        <w:rPr>
          <w:rStyle w:val="Strong"/>
          <w:rFonts w:ascii="Georgia" w:eastAsiaTheme="majorEastAsia" w:hAnsi="Georgia"/>
          <w:lang w:val="en-US"/>
        </w:rPr>
      </w:pP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 xml:space="preserve">Table </w:t>
      </w:r>
      <w:r>
        <w:rPr>
          <w:rStyle w:val="Strong"/>
          <w:rFonts w:ascii="Georgia" w:eastAsiaTheme="majorEastAsia" w:hAnsi="Georgia"/>
          <w:sz w:val="20"/>
          <w:szCs w:val="20"/>
          <w:lang w:val="en-US"/>
        </w:rPr>
        <w:t>12</w:t>
      </w:r>
      <w:r w:rsidRPr="00B66CC9">
        <w:rPr>
          <w:rStyle w:val="Strong"/>
          <w:rFonts w:ascii="Georgia" w:eastAsiaTheme="majorEastAsia" w:hAnsi="Georgia"/>
          <w:sz w:val="20"/>
          <w:szCs w:val="20"/>
          <w:lang w:val="en-US"/>
        </w:rPr>
        <w:t>: Summary of Publication Bias Findings</w:t>
      </w:r>
    </w:p>
    <w:p w14:paraId="2A813B1F" w14:textId="0FCB44AA" w:rsidR="001615FD" w:rsidRPr="00B66CC9" w:rsidRDefault="001615FD" w:rsidP="001615FD">
      <w:pPr>
        <w:spacing w:before="100" w:beforeAutospacing="1" w:after="100" w:afterAutospacing="1" w:line="276" w:lineRule="auto"/>
        <w:outlineLvl w:val="2"/>
        <w:rPr>
          <w:rFonts w:ascii="Georgia" w:hAnsi="Georgia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0"/>
        <w:gridCol w:w="1186"/>
        <w:gridCol w:w="1914"/>
        <w:gridCol w:w="2862"/>
        <w:gridCol w:w="1138"/>
      </w:tblGrid>
      <w:tr w:rsidR="001615FD" w:rsidRPr="00B66CC9" w14:paraId="4BBABC11" w14:textId="77777777" w:rsidTr="0050279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C5D214" w14:textId="77777777" w:rsidR="001615FD" w:rsidRPr="00B66CC9" w:rsidRDefault="001615FD" w:rsidP="0050279A">
            <w:pPr>
              <w:spacing w:line="276" w:lineRule="auto"/>
              <w:jc w:val="center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Study Type</w:t>
            </w:r>
          </w:p>
        </w:tc>
        <w:tc>
          <w:tcPr>
            <w:tcW w:w="0" w:type="auto"/>
            <w:vAlign w:val="center"/>
            <w:hideMark/>
          </w:tcPr>
          <w:p w14:paraId="52191D7C" w14:textId="77777777" w:rsidR="001615FD" w:rsidRPr="00B66CC9" w:rsidRDefault="001615FD" w:rsidP="0050279A">
            <w:pPr>
              <w:spacing w:line="276" w:lineRule="auto"/>
              <w:jc w:val="center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Study Reference</w:t>
            </w:r>
          </w:p>
        </w:tc>
        <w:tc>
          <w:tcPr>
            <w:tcW w:w="0" w:type="auto"/>
            <w:vAlign w:val="center"/>
            <w:hideMark/>
          </w:tcPr>
          <w:p w14:paraId="288CFE2E" w14:textId="77777777" w:rsidR="001615FD" w:rsidRPr="00B66CC9" w:rsidRDefault="001615FD" w:rsidP="0050279A">
            <w:pPr>
              <w:spacing w:line="276" w:lineRule="auto"/>
              <w:jc w:val="center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Quality Assessment Tool</w:t>
            </w:r>
          </w:p>
        </w:tc>
        <w:tc>
          <w:tcPr>
            <w:tcW w:w="0" w:type="auto"/>
            <w:vAlign w:val="center"/>
            <w:hideMark/>
          </w:tcPr>
          <w:p w14:paraId="44000646" w14:textId="77777777" w:rsidR="001615FD" w:rsidRPr="00B66CC9" w:rsidRDefault="001615FD" w:rsidP="0050279A">
            <w:pPr>
              <w:spacing w:line="276" w:lineRule="auto"/>
              <w:jc w:val="center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Key Findings</w:t>
            </w:r>
          </w:p>
        </w:tc>
        <w:tc>
          <w:tcPr>
            <w:tcW w:w="0" w:type="auto"/>
            <w:vAlign w:val="center"/>
            <w:hideMark/>
          </w:tcPr>
          <w:p w14:paraId="4FFD83EB" w14:textId="77777777" w:rsidR="001615FD" w:rsidRPr="00B66CC9" w:rsidRDefault="001615FD" w:rsidP="0050279A">
            <w:pPr>
              <w:spacing w:line="276" w:lineRule="auto"/>
              <w:jc w:val="center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Quality Score</w:t>
            </w:r>
          </w:p>
        </w:tc>
      </w:tr>
      <w:tr w:rsidR="001615FD" w:rsidRPr="00B66CC9" w14:paraId="0E423E74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CDAF04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Style w:val="Strong"/>
                <w:rFonts w:ascii="Georgia" w:eastAsiaTheme="majorEastAsia" w:hAnsi="Georgia"/>
                <w:lang w:val="en-US"/>
              </w:rPr>
              <w:t>Systematic Reviews and Meta-Analyses</w:t>
            </w:r>
          </w:p>
        </w:tc>
        <w:tc>
          <w:tcPr>
            <w:tcW w:w="0" w:type="auto"/>
            <w:vAlign w:val="center"/>
            <w:hideMark/>
          </w:tcPr>
          <w:p w14:paraId="4EC01A4C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[1]</w:t>
            </w:r>
          </w:p>
        </w:tc>
        <w:tc>
          <w:tcPr>
            <w:tcW w:w="0" w:type="auto"/>
            <w:vAlign w:val="center"/>
            <w:hideMark/>
          </w:tcPr>
          <w:p w14:paraId="3ABDBA63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AMSTAR</w:t>
            </w:r>
          </w:p>
        </w:tc>
        <w:tc>
          <w:tcPr>
            <w:tcW w:w="0" w:type="auto"/>
            <w:vAlign w:val="center"/>
            <w:hideMark/>
          </w:tcPr>
          <w:p w14:paraId="1BA44D92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Comprehensive literature search, clear inclusion criteria, variability in study quality addressed</w:t>
            </w:r>
          </w:p>
        </w:tc>
        <w:tc>
          <w:tcPr>
            <w:tcW w:w="0" w:type="auto"/>
            <w:vAlign w:val="center"/>
            <w:hideMark/>
          </w:tcPr>
          <w:p w14:paraId="0940993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2B74E53D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62A476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494BFECF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[7]</w:t>
            </w:r>
          </w:p>
        </w:tc>
        <w:tc>
          <w:tcPr>
            <w:tcW w:w="0" w:type="auto"/>
            <w:vAlign w:val="center"/>
            <w:hideMark/>
          </w:tcPr>
          <w:p w14:paraId="037B3108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AMSTAR</w:t>
            </w:r>
          </w:p>
        </w:tc>
        <w:tc>
          <w:tcPr>
            <w:tcW w:w="0" w:type="auto"/>
            <w:vAlign w:val="center"/>
            <w:hideMark/>
          </w:tcPr>
          <w:p w14:paraId="2814AD9D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Thorough assessment of study quality, transparent data synthesis</w:t>
            </w:r>
          </w:p>
        </w:tc>
        <w:tc>
          <w:tcPr>
            <w:tcW w:w="0" w:type="auto"/>
            <w:vAlign w:val="center"/>
            <w:hideMark/>
          </w:tcPr>
          <w:p w14:paraId="3C55323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6FD19083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8B2CE7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7C46684A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[15]</w:t>
            </w:r>
          </w:p>
        </w:tc>
        <w:tc>
          <w:tcPr>
            <w:tcW w:w="0" w:type="auto"/>
            <w:vAlign w:val="center"/>
            <w:hideMark/>
          </w:tcPr>
          <w:p w14:paraId="341BDEF0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AMSTAR</w:t>
            </w:r>
          </w:p>
        </w:tc>
        <w:tc>
          <w:tcPr>
            <w:tcW w:w="0" w:type="auto"/>
            <w:vAlign w:val="center"/>
            <w:hideMark/>
          </w:tcPr>
          <w:p w14:paraId="2C446100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Rigorous methodology, consistent findings across included studies</w:t>
            </w:r>
          </w:p>
        </w:tc>
        <w:tc>
          <w:tcPr>
            <w:tcW w:w="0" w:type="auto"/>
            <w:vAlign w:val="center"/>
            <w:hideMark/>
          </w:tcPr>
          <w:p w14:paraId="5649FF3C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56884E00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A1EB1F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3FC5F614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[13]</w:t>
            </w:r>
          </w:p>
        </w:tc>
        <w:tc>
          <w:tcPr>
            <w:tcW w:w="0" w:type="auto"/>
            <w:vAlign w:val="center"/>
            <w:hideMark/>
          </w:tcPr>
          <w:p w14:paraId="287E33BC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AMSTAR</w:t>
            </w:r>
          </w:p>
        </w:tc>
        <w:tc>
          <w:tcPr>
            <w:tcW w:w="0" w:type="auto"/>
            <w:vAlign w:val="center"/>
            <w:hideMark/>
          </w:tcPr>
          <w:p w14:paraId="0C937E4E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Comprehensive coverage, some heterogeneity in results</w:t>
            </w:r>
          </w:p>
        </w:tc>
        <w:tc>
          <w:tcPr>
            <w:tcW w:w="0" w:type="auto"/>
            <w:vAlign w:val="center"/>
            <w:hideMark/>
          </w:tcPr>
          <w:p w14:paraId="116122FF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Moderate</w:t>
            </w:r>
          </w:p>
        </w:tc>
      </w:tr>
      <w:tr w:rsidR="001615FD" w:rsidRPr="00B66CC9" w14:paraId="4C3D5377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254D23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200D0A37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[14]</w:t>
            </w:r>
          </w:p>
        </w:tc>
        <w:tc>
          <w:tcPr>
            <w:tcW w:w="0" w:type="auto"/>
            <w:vAlign w:val="center"/>
            <w:hideMark/>
          </w:tcPr>
          <w:p w14:paraId="2F4D92EF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AMSTAR</w:t>
            </w:r>
          </w:p>
        </w:tc>
        <w:tc>
          <w:tcPr>
            <w:tcW w:w="0" w:type="auto"/>
            <w:vAlign w:val="center"/>
            <w:hideMark/>
          </w:tcPr>
          <w:p w14:paraId="4E0AA21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Clear inclusion criteria, consistent with opioid-sparing effects</w:t>
            </w:r>
          </w:p>
        </w:tc>
        <w:tc>
          <w:tcPr>
            <w:tcW w:w="0" w:type="auto"/>
            <w:vAlign w:val="center"/>
            <w:hideMark/>
          </w:tcPr>
          <w:p w14:paraId="08F8CF82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5651357A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B7E0A2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Style w:val="Strong"/>
                <w:rFonts w:ascii="Georgia" w:eastAsiaTheme="majorEastAsia" w:hAnsi="Georgia"/>
              </w:rPr>
              <w:t>Observational Studies</w:t>
            </w:r>
          </w:p>
        </w:tc>
        <w:tc>
          <w:tcPr>
            <w:tcW w:w="0" w:type="auto"/>
            <w:vAlign w:val="center"/>
            <w:hideMark/>
          </w:tcPr>
          <w:p w14:paraId="14318FF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[2]</w:t>
            </w:r>
          </w:p>
        </w:tc>
        <w:tc>
          <w:tcPr>
            <w:tcW w:w="0" w:type="auto"/>
            <w:vAlign w:val="center"/>
            <w:hideMark/>
          </w:tcPr>
          <w:p w14:paraId="4C6D3D97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Newcastle-Ottawa Scale (NOS)</w:t>
            </w:r>
          </w:p>
        </w:tc>
        <w:tc>
          <w:tcPr>
            <w:tcW w:w="0" w:type="auto"/>
            <w:vAlign w:val="center"/>
            <w:hideMark/>
          </w:tcPr>
          <w:p w14:paraId="15E0A68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Representative study groups, valid outcome measures, potential for confounding controlled</w:t>
            </w:r>
          </w:p>
        </w:tc>
        <w:tc>
          <w:tcPr>
            <w:tcW w:w="0" w:type="auto"/>
            <w:vAlign w:val="center"/>
            <w:hideMark/>
          </w:tcPr>
          <w:p w14:paraId="6661F06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Good</w:t>
            </w:r>
          </w:p>
        </w:tc>
      </w:tr>
      <w:tr w:rsidR="001615FD" w:rsidRPr="00B66CC9" w14:paraId="4F1C03D6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7D65C9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59B6890A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[3]</w:t>
            </w:r>
          </w:p>
        </w:tc>
        <w:tc>
          <w:tcPr>
            <w:tcW w:w="0" w:type="auto"/>
            <w:vAlign w:val="center"/>
            <w:hideMark/>
          </w:tcPr>
          <w:p w14:paraId="4AB4273D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Newcastle-Ottawa Scale (NOS)</w:t>
            </w:r>
          </w:p>
        </w:tc>
        <w:tc>
          <w:tcPr>
            <w:tcW w:w="0" w:type="auto"/>
            <w:vAlign w:val="center"/>
            <w:hideMark/>
          </w:tcPr>
          <w:p w14:paraId="7C522A7F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Well-defined cohorts, valid outcome assessments, some potential biases due to self-reported data</w:t>
            </w:r>
          </w:p>
        </w:tc>
        <w:tc>
          <w:tcPr>
            <w:tcW w:w="0" w:type="auto"/>
            <w:vAlign w:val="center"/>
            <w:hideMark/>
          </w:tcPr>
          <w:p w14:paraId="7735341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Moderate</w:t>
            </w:r>
          </w:p>
        </w:tc>
      </w:tr>
      <w:tr w:rsidR="001615FD" w:rsidRPr="00B66CC9" w14:paraId="765752E0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CC0C7A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2F074EB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[20]</w:t>
            </w:r>
          </w:p>
        </w:tc>
        <w:tc>
          <w:tcPr>
            <w:tcW w:w="0" w:type="auto"/>
            <w:vAlign w:val="center"/>
            <w:hideMark/>
          </w:tcPr>
          <w:p w14:paraId="46642E6E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Newcastle-Ottawa Scale (NOS)</w:t>
            </w:r>
          </w:p>
        </w:tc>
        <w:tc>
          <w:tcPr>
            <w:tcW w:w="0" w:type="auto"/>
            <w:vAlign w:val="center"/>
            <w:hideMark/>
          </w:tcPr>
          <w:p w14:paraId="0C5616C8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Prospective design, comprehensive data collection, potential attrition bias</w:t>
            </w:r>
          </w:p>
        </w:tc>
        <w:tc>
          <w:tcPr>
            <w:tcW w:w="0" w:type="auto"/>
            <w:vAlign w:val="center"/>
            <w:hideMark/>
          </w:tcPr>
          <w:p w14:paraId="5DB4A629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Good</w:t>
            </w:r>
          </w:p>
        </w:tc>
      </w:tr>
      <w:tr w:rsidR="001615FD" w:rsidRPr="00B66CC9" w14:paraId="1F9386ED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134F5E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Style w:val="Strong"/>
                <w:rFonts w:ascii="Georgia" w:eastAsiaTheme="majorEastAsia" w:hAnsi="Georgia"/>
              </w:rPr>
              <w:t>Randomized Controlled Trials</w:t>
            </w:r>
          </w:p>
        </w:tc>
        <w:tc>
          <w:tcPr>
            <w:tcW w:w="0" w:type="auto"/>
            <w:vAlign w:val="center"/>
            <w:hideMark/>
          </w:tcPr>
          <w:p w14:paraId="72D88384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[9]</w:t>
            </w:r>
          </w:p>
        </w:tc>
        <w:tc>
          <w:tcPr>
            <w:tcW w:w="0" w:type="auto"/>
            <w:vAlign w:val="center"/>
            <w:hideMark/>
          </w:tcPr>
          <w:p w14:paraId="773A4BE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Cochrane Risk of Bias Tool</w:t>
            </w:r>
          </w:p>
        </w:tc>
        <w:tc>
          <w:tcPr>
            <w:tcW w:w="0" w:type="auto"/>
            <w:vAlign w:val="center"/>
            <w:hideMark/>
          </w:tcPr>
          <w:p w14:paraId="127E9498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Appropriate randomization, blinding, handling of incomplete data</w:t>
            </w:r>
          </w:p>
        </w:tc>
        <w:tc>
          <w:tcPr>
            <w:tcW w:w="0" w:type="auto"/>
            <w:vAlign w:val="center"/>
            <w:hideMark/>
          </w:tcPr>
          <w:p w14:paraId="1D173D33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66F7BD8B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BEAD1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535C410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[22]</w:t>
            </w:r>
          </w:p>
        </w:tc>
        <w:tc>
          <w:tcPr>
            <w:tcW w:w="0" w:type="auto"/>
            <w:vAlign w:val="center"/>
            <w:hideMark/>
          </w:tcPr>
          <w:p w14:paraId="153748A4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Cochrane Risk of Bias Tool</w:t>
            </w:r>
          </w:p>
        </w:tc>
        <w:tc>
          <w:tcPr>
            <w:tcW w:w="0" w:type="auto"/>
            <w:vAlign w:val="center"/>
            <w:hideMark/>
          </w:tcPr>
          <w:p w14:paraId="04EA7DA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Adequate randomization and blinding, some issues with selective reporting</w:t>
            </w:r>
          </w:p>
        </w:tc>
        <w:tc>
          <w:tcPr>
            <w:tcW w:w="0" w:type="auto"/>
            <w:vAlign w:val="center"/>
            <w:hideMark/>
          </w:tcPr>
          <w:p w14:paraId="32E3C48A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Moderate</w:t>
            </w:r>
          </w:p>
        </w:tc>
      </w:tr>
      <w:tr w:rsidR="001615FD" w:rsidRPr="00B66CC9" w14:paraId="2FCF76CF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2F6E6A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3BABA81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[26]</w:t>
            </w:r>
          </w:p>
        </w:tc>
        <w:tc>
          <w:tcPr>
            <w:tcW w:w="0" w:type="auto"/>
            <w:vAlign w:val="center"/>
            <w:hideMark/>
          </w:tcPr>
          <w:p w14:paraId="435C03B9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Cochrane Risk of Bias Tool</w:t>
            </w:r>
          </w:p>
        </w:tc>
        <w:tc>
          <w:tcPr>
            <w:tcW w:w="0" w:type="auto"/>
            <w:vAlign w:val="center"/>
            <w:hideMark/>
          </w:tcPr>
          <w:p w14:paraId="3C079EBC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Proper randomization and allocation concealment, minimal bias</w:t>
            </w:r>
          </w:p>
        </w:tc>
        <w:tc>
          <w:tcPr>
            <w:tcW w:w="0" w:type="auto"/>
            <w:vAlign w:val="center"/>
            <w:hideMark/>
          </w:tcPr>
          <w:p w14:paraId="0B615390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59BD0A3D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0D9F38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Style w:val="Strong"/>
                <w:rFonts w:ascii="Georgia" w:eastAsiaTheme="majorEastAsia" w:hAnsi="Georgia"/>
                <w:lang w:val="en-US"/>
              </w:rPr>
              <w:t>Narrative Reviews and Clinical Practice Guidelines</w:t>
            </w:r>
          </w:p>
        </w:tc>
        <w:tc>
          <w:tcPr>
            <w:tcW w:w="0" w:type="auto"/>
            <w:vAlign w:val="center"/>
            <w:hideMark/>
          </w:tcPr>
          <w:p w14:paraId="36A1EDC7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[16]</w:t>
            </w:r>
          </w:p>
        </w:tc>
        <w:tc>
          <w:tcPr>
            <w:tcW w:w="0" w:type="auto"/>
            <w:vAlign w:val="center"/>
            <w:hideMark/>
          </w:tcPr>
          <w:p w14:paraId="7D2BBB3D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Methodological rigor and relevance</w:t>
            </w:r>
          </w:p>
        </w:tc>
        <w:tc>
          <w:tcPr>
            <w:tcW w:w="0" w:type="auto"/>
            <w:vAlign w:val="center"/>
            <w:hideMark/>
          </w:tcPr>
          <w:p w14:paraId="11BB0C19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Comprehensive coverage, evidence-based recommendations, clear and relevant</w:t>
            </w:r>
          </w:p>
        </w:tc>
        <w:tc>
          <w:tcPr>
            <w:tcW w:w="0" w:type="auto"/>
            <w:vAlign w:val="center"/>
            <w:hideMark/>
          </w:tcPr>
          <w:p w14:paraId="4FCBD527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High</w:t>
            </w:r>
          </w:p>
        </w:tc>
      </w:tr>
      <w:tr w:rsidR="001615FD" w:rsidRPr="00B66CC9" w14:paraId="4649B15F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3EB488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14:paraId="34A08E3D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[10]</w:t>
            </w:r>
          </w:p>
        </w:tc>
        <w:tc>
          <w:tcPr>
            <w:tcW w:w="0" w:type="auto"/>
            <w:vAlign w:val="center"/>
            <w:hideMark/>
          </w:tcPr>
          <w:p w14:paraId="0E7D82EB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Methodological rigor and relevance</w:t>
            </w:r>
          </w:p>
        </w:tc>
        <w:tc>
          <w:tcPr>
            <w:tcW w:w="0" w:type="auto"/>
            <w:vAlign w:val="center"/>
            <w:hideMark/>
          </w:tcPr>
          <w:p w14:paraId="0014332A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Broad insights into mechanisms, applicable recommendations</w:t>
            </w:r>
          </w:p>
        </w:tc>
        <w:tc>
          <w:tcPr>
            <w:tcW w:w="0" w:type="auto"/>
            <w:vAlign w:val="center"/>
            <w:hideMark/>
          </w:tcPr>
          <w:p w14:paraId="21FB71CE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Moderate</w:t>
            </w:r>
          </w:p>
        </w:tc>
      </w:tr>
      <w:tr w:rsidR="001615FD" w:rsidRPr="00B66CC9" w14:paraId="36410D41" w14:textId="77777777" w:rsidTr="005027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266035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Style w:val="Strong"/>
                <w:rFonts w:ascii="Georgia" w:eastAsiaTheme="majorEastAsia" w:hAnsi="Georgia"/>
              </w:rPr>
              <w:t>Surveys</w:t>
            </w:r>
          </w:p>
        </w:tc>
        <w:tc>
          <w:tcPr>
            <w:tcW w:w="0" w:type="auto"/>
            <w:vAlign w:val="center"/>
            <w:hideMark/>
          </w:tcPr>
          <w:p w14:paraId="1F458ACD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[23]</w:t>
            </w:r>
          </w:p>
        </w:tc>
        <w:tc>
          <w:tcPr>
            <w:tcW w:w="0" w:type="auto"/>
            <w:vAlign w:val="center"/>
            <w:hideMark/>
          </w:tcPr>
          <w:p w14:paraId="49EAA121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Survey design and relevance</w:t>
            </w:r>
          </w:p>
        </w:tc>
        <w:tc>
          <w:tcPr>
            <w:tcW w:w="0" w:type="auto"/>
            <w:vAlign w:val="center"/>
            <w:hideMark/>
          </w:tcPr>
          <w:p w14:paraId="493453D7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B66CC9">
              <w:rPr>
                <w:rFonts w:ascii="Georgia" w:hAnsi="Georgia"/>
                <w:lang w:val="en-US"/>
              </w:rPr>
              <w:t>Diverse professional opinions, supportive of clinical use, limited by self-selection bias</w:t>
            </w:r>
          </w:p>
        </w:tc>
        <w:tc>
          <w:tcPr>
            <w:tcW w:w="0" w:type="auto"/>
            <w:vAlign w:val="center"/>
            <w:hideMark/>
          </w:tcPr>
          <w:p w14:paraId="77814BAC" w14:textId="77777777" w:rsidR="001615FD" w:rsidRPr="00B66CC9" w:rsidRDefault="001615FD" w:rsidP="0050279A">
            <w:pPr>
              <w:spacing w:line="276" w:lineRule="auto"/>
              <w:rPr>
                <w:rFonts w:ascii="Georgia" w:hAnsi="Georgia"/>
              </w:rPr>
            </w:pPr>
            <w:r w:rsidRPr="00B66CC9">
              <w:rPr>
                <w:rFonts w:ascii="Georgia" w:hAnsi="Georgia"/>
              </w:rPr>
              <w:t>Good</w:t>
            </w:r>
          </w:p>
        </w:tc>
      </w:tr>
    </w:tbl>
    <w:p w14:paraId="78A6558B" w14:textId="77777777" w:rsidR="001615FD" w:rsidRPr="00AF7AC6" w:rsidRDefault="001615FD" w:rsidP="001615FD">
      <w:pPr>
        <w:spacing w:before="100" w:beforeAutospacing="1" w:after="100" w:afterAutospacing="1" w:line="276" w:lineRule="auto"/>
        <w:outlineLvl w:val="2"/>
        <w:rPr>
          <w:rFonts w:ascii="Georgia" w:hAnsi="Georgia"/>
          <w:i/>
          <w:iCs/>
          <w:sz w:val="20"/>
          <w:szCs w:val="20"/>
          <w:lang w:val="en-US"/>
        </w:rPr>
      </w:pPr>
      <w:r w:rsidRPr="00B66CC9">
        <w:rPr>
          <w:rFonts w:ascii="Georgia" w:hAnsi="Georgia"/>
          <w:i/>
          <w:iCs/>
          <w:sz w:val="20"/>
          <w:szCs w:val="20"/>
          <w:lang w:val="en-US"/>
        </w:rPr>
        <w:t xml:space="preserve">Table </w:t>
      </w:r>
      <w:r>
        <w:rPr>
          <w:rFonts w:ascii="Georgia" w:hAnsi="Georgia"/>
          <w:i/>
          <w:iCs/>
          <w:sz w:val="20"/>
          <w:szCs w:val="20"/>
          <w:lang w:val="en-US"/>
        </w:rPr>
        <w:t>13</w:t>
      </w:r>
      <w:r w:rsidRPr="00B66CC9">
        <w:rPr>
          <w:rFonts w:ascii="Georgia" w:hAnsi="Georgia"/>
          <w:i/>
          <w:iCs/>
          <w:sz w:val="20"/>
          <w:szCs w:val="20"/>
          <w:lang w:val="en-US"/>
        </w:rPr>
        <w:t>: Quality Assessment Results</w:t>
      </w:r>
    </w:p>
    <w:p w14:paraId="35EE3BD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B75EA"/>
    <w:multiLevelType w:val="multilevel"/>
    <w:tmpl w:val="BECE9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60A38"/>
    <w:multiLevelType w:val="multilevel"/>
    <w:tmpl w:val="8D72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7EF7"/>
    <w:multiLevelType w:val="multilevel"/>
    <w:tmpl w:val="A200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DF0866"/>
    <w:multiLevelType w:val="multilevel"/>
    <w:tmpl w:val="A51A64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B40694"/>
    <w:multiLevelType w:val="multilevel"/>
    <w:tmpl w:val="A51A64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D61067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151691"/>
    <w:multiLevelType w:val="multilevel"/>
    <w:tmpl w:val="B9903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B11EF7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1CF75A1"/>
    <w:multiLevelType w:val="multilevel"/>
    <w:tmpl w:val="A51A64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12705A"/>
    <w:multiLevelType w:val="multilevel"/>
    <w:tmpl w:val="FBAA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544359">
    <w:abstractNumId w:val="6"/>
  </w:num>
  <w:num w:numId="2" w16cid:durableId="990018990">
    <w:abstractNumId w:val="2"/>
  </w:num>
  <w:num w:numId="3" w16cid:durableId="1854878963">
    <w:abstractNumId w:val="1"/>
  </w:num>
  <w:num w:numId="4" w16cid:durableId="377168426">
    <w:abstractNumId w:val="0"/>
  </w:num>
  <w:num w:numId="5" w16cid:durableId="2012024442">
    <w:abstractNumId w:val="5"/>
  </w:num>
  <w:num w:numId="6" w16cid:durableId="1470853677">
    <w:abstractNumId w:val="3"/>
  </w:num>
  <w:num w:numId="7" w16cid:durableId="1707488020">
    <w:abstractNumId w:val="8"/>
  </w:num>
  <w:num w:numId="8" w16cid:durableId="521669993">
    <w:abstractNumId w:val="4"/>
  </w:num>
  <w:num w:numId="9" w16cid:durableId="867186036">
    <w:abstractNumId w:val="7"/>
  </w:num>
  <w:num w:numId="10" w16cid:durableId="20348461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5FD"/>
    <w:rsid w:val="001615FD"/>
    <w:rsid w:val="00331A6B"/>
    <w:rsid w:val="00755780"/>
    <w:rsid w:val="00857596"/>
    <w:rsid w:val="00EF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AD129"/>
  <w15:chartTrackingRefBased/>
  <w15:docId w15:val="{8D20A617-FC04-4411-B531-D6C009C9D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5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15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5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15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615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5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5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5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5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5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5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5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15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615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5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5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5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5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5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5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5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5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5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5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5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5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5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5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5F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615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1615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475</Words>
  <Characters>2714</Characters>
  <Application>Microsoft Office Word</Application>
  <DocSecurity>0</DocSecurity>
  <Lines>22</Lines>
  <Paragraphs>6</Paragraphs>
  <ScaleCrop>false</ScaleCrop>
  <Company>Springer Nature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2024-07-17T08:51:00Z</dcterms:created>
  <dcterms:modified xsi:type="dcterms:W3CDTF">2024-07-17T08:53:00Z</dcterms:modified>
</cp:coreProperties>
</file>