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B10AD" w14:textId="77777777" w:rsidR="001168D7" w:rsidRPr="0084578C" w:rsidRDefault="001168D7" w:rsidP="001168D7">
      <w:r>
        <w:rPr>
          <w:noProof/>
        </w:rPr>
        <w:drawing>
          <wp:inline distT="0" distB="0" distL="0" distR="0" wp14:anchorId="47C85677" wp14:editId="6BA9E0DB">
            <wp:extent cx="6332220" cy="3824605"/>
            <wp:effectExtent l="0" t="0" r="0" b="4445"/>
            <wp:docPr id="3" name="Picture 3" descr="Chart, diagram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ta diversity with sow i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B92B8" w14:textId="77777777" w:rsidR="001168D7" w:rsidRPr="003B5C38" w:rsidRDefault="001168D7" w:rsidP="001168D7">
      <w:pPr>
        <w:pStyle w:val="Caption"/>
        <w:spacing w:line="360" w:lineRule="auto"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3B5C3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Additional file 3. 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>Principal coordinates analysis (PCoA) of Bray-</w:t>
      </w:r>
      <w:proofErr w:type="gramStart"/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>Curtis</w:t>
      </w:r>
      <w:proofErr w:type="gramEnd"/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dissimilarity between the Control and Probiotic group on day 35. Bray-</w:t>
      </w:r>
      <w:proofErr w:type="gramStart"/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>Curtis</w:t>
      </w:r>
      <w:proofErr w:type="gramEnd"/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distance metrics were used to compare the composition of the microbiota between the two treatment groups in </w:t>
      </w:r>
      <w:r w:rsidRPr="003B5C3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a)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small intestinal mucosa, </w:t>
      </w:r>
      <w:r w:rsidRPr="003B5C3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b)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digesta of the proximal colon, and feces in round </w:t>
      </w:r>
      <w:r w:rsidRPr="003B5C3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c)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1, </w:t>
      </w:r>
      <w:r w:rsidRPr="003B5C3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d)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2, and </w:t>
      </w:r>
      <w:r w:rsidRPr="003B5C3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e)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3. Nested permutational multivariate analysis of variance (PERMANOVA) on Bray-</w:t>
      </w:r>
      <w:proofErr w:type="gramStart"/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>Curtis</w:t>
      </w:r>
      <w:proofErr w:type="gramEnd"/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distance metrics with sow ID nested with treatment group was carried out using 999 permutations to test for significance of clustering pattern. </w:t>
      </w:r>
      <w:bookmarkStart w:id="0" w:name="_Hlk67232584"/>
      <w:r w:rsidRPr="003B5C38">
        <w:rPr>
          <w:rFonts w:ascii="Arial" w:hAnsi="Arial" w:cs="Arial"/>
          <w:color w:val="auto"/>
          <w:sz w:val="22"/>
          <w:szCs w:val="22"/>
        </w:rPr>
        <w:t>P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>-values for the effect of sow are illustrated.</w:t>
      </w:r>
      <w:bookmarkEnd w:id="0"/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Pr="00AA50AB">
        <w:rPr>
          <w:rFonts w:ascii="Arial" w:hAnsi="Arial" w:cs="Arial"/>
          <w:color w:val="auto"/>
          <w:sz w:val="22"/>
          <w:szCs w:val="22"/>
        </w:rPr>
        <w:t>P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>&lt;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0.05 was considered significant whereas </w:t>
      </w:r>
      <w:r w:rsidRPr="00AA50AB">
        <w:rPr>
          <w:rFonts w:ascii="Arial" w:hAnsi="Arial" w:cs="Arial"/>
          <w:color w:val="auto"/>
          <w:sz w:val="22"/>
          <w:szCs w:val="22"/>
        </w:rPr>
        <w:t>P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>&lt;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Pr="003B5C38">
        <w:rPr>
          <w:rFonts w:ascii="Arial" w:hAnsi="Arial" w:cs="Arial"/>
          <w:i w:val="0"/>
          <w:iCs w:val="0"/>
          <w:color w:val="auto"/>
          <w:sz w:val="22"/>
          <w:szCs w:val="22"/>
        </w:rPr>
        <w:t>0.10 was considered as a statistical tendency.</w:t>
      </w:r>
    </w:p>
    <w:p w14:paraId="47FBFB63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1168D7"/>
    <w:rsid w:val="00002AC2"/>
    <w:rsid w:val="00091D0F"/>
    <w:rsid w:val="000C49E6"/>
    <w:rsid w:val="000F4A1D"/>
    <w:rsid w:val="00104BA3"/>
    <w:rsid w:val="001168D7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96F65"/>
  <w15:chartTrackingRefBased/>
  <w15:docId w15:val="{7B64DC9F-9FAE-45FC-9AC4-225200DB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1168D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35p2j2d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35p2j2dv</Template>
  <TotalTime>1</TotalTime>
  <Pages>1</Pages>
  <Words>113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2024-07-13T12:10:00Z</dcterms:created>
  <dcterms:modified xsi:type="dcterms:W3CDTF">2024-07-13T12:11:00Z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