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79DEC" w14:textId="77777777" w:rsidR="00D52ECF" w:rsidRDefault="00D52ECF" w:rsidP="00D52ECF">
      <w:pPr>
        <w:rPr>
          <w:u w:val="single"/>
        </w:rPr>
      </w:pPr>
      <w:r w:rsidRPr="00F03155">
        <w:rPr>
          <w:rFonts w:hint="eastAsia"/>
          <w:u w:val="single"/>
        </w:rPr>
        <w:t>table.3</w:t>
      </w:r>
    </w:p>
    <w:p w14:paraId="56321CFB" w14:textId="77777777" w:rsidR="00D52ECF" w:rsidRDefault="00D52ECF" w:rsidP="00D52ECF">
      <w:r w:rsidRPr="00F03155">
        <w:rPr>
          <w:rFonts w:hint="eastAsia"/>
        </w:rPr>
        <w:t>Multivariate analysis of risk factors for CVEs</w:t>
      </w:r>
    </w:p>
    <w:p w14:paraId="70200884" w14:textId="75EA2F55" w:rsidR="00D52ECF" w:rsidRDefault="00D52ECF" w:rsidP="00D52ECF">
      <w:r>
        <w:rPr>
          <w:noProof/>
        </w:rPr>
        <w:drawing>
          <wp:inline distT="0" distB="0" distL="0" distR="0" wp14:anchorId="117F575A" wp14:editId="46BA58B7">
            <wp:extent cx="4755515" cy="2304415"/>
            <wp:effectExtent l="0" t="0" r="6985" b="0"/>
            <wp:docPr id="124718363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515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2ECF" w:rsidSect="00EB011E"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ECF"/>
    <w:rsid w:val="00330D7D"/>
    <w:rsid w:val="009742D7"/>
    <w:rsid w:val="00D52ECF"/>
    <w:rsid w:val="00E17765"/>
    <w:rsid w:val="00EB011E"/>
    <w:rsid w:val="00F8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EE2C2B"/>
  <w15:chartTrackingRefBased/>
  <w15:docId w15:val="{DBC812C2-161C-4BFE-AD98-50A7C52AD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52EC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2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2E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2EC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2EC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2EC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2EC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2EC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2EC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52EC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52EC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52EC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52E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52E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52E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52E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52E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52EC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52EC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52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2EC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52E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2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52E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2EC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52EC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52E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52EC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52E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84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tarou takahashi</dc:creator>
  <cp:keywords/>
  <dc:description/>
  <cp:lastModifiedBy>tarou takahashi</cp:lastModifiedBy>
  <cp:revision>1</cp:revision>
  <dcterms:created xsi:type="dcterms:W3CDTF">2024-07-13T08:06:00Z</dcterms:created>
  <dcterms:modified xsi:type="dcterms:W3CDTF">2024-07-13T08:08:00Z</dcterms:modified>
</cp:coreProperties>
</file>