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F9FBE3" w14:textId="77777777" w:rsidR="005C45D3" w:rsidRPr="006112B9" w:rsidRDefault="005C45D3" w:rsidP="005C45D3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6112B9">
        <w:rPr>
          <w:rFonts w:ascii="Times New Roman" w:hAnsi="Times New Roman" w:cs="Times New Roman" w:hint="eastAsia"/>
          <w:b/>
          <w:bCs/>
          <w:sz w:val="24"/>
          <w:szCs w:val="24"/>
        </w:rPr>
        <w:t>Western blot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ting analysis</w:t>
      </w:r>
      <w:r w:rsidRPr="006112B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and Co-IP</w:t>
      </w:r>
    </w:p>
    <w:p w14:paraId="30410570" w14:textId="77777777" w:rsidR="005C45D3" w:rsidRDefault="005C45D3" w:rsidP="005C45D3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Proteins were extracted from the cells, and total protein lysates were separated by SDS-PAGE on 8% SDS-acrylamide gels, transferred to PVDF membranes (Millipore), and then incubated with primary antibodies, followed by incubation with an HRP-conjugated secondary antibody (Zhongshan Bio Corp) (Table S3). For the co-IP assay, cells were lysed using Western and IP lysis buffer (Beyotime Biotechnology, China) and incubated with 40 µl of protein-A/G PLUS agarose beads (Millipore, USA) and 1 µg of antibodies at 4 </w:t>
      </w:r>
      <w:r>
        <w:rPr>
          <w:rFonts w:ascii="Times New Roman" w:hAnsi="Times New Roman" w:cs="Times New Roman" w:hint="eastAsia"/>
          <w:sz w:val="24"/>
          <w:szCs w:val="24"/>
        </w:rPr>
        <w:t>°</w:t>
      </w:r>
      <w:r>
        <w:rPr>
          <w:rFonts w:ascii="Times New Roman" w:hAnsi="Times New Roman" w:cs="Times New Roman" w:hint="eastAsia"/>
          <w:sz w:val="24"/>
          <w:szCs w:val="24"/>
        </w:rPr>
        <w:t>C overnight. After washing the samples three times with RIPA buffer, they were analyzed by Western blotting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97A6896" w14:textId="77777777" w:rsidR="005C45D3" w:rsidRDefault="005C45D3" w:rsidP="005C45D3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Immunohistochemistry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HE staining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, and </w:t>
      </w:r>
      <w:r>
        <w:rPr>
          <w:rFonts w:ascii="Times New Roman" w:hAnsi="Times New Roman" w:cs="Times New Roman"/>
          <w:b/>
          <w:bCs/>
          <w:sz w:val="24"/>
          <w:szCs w:val="24"/>
        </w:rPr>
        <w:t>Quantitative real-time PCR</w:t>
      </w:r>
      <w:r>
        <w:rPr>
          <w:rFonts w:ascii="Times New Roman" w:hAnsi="Times New Roman" w:cs="Times New Roman" w:hint="eastAsia"/>
          <w:sz w:val="24"/>
          <w:szCs w:val="24"/>
        </w:rPr>
        <w:t xml:space="preserve">                                            </w:t>
      </w:r>
    </w:p>
    <w:p w14:paraId="780B2698" w14:textId="77777777" w:rsidR="005C45D3" w:rsidRDefault="005C45D3" w:rsidP="005C45D3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 w:hint="eastAsia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tological sections of tumor xenografts and patient tumor tissues were excised and fixed in 10% neutral buffered formalin. Assays were performed according to established protocols, and slides were analyzed using National Institutes of Health (NIH) ImageJ software. </w:t>
      </w:r>
      <w:r>
        <w:rPr>
          <w:rFonts w:ascii="Times New Roman" w:hAnsi="Times New Roman" w:cs="Times New Roman" w:hint="eastAsia"/>
          <w:sz w:val="24"/>
          <w:szCs w:val="24"/>
        </w:rPr>
        <w:t xml:space="preserve">                                                                                                                </w:t>
      </w:r>
    </w:p>
    <w:p w14:paraId="5ED488D5" w14:textId="77777777" w:rsidR="005C45D3" w:rsidRDefault="005C45D3" w:rsidP="005C45D3">
      <w:pPr>
        <w:widowControl/>
        <w:spacing w:line="480" w:lineRule="auto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Total RNA was extracted using TRIzol reagent (Invitrogen) following the manufacturer’s instructions. cDNA synthesis was performed using a PrimeScript RT Reagent Kit (TaKaRa, Tokyo, Japan) according to the manufacturer's instructions. Real-time PCR amplification was conducted with SYBR Premix Ex Taq (TaKaRa, Japan) on Hard-Shell PCR Plates (Bio-Rad). The relative quantity of each target gene was normalized to an endogenous control (GAPDH). qPCR and analyses were performed using a CFX Connect Real-Time PCR Detection System (Bio-Rad). PCR </w:t>
      </w:r>
      <w:r>
        <w:rPr>
          <w:rFonts w:ascii="Times New Roman" w:hAnsi="Times New Roman" w:cs="Times New Roman"/>
          <w:sz w:val="24"/>
          <w:szCs w:val="24"/>
        </w:rPr>
        <w:lastRenderedPageBreak/>
        <w:t>primers were designed and synthesized using NCBI primer-blast, with primer sequences listed in Table S4.</w:t>
      </w:r>
    </w:p>
    <w:p w14:paraId="1E07251B" w14:textId="77777777" w:rsidR="005C45D3" w:rsidRDefault="005C45D3" w:rsidP="005C45D3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Cell proliferation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and T</w:t>
      </w:r>
      <w:r>
        <w:rPr>
          <w:rFonts w:ascii="Times New Roman" w:hAnsi="Times New Roman" w:cs="Times New Roman"/>
          <w:b/>
          <w:bCs/>
          <w:sz w:val="24"/>
          <w:szCs w:val="24"/>
        </w:rPr>
        <w:t>ranswell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assay</w:t>
      </w:r>
    </w:p>
    <w:p w14:paraId="13274066" w14:textId="77777777" w:rsidR="005C45D3" w:rsidRDefault="005C45D3" w:rsidP="005C45D3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Cell proliferation was measured using the Cell Counting Kit-8 (CCK-8, Dojindo, Japan) assay. Briefly, cells were seeded at a density of 5 ×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cells per well in 96-well plates. Cell viability was assessed using CCK-8 at 24, 48, and 72 hours after transfection, with absorbance measured at 450 nm using a plate reader. The Transwell assay was performed with Matrigel-coated Transwell membranes (Millipore Millicell Hanging Cell Culture Insert, 8 μm). A total of 4 ×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cells were added to each chamber in serum-free culture medium and placed in a 12-well plate containing 10% FBS. After treatment and incubation, cells on the membrane were counted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41274695" w14:textId="77777777" w:rsidR="00660FAD" w:rsidRPr="005C45D3" w:rsidRDefault="00660FAD"/>
    <w:sectPr w:rsidR="00660FAD" w:rsidRPr="005C45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D5BD35" w14:textId="77777777" w:rsidR="004D632B" w:rsidRDefault="004D632B" w:rsidP="005C45D3">
      <w:r>
        <w:separator/>
      </w:r>
    </w:p>
  </w:endnote>
  <w:endnote w:type="continuationSeparator" w:id="0">
    <w:p w14:paraId="7350D4E9" w14:textId="77777777" w:rsidR="004D632B" w:rsidRDefault="004D632B" w:rsidP="005C45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85B7D1" w14:textId="77777777" w:rsidR="004D632B" w:rsidRDefault="004D632B" w:rsidP="005C45D3">
      <w:r>
        <w:separator/>
      </w:r>
    </w:p>
  </w:footnote>
  <w:footnote w:type="continuationSeparator" w:id="0">
    <w:p w14:paraId="034011F6" w14:textId="77777777" w:rsidR="004D632B" w:rsidRDefault="004D632B" w:rsidP="005C45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0DB2"/>
    <w:rsid w:val="000B1811"/>
    <w:rsid w:val="003A6BA1"/>
    <w:rsid w:val="00424250"/>
    <w:rsid w:val="004D632B"/>
    <w:rsid w:val="005C45D3"/>
    <w:rsid w:val="00660FAD"/>
    <w:rsid w:val="00CB0DB2"/>
    <w:rsid w:val="00FE4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C6A510A3-8FD0-4EE1-BFE4-DAC30C5BC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45D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B0DB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B0D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B0DB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0DB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B0DB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B0DB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B0DB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B0DB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B0DB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B0DB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B0D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B0D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B0DB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B0DB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B0DB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B0DB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B0DB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B0DB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B0DB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B0D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B0DB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B0DB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B0DB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B0D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B0D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B0DB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B0D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B0DB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B0DB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C45D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C45D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C4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C45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371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e6784</dc:creator>
  <cp:keywords/>
  <dc:description/>
  <cp:lastModifiedBy>e6784</cp:lastModifiedBy>
  <cp:revision>1</cp:revision>
  <dcterms:created xsi:type="dcterms:W3CDTF">2024-07-11T15:15:00Z</dcterms:created>
  <dcterms:modified xsi:type="dcterms:W3CDTF">2024-07-13T01:27:00Z</dcterms:modified>
</cp:coreProperties>
</file>