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7C44D" w14:textId="61708C26" w:rsidR="00104D82" w:rsidRPr="007227AB" w:rsidRDefault="008C75DC" w:rsidP="00104D82">
      <w:pPr>
        <w:rPr>
          <w:b/>
          <w:bCs/>
          <w:sz w:val="24"/>
        </w:rPr>
      </w:pPr>
      <w:r w:rsidRPr="007227AB">
        <w:rPr>
          <w:b/>
          <w:bCs/>
          <w:sz w:val="24"/>
        </w:rPr>
        <w:t xml:space="preserve">Online </w:t>
      </w:r>
      <w:r w:rsidR="00104D82" w:rsidRPr="007227AB">
        <w:rPr>
          <w:b/>
          <w:bCs/>
          <w:sz w:val="24"/>
        </w:rPr>
        <w:t xml:space="preserve">Supplementary </w:t>
      </w:r>
      <w:r w:rsidRPr="007227AB">
        <w:rPr>
          <w:b/>
          <w:bCs/>
          <w:sz w:val="24"/>
        </w:rPr>
        <w:t>Information</w:t>
      </w:r>
    </w:p>
    <w:p w14:paraId="008F4D44" w14:textId="10EF3E59" w:rsidR="00EC43A3" w:rsidRPr="007227AB" w:rsidRDefault="00104D82">
      <w:pPr>
        <w:rPr>
          <w:sz w:val="24"/>
        </w:rPr>
      </w:pPr>
      <w:r w:rsidRPr="007227AB">
        <w:rPr>
          <w:sz w:val="24"/>
        </w:rPr>
        <w:t xml:space="preserve">Below is the link to the </w:t>
      </w:r>
      <w:r w:rsidR="008C75DC" w:rsidRPr="007227AB">
        <w:rPr>
          <w:sz w:val="24"/>
        </w:rPr>
        <w:t>online s</w:t>
      </w:r>
      <w:r w:rsidRPr="007227AB">
        <w:rPr>
          <w:sz w:val="24"/>
        </w:rPr>
        <w:t xml:space="preserve">upplementary </w:t>
      </w:r>
      <w:r w:rsidR="008C75DC" w:rsidRPr="007227AB">
        <w:rPr>
          <w:sz w:val="24"/>
        </w:rPr>
        <w:t>Information</w:t>
      </w:r>
      <w:r w:rsidRPr="007227AB">
        <w:rPr>
          <w:sz w:val="24"/>
        </w:rPr>
        <w:t>.</w:t>
      </w:r>
      <w:r w:rsidRPr="007227AB" w:rsidDel="00104D82">
        <w:rPr>
          <w:sz w:val="24"/>
        </w:rPr>
        <w:t xml:space="preserve"> </w:t>
      </w:r>
    </w:p>
    <w:p w14:paraId="5ABD0AE2" w14:textId="42482F45" w:rsidR="00D30F87" w:rsidRPr="007227AB" w:rsidRDefault="00D30F87" w:rsidP="005D291B">
      <w:pPr>
        <w:rPr>
          <w:sz w:val="24"/>
        </w:rPr>
      </w:pPr>
    </w:p>
    <w:p w14:paraId="406B5D6A" w14:textId="7C9C05F1" w:rsidR="005112BE" w:rsidRPr="007227AB" w:rsidRDefault="005112BE" w:rsidP="005D291B">
      <w:pPr>
        <w:rPr>
          <w:b/>
          <w:bCs/>
          <w:sz w:val="24"/>
        </w:rPr>
      </w:pPr>
      <w:r w:rsidRPr="007227AB">
        <w:rPr>
          <w:b/>
          <w:bCs/>
          <w:sz w:val="24"/>
        </w:rPr>
        <w:t>Phage isolation</w:t>
      </w:r>
      <w:r w:rsidR="0062158E" w:rsidRPr="007227AB">
        <w:rPr>
          <w:b/>
          <w:bCs/>
          <w:sz w:val="24"/>
        </w:rPr>
        <w:t>, DNA extraction, electron microscopy</w:t>
      </w:r>
      <w:r w:rsidR="00266111" w:rsidRPr="007227AB">
        <w:rPr>
          <w:b/>
          <w:bCs/>
          <w:sz w:val="24"/>
        </w:rPr>
        <w:t xml:space="preserve"> observation</w:t>
      </w:r>
      <w:r w:rsidR="0062158E" w:rsidRPr="007227AB">
        <w:rPr>
          <w:b/>
          <w:bCs/>
          <w:sz w:val="24"/>
        </w:rPr>
        <w:t>, and host range analysis</w:t>
      </w:r>
    </w:p>
    <w:p w14:paraId="479C80AC" w14:textId="3FA3D1A6" w:rsidR="005112BE" w:rsidRPr="007227AB" w:rsidRDefault="005112BE" w:rsidP="00BD4A5F">
      <w:pPr>
        <w:ind w:firstLineChars="250" w:firstLine="600"/>
        <w:rPr>
          <w:sz w:val="24"/>
        </w:rPr>
      </w:pPr>
      <w:r w:rsidRPr="007227AB">
        <w:rPr>
          <w:sz w:val="24"/>
        </w:rPr>
        <w:t>Phages were isolated from leaf litter compost</w:t>
      </w:r>
      <w:r w:rsidR="008C75DC" w:rsidRPr="007227AB">
        <w:rPr>
          <w:sz w:val="24"/>
        </w:rPr>
        <w:t>,</w:t>
      </w:r>
      <w:r w:rsidRPr="007227AB">
        <w:rPr>
          <w:sz w:val="24"/>
        </w:rPr>
        <w:t xml:space="preserve"> </w:t>
      </w:r>
      <w:r w:rsidR="008C75DC" w:rsidRPr="007227AB">
        <w:rPr>
          <w:sz w:val="24"/>
        </w:rPr>
        <w:t>using</w:t>
      </w:r>
      <w:r w:rsidRPr="007227AB">
        <w:rPr>
          <w:sz w:val="24"/>
        </w:rPr>
        <w:t xml:space="preserve"> </w:t>
      </w:r>
      <w:r w:rsidR="008C75DC" w:rsidRPr="007227AB">
        <w:rPr>
          <w:sz w:val="24"/>
        </w:rPr>
        <w:t>the</w:t>
      </w:r>
      <w:r w:rsidRPr="007227AB">
        <w:rPr>
          <w:sz w:val="24"/>
        </w:rPr>
        <w:t xml:space="preserve"> method </w:t>
      </w:r>
      <w:r w:rsidR="00266111" w:rsidRPr="007227AB">
        <w:rPr>
          <w:sz w:val="24"/>
        </w:rPr>
        <w:t xml:space="preserve">described by </w:t>
      </w:r>
      <w:r w:rsidRPr="007227AB">
        <w:rPr>
          <w:sz w:val="24"/>
        </w:rPr>
        <w:t xml:space="preserve">Sasaki et al. </w:t>
      </w:r>
      <w:r w:rsidR="00266111" w:rsidRPr="007227AB">
        <w:rPr>
          <w:sz w:val="24"/>
        </w:rPr>
        <w:t xml:space="preserve">(2021) </w:t>
      </w:r>
      <w:r w:rsidR="00B4799A" w:rsidRPr="007227AB">
        <w:rPr>
          <w:rStyle w:val="af0"/>
          <w:sz w:val="24"/>
        </w:rPr>
        <w:fldChar w:fldCharType="begin" w:fldLock="1"/>
      </w:r>
      <w:r w:rsidR="00B73E03" w:rsidRPr="007227AB">
        <w:rPr>
          <w:sz w:val="24"/>
        </w:rPr>
        <w:instrText>ADDIN CSL_CITATION {"citationItems":[{"id":"ITEM-1","itemData":{"DOI":"10.3390/ v13040591","author":[{"dropping-particle":"","family":"Sasaki","given":"Ryota","non-dropping-particle":"","parse-names":false,"suffix":""},{"dropping-particle":"","family":"Miyashita","given":"Shuhei","non-dropping-particle":"","parse-names":false,"suffix":""},{"dropping-particle":"","family":"Ando","given":"Sugihiro","non-dropping-particle":"","parse-names":false,"suffix":""},{"dropping-particle":"","family":"Ito","given":"Kumiko","non-dropping-particle":"","parse-names":false,"suffix":""},{"dropping-particle":"","family":"Fukuhara","given":"Toshiyuki","non-dropping-particle":"","parse-names":false,"suffix":""},{"dropping-particle":"","family":"Takahashi","given":"Hideki","non-dropping-particle":"","parse-names":false,"suffix":""}],"container-title":"Viruses","id":"ITEM-1","issued":{"date-parts":[["2021"]]},"page":"591","title":"Isolation and characterization of a novel jumbo phage from leaf litter compost and its suppressive effect on rice seedling","type":"article-journal","volume":"13"},"uris":["http://www.mendeley.com/documents/?uuid=327cc2f0-4d2a-4401-9f60-4f1f9691b86b"]}],"mendeley":{"formattedCitation":"[1]","plainTextFormattedCitation":"[1]","previouslyFormattedCitation":"[1]"},"properties":{"noteIndex":0},"schema":"https://github.com/citation-style-language/schema/raw/master/csl-citation.json"}</w:instrText>
      </w:r>
      <w:r w:rsidR="00B4799A" w:rsidRPr="007227AB">
        <w:rPr>
          <w:rStyle w:val="af0"/>
          <w:sz w:val="24"/>
        </w:rPr>
        <w:fldChar w:fldCharType="separate"/>
      </w:r>
      <w:r w:rsidR="00B4799A" w:rsidRPr="007227AB">
        <w:rPr>
          <w:rFonts w:eastAsia="ＭＳ 明朝"/>
          <w:bCs/>
          <w:noProof/>
          <w:sz w:val="24"/>
        </w:rPr>
        <w:t>[1]</w:t>
      </w:r>
      <w:r w:rsidR="00B4799A" w:rsidRPr="007227AB">
        <w:rPr>
          <w:rStyle w:val="af0"/>
          <w:sz w:val="24"/>
        </w:rPr>
        <w:fldChar w:fldCharType="end"/>
      </w:r>
      <w:r w:rsidR="008C75DC" w:rsidRPr="007227AB">
        <w:rPr>
          <w:sz w:val="24"/>
        </w:rPr>
        <w:t xml:space="preserve"> with </w:t>
      </w:r>
      <w:r w:rsidR="00F44278" w:rsidRPr="007227AB">
        <w:rPr>
          <w:sz w:val="24"/>
        </w:rPr>
        <w:t xml:space="preserve">some </w:t>
      </w:r>
      <w:r w:rsidR="008C75DC" w:rsidRPr="007227AB">
        <w:rPr>
          <w:sz w:val="24"/>
        </w:rPr>
        <w:t>modifications.</w:t>
      </w:r>
      <w:r w:rsidRPr="007227AB">
        <w:rPr>
          <w:sz w:val="24"/>
        </w:rPr>
        <w:t xml:space="preserve"> </w:t>
      </w:r>
      <w:r w:rsidR="008C75DC" w:rsidRPr="007227AB">
        <w:rPr>
          <w:sz w:val="24"/>
        </w:rPr>
        <w:t xml:space="preserve">The method involves </w:t>
      </w:r>
      <w:r w:rsidRPr="007227AB">
        <w:rPr>
          <w:sz w:val="24"/>
        </w:rPr>
        <w:t xml:space="preserve">casamino acid-peptone-glucose (CPG) medium </w:t>
      </w:r>
      <w:r w:rsidR="00B45BF0" w:rsidRPr="007227AB">
        <w:rPr>
          <w:sz w:val="24"/>
        </w:rPr>
        <w:t>[</w:t>
      </w:r>
      <w:r w:rsidRPr="007227AB">
        <w:rPr>
          <w:sz w:val="24"/>
        </w:rPr>
        <w:t xml:space="preserve">1.0% (w/v) peptone, 0.1% (w/v) casamino acid, </w:t>
      </w:r>
      <w:r w:rsidR="00B45BF0" w:rsidRPr="007227AB">
        <w:rPr>
          <w:sz w:val="24"/>
        </w:rPr>
        <w:t xml:space="preserve">and </w:t>
      </w:r>
      <w:r w:rsidRPr="007227AB">
        <w:rPr>
          <w:sz w:val="24"/>
        </w:rPr>
        <w:t>0.5% (w/v) glucose</w:t>
      </w:r>
      <w:r w:rsidR="00B45BF0" w:rsidRPr="007227AB">
        <w:rPr>
          <w:sz w:val="24"/>
        </w:rPr>
        <w:t xml:space="preserve">] </w:t>
      </w:r>
      <w:r w:rsidRPr="007227AB">
        <w:rPr>
          <w:sz w:val="24"/>
        </w:rPr>
        <w:t xml:space="preserve">and </w:t>
      </w:r>
      <w:r w:rsidRPr="007227AB">
        <w:rPr>
          <w:i/>
          <w:iCs/>
          <w:sz w:val="24"/>
        </w:rPr>
        <w:t xml:space="preserve">R. </w:t>
      </w:r>
      <w:proofErr w:type="spellStart"/>
      <w:r w:rsidRPr="007227AB">
        <w:rPr>
          <w:i/>
          <w:iCs/>
          <w:sz w:val="24"/>
        </w:rPr>
        <w:t>pseudosolanacearum</w:t>
      </w:r>
      <w:proofErr w:type="spellEnd"/>
      <w:r w:rsidRPr="007227AB">
        <w:rPr>
          <w:sz w:val="24"/>
        </w:rPr>
        <w:t xml:space="preserve"> strain MAFF106603 as </w:t>
      </w:r>
      <w:r w:rsidR="008C75DC" w:rsidRPr="007227AB">
        <w:rPr>
          <w:sz w:val="24"/>
        </w:rPr>
        <w:t xml:space="preserve">the </w:t>
      </w:r>
      <w:r w:rsidRPr="007227AB">
        <w:rPr>
          <w:sz w:val="24"/>
        </w:rPr>
        <w:t>host</w:t>
      </w:r>
      <w:r w:rsidR="008C75DC" w:rsidRPr="007227AB">
        <w:rPr>
          <w:sz w:val="24"/>
        </w:rPr>
        <w:t>,</w:t>
      </w:r>
      <w:r w:rsidRPr="007227AB">
        <w:rPr>
          <w:sz w:val="24"/>
        </w:rPr>
        <w:t xml:space="preserve"> with </w:t>
      </w:r>
      <w:r w:rsidR="008C75DC" w:rsidRPr="007227AB">
        <w:rPr>
          <w:sz w:val="24"/>
        </w:rPr>
        <w:t xml:space="preserve">an </w:t>
      </w:r>
      <w:r w:rsidRPr="007227AB">
        <w:rPr>
          <w:sz w:val="24"/>
        </w:rPr>
        <w:t xml:space="preserve">incubation temperature </w:t>
      </w:r>
      <w:r w:rsidR="008C75DC" w:rsidRPr="007227AB">
        <w:rPr>
          <w:sz w:val="24"/>
        </w:rPr>
        <w:t xml:space="preserve">of </w:t>
      </w:r>
      <w:r w:rsidRPr="007227AB">
        <w:rPr>
          <w:sz w:val="24"/>
        </w:rPr>
        <w:t>28</w:t>
      </w:r>
      <w:r w:rsidRPr="007227AB">
        <w:rPr>
          <w:rFonts w:eastAsia="ＭＳ 明朝"/>
          <w:sz w:val="24"/>
        </w:rPr>
        <w:t>°C</w:t>
      </w:r>
      <w:r w:rsidRPr="007227AB">
        <w:rPr>
          <w:sz w:val="24"/>
        </w:rPr>
        <w:t xml:space="preserve">. </w:t>
      </w:r>
      <w:r w:rsidR="00266111" w:rsidRPr="007227AB">
        <w:rPr>
          <w:sz w:val="24"/>
        </w:rPr>
        <w:t>P</w:t>
      </w:r>
      <w:r w:rsidRPr="007227AB">
        <w:rPr>
          <w:sz w:val="24"/>
        </w:rPr>
        <w:t xml:space="preserve">hage multiplication </w:t>
      </w:r>
      <w:r w:rsidR="00266111" w:rsidRPr="007227AB">
        <w:rPr>
          <w:sz w:val="24"/>
        </w:rPr>
        <w:t xml:space="preserve">and purification </w:t>
      </w:r>
      <w:r w:rsidRPr="007227AB">
        <w:rPr>
          <w:sz w:val="24"/>
        </w:rPr>
        <w:t xml:space="preserve">were performed using </w:t>
      </w:r>
      <w:r w:rsidRPr="007227AB">
        <w:rPr>
          <w:i/>
          <w:iCs/>
          <w:sz w:val="24"/>
        </w:rPr>
        <w:t xml:space="preserve">R. </w:t>
      </w:r>
      <w:proofErr w:type="spellStart"/>
      <w:r w:rsidRPr="007227AB">
        <w:rPr>
          <w:i/>
          <w:iCs/>
          <w:sz w:val="24"/>
        </w:rPr>
        <w:t>pseudosolanacearum</w:t>
      </w:r>
      <w:proofErr w:type="spellEnd"/>
      <w:r w:rsidRPr="007227AB">
        <w:rPr>
          <w:sz w:val="24"/>
        </w:rPr>
        <w:t xml:space="preserve"> MAFF106611. The extraction of phage genome DNA, the determination of complete phage genomes</w:t>
      </w:r>
      <w:r w:rsidR="00F30D7E" w:rsidRPr="007227AB">
        <w:rPr>
          <w:sz w:val="24"/>
        </w:rPr>
        <w:t xml:space="preserve"> </w:t>
      </w:r>
      <w:r w:rsidR="00AB171A" w:rsidRPr="007227AB">
        <w:rPr>
          <w:sz w:val="24"/>
        </w:rPr>
        <w:t>using</w:t>
      </w:r>
      <w:r w:rsidR="00F30D7E" w:rsidRPr="007227AB">
        <w:rPr>
          <w:sz w:val="24"/>
        </w:rPr>
        <w:t xml:space="preserve"> </w:t>
      </w:r>
      <w:proofErr w:type="spellStart"/>
      <w:r w:rsidR="00F30D7E" w:rsidRPr="007227AB">
        <w:rPr>
          <w:sz w:val="24"/>
        </w:rPr>
        <w:t>MiSeq</w:t>
      </w:r>
      <w:proofErr w:type="spellEnd"/>
      <w:r w:rsidR="00F30D7E" w:rsidRPr="007227AB">
        <w:rPr>
          <w:sz w:val="24"/>
        </w:rPr>
        <w:t xml:space="preserve"> (Illumina</w:t>
      </w:r>
      <w:r w:rsidR="00AB171A" w:rsidRPr="007227AB">
        <w:rPr>
          <w:sz w:val="24"/>
        </w:rPr>
        <w:t xml:space="preserve">, </w:t>
      </w:r>
      <w:r w:rsidR="00155D97" w:rsidRPr="007227AB">
        <w:rPr>
          <w:sz w:val="24"/>
        </w:rPr>
        <w:t xml:space="preserve">San Diego, </w:t>
      </w:r>
      <w:r w:rsidR="00AB171A" w:rsidRPr="007227AB">
        <w:rPr>
          <w:sz w:val="24"/>
        </w:rPr>
        <w:t>CA</w:t>
      </w:r>
      <w:r w:rsidR="00F30D7E" w:rsidRPr="007227AB">
        <w:rPr>
          <w:sz w:val="24"/>
        </w:rPr>
        <w:t>)</w:t>
      </w:r>
      <w:r w:rsidRPr="007227AB">
        <w:rPr>
          <w:sz w:val="24"/>
        </w:rPr>
        <w:t xml:space="preserve">, and the observation of phage particles with transmission electron microscopy were performed </w:t>
      </w:r>
      <w:r w:rsidR="007E4D4E" w:rsidRPr="007227AB">
        <w:rPr>
          <w:sz w:val="24"/>
        </w:rPr>
        <w:t>as</w:t>
      </w:r>
      <w:r w:rsidRPr="007227AB">
        <w:rPr>
          <w:sz w:val="24"/>
        </w:rPr>
        <w:t xml:space="preserve"> previously</w:t>
      </w:r>
      <w:r w:rsidR="007E4D4E" w:rsidRPr="007227AB">
        <w:rPr>
          <w:sz w:val="24"/>
        </w:rPr>
        <w:t xml:space="preserve"> described</w:t>
      </w:r>
      <w:r w:rsidRPr="007227AB">
        <w:rPr>
          <w:sz w:val="24"/>
        </w:rPr>
        <w:t xml:space="preserve"> </w:t>
      </w:r>
      <w:r w:rsidR="00B4799A" w:rsidRPr="007227AB">
        <w:rPr>
          <w:rStyle w:val="af0"/>
          <w:sz w:val="24"/>
        </w:rPr>
        <w:fldChar w:fldCharType="begin" w:fldLock="1"/>
      </w:r>
      <w:r w:rsidR="00B73E03" w:rsidRPr="007227AB">
        <w:rPr>
          <w:sz w:val="24"/>
        </w:rPr>
        <w:instrText>ADDIN CSL_CITATION {"citationItems":[{"id":"ITEM-1","itemData":{"DOI":"10.3390/ v13040591","author":[{"dropping-particle":"","family":"Sasaki","given":"Ryota","non-dropping-particle":"","parse-names":false,"suffix":""},{"dropping-particle":"","family":"Miyashita","given":"Shuhei","non-dropping-particle":"","parse-names":false,"suffix":""},{"dropping-particle":"","family":"Ando","given":"Sugihiro","non-dropping-particle":"","parse-names":false,"suffix":""},{"dropping-particle":"","family":"Ito","given":"Kumiko","non-dropping-particle":"","parse-names":false,"suffix":""},{"dropping-particle":"","family":"Fukuhara","given":"Toshiyuki","non-dropping-particle":"","parse-names":false,"suffix":""},{"dropping-particle":"","family":"Takahashi","given":"Hideki","non-dropping-particle":"","parse-names":false,"suffix":""}],"container-title":"Viruses","id":"ITEM-1","issued":{"date-parts":[["2021"]]},"page":"591","title":"Isolation and characterization of a novel jumbo phage from leaf litter compost and its suppressive effect on rice seedling","type":"article-journal","volume":"13"},"uris":["http://www.mendeley.com/documents/?uuid=327cc2f0-4d2a-4401-9f60-4f1f9691b86b"]}],"mendeley":{"formattedCitation":"[1]","plainTextFormattedCitation":"[1]","previouslyFormattedCitation":"[1]"},"properties":{"noteIndex":0},"schema":"https://github.com/citation-style-language/schema/raw/master/csl-citation.json"}</w:instrText>
      </w:r>
      <w:r w:rsidR="00B4799A" w:rsidRPr="007227AB">
        <w:rPr>
          <w:rStyle w:val="af0"/>
          <w:sz w:val="24"/>
        </w:rPr>
        <w:fldChar w:fldCharType="separate"/>
      </w:r>
      <w:r w:rsidR="00B4799A" w:rsidRPr="007227AB">
        <w:rPr>
          <w:noProof/>
          <w:sz w:val="24"/>
        </w:rPr>
        <w:t>[1]</w:t>
      </w:r>
      <w:r w:rsidR="00B4799A" w:rsidRPr="007227AB">
        <w:rPr>
          <w:rStyle w:val="af0"/>
          <w:sz w:val="24"/>
        </w:rPr>
        <w:fldChar w:fldCharType="end"/>
      </w:r>
      <w:r w:rsidRPr="007227AB">
        <w:rPr>
          <w:sz w:val="24"/>
        </w:rPr>
        <w:t xml:space="preserve">. </w:t>
      </w:r>
      <w:r w:rsidR="007E4D4E" w:rsidRPr="007227AB">
        <w:rPr>
          <w:sz w:val="24"/>
        </w:rPr>
        <w:t>The h</w:t>
      </w:r>
      <w:r w:rsidRPr="007227AB">
        <w:rPr>
          <w:sz w:val="24"/>
        </w:rPr>
        <w:t xml:space="preserve">ost ranges of the isolated phages were analyzed </w:t>
      </w:r>
      <w:r w:rsidR="00F44278" w:rsidRPr="007227AB">
        <w:rPr>
          <w:sz w:val="24"/>
        </w:rPr>
        <w:t xml:space="preserve">using </w:t>
      </w:r>
      <w:r w:rsidR="00000589" w:rsidRPr="007227AB">
        <w:rPr>
          <w:sz w:val="24"/>
        </w:rPr>
        <w:t xml:space="preserve">the </w:t>
      </w:r>
      <w:r w:rsidRPr="007227AB">
        <w:rPr>
          <w:sz w:val="24"/>
        </w:rPr>
        <w:t xml:space="preserve">spot test </w:t>
      </w:r>
      <w:r w:rsidR="00F44278" w:rsidRPr="007227AB">
        <w:rPr>
          <w:sz w:val="24"/>
        </w:rPr>
        <w:t xml:space="preserve">with </w:t>
      </w:r>
      <w:r w:rsidRPr="007227AB">
        <w:rPr>
          <w:sz w:val="24"/>
        </w:rPr>
        <w:t xml:space="preserve">nine </w:t>
      </w:r>
      <w:r w:rsidRPr="007227AB">
        <w:rPr>
          <w:i/>
          <w:iCs/>
          <w:sz w:val="24"/>
        </w:rPr>
        <w:t>R</w:t>
      </w:r>
      <w:r w:rsidRPr="007227AB">
        <w:rPr>
          <w:sz w:val="24"/>
        </w:rPr>
        <w:t xml:space="preserve">. </w:t>
      </w:r>
      <w:proofErr w:type="spellStart"/>
      <w:r w:rsidRPr="007227AB">
        <w:rPr>
          <w:i/>
          <w:iCs/>
          <w:sz w:val="24"/>
        </w:rPr>
        <w:t>pseudosolanacearum</w:t>
      </w:r>
      <w:proofErr w:type="spellEnd"/>
      <w:r w:rsidRPr="007227AB">
        <w:rPr>
          <w:sz w:val="24"/>
        </w:rPr>
        <w:t xml:space="preserve"> strains and three </w:t>
      </w:r>
      <w:r w:rsidRPr="007227AB">
        <w:rPr>
          <w:i/>
          <w:iCs/>
          <w:sz w:val="24"/>
        </w:rPr>
        <w:t>R</w:t>
      </w:r>
      <w:r w:rsidRPr="007227AB">
        <w:rPr>
          <w:sz w:val="24"/>
        </w:rPr>
        <w:t xml:space="preserve">. </w:t>
      </w:r>
      <w:proofErr w:type="spellStart"/>
      <w:r w:rsidRPr="007227AB">
        <w:rPr>
          <w:i/>
          <w:iCs/>
          <w:sz w:val="24"/>
        </w:rPr>
        <w:t>syzygii</w:t>
      </w:r>
      <w:proofErr w:type="spellEnd"/>
      <w:r w:rsidRPr="007227AB">
        <w:rPr>
          <w:sz w:val="24"/>
        </w:rPr>
        <w:t xml:space="preserve"> subsp. </w:t>
      </w:r>
      <w:proofErr w:type="spellStart"/>
      <w:r w:rsidRPr="007227AB">
        <w:rPr>
          <w:i/>
          <w:iCs/>
          <w:sz w:val="24"/>
        </w:rPr>
        <w:t>indonesiensis</w:t>
      </w:r>
      <w:proofErr w:type="spellEnd"/>
      <w:r w:rsidRPr="007227AB">
        <w:rPr>
          <w:sz w:val="24"/>
        </w:rPr>
        <w:t xml:space="preserve"> strains</w:t>
      </w:r>
      <w:r w:rsidR="007E4D4E" w:rsidRPr="007227AB">
        <w:rPr>
          <w:sz w:val="24"/>
        </w:rPr>
        <w:t>,</w:t>
      </w:r>
      <w:r w:rsidRPr="007227AB">
        <w:rPr>
          <w:sz w:val="24"/>
        </w:rPr>
        <w:t xml:space="preserve"> </w:t>
      </w:r>
      <w:r w:rsidR="001E672D" w:rsidRPr="007227AB">
        <w:rPr>
          <w:sz w:val="24"/>
        </w:rPr>
        <w:t xml:space="preserve">which were supplied from public resource stock center </w:t>
      </w:r>
      <w:proofErr w:type="spellStart"/>
      <w:r w:rsidR="001E672D" w:rsidRPr="007227AB">
        <w:rPr>
          <w:sz w:val="24"/>
        </w:rPr>
        <w:t>GeneBank</w:t>
      </w:r>
      <w:proofErr w:type="spellEnd"/>
      <w:r w:rsidR="001E672D" w:rsidRPr="007227AB">
        <w:rPr>
          <w:sz w:val="24"/>
        </w:rPr>
        <w:t xml:space="preserve"> (NARO, </w:t>
      </w:r>
      <w:proofErr w:type="spellStart"/>
      <w:r w:rsidR="001E672D" w:rsidRPr="007227AB">
        <w:rPr>
          <w:sz w:val="24"/>
        </w:rPr>
        <w:t>Tukuba</w:t>
      </w:r>
      <w:proofErr w:type="spellEnd"/>
      <w:r w:rsidR="001E672D" w:rsidRPr="007227AB">
        <w:rPr>
          <w:sz w:val="24"/>
        </w:rPr>
        <w:t xml:space="preserve">, Japan) </w:t>
      </w:r>
      <w:r w:rsidRPr="007227AB">
        <w:rPr>
          <w:sz w:val="24"/>
        </w:rPr>
        <w:t>(Table S1).</w:t>
      </w:r>
    </w:p>
    <w:p w14:paraId="012742EB" w14:textId="77777777" w:rsidR="005112BE" w:rsidRPr="007227AB" w:rsidRDefault="005112BE" w:rsidP="005D291B">
      <w:pPr>
        <w:rPr>
          <w:sz w:val="24"/>
        </w:rPr>
      </w:pPr>
    </w:p>
    <w:p w14:paraId="4761D825" w14:textId="0AAE97C9" w:rsidR="00590E18" w:rsidRPr="007227AB" w:rsidRDefault="00590E18" w:rsidP="005D291B">
      <w:pPr>
        <w:rPr>
          <w:b/>
          <w:bCs/>
          <w:sz w:val="24"/>
        </w:rPr>
      </w:pPr>
      <w:r w:rsidRPr="007227AB">
        <w:rPr>
          <w:b/>
          <w:bCs/>
          <w:i/>
          <w:iCs/>
          <w:sz w:val="24"/>
        </w:rPr>
        <w:t>In silico</w:t>
      </w:r>
      <w:r w:rsidRPr="007227AB">
        <w:rPr>
          <w:b/>
          <w:bCs/>
          <w:sz w:val="24"/>
        </w:rPr>
        <w:t xml:space="preserve"> analys</w:t>
      </w:r>
      <w:r w:rsidR="0062158E" w:rsidRPr="007227AB">
        <w:rPr>
          <w:b/>
          <w:bCs/>
          <w:sz w:val="24"/>
        </w:rPr>
        <w:t>e</w:t>
      </w:r>
      <w:r w:rsidRPr="007227AB">
        <w:rPr>
          <w:b/>
          <w:bCs/>
          <w:sz w:val="24"/>
        </w:rPr>
        <w:t>s</w:t>
      </w:r>
    </w:p>
    <w:p w14:paraId="536B0FC7" w14:textId="540F5F30" w:rsidR="00590E18" w:rsidRPr="007227AB" w:rsidRDefault="00590E18" w:rsidP="00BD4A5F">
      <w:pPr>
        <w:ind w:firstLineChars="250" w:firstLine="600"/>
        <w:rPr>
          <w:sz w:val="24"/>
        </w:rPr>
      </w:pPr>
      <w:r w:rsidRPr="007227AB">
        <w:rPr>
          <w:sz w:val="24"/>
        </w:rPr>
        <w:t xml:space="preserve">Filtered reads were assembled using </w:t>
      </w:r>
      <w:proofErr w:type="spellStart"/>
      <w:r w:rsidRPr="007227AB">
        <w:rPr>
          <w:sz w:val="24"/>
        </w:rPr>
        <w:t>SPAdes</w:t>
      </w:r>
      <w:proofErr w:type="spellEnd"/>
      <w:r w:rsidRPr="007227AB">
        <w:rPr>
          <w:sz w:val="24"/>
        </w:rPr>
        <w:t xml:space="preserve"> v</w:t>
      </w:r>
      <w:r w:rsidR="007E4D4E" w:rsidRPr="007227AB">
        <w:rPr>
          <w:sz w:val="24"/>
        </w:rPr>
        <w:t xml:space="preserve">er. </w:t>
      </w:r>
      <w:r w:rsidRPr="007227AB">
        <w:rPr>
          <w:sz w:val="24"/>
        </w:rPr>
        <w:t xml:space="preserve">3.13.0 </w:t>
      </w:r>
      <w:r w:rsidR="00B4799A" w:rsidRPr="007227AB">
        <w:rPr>
          <w:rStyle w:val="af0"/>
          <w:sz w:val="24"/>
        </w:rPr>
        <w:fldChar w:fldCharType="begin" w:fldLock="1"/>
      </w:r>
      <w:r w:rsidR="00B73E03" w:rsidRPr="007227AB">
        <w:rPr>
          <w:sz w:val="24"/>
        </w:rPr>
        <w:instrText xml:space="preserve">ADDIN CSL_CITATION {"citationItems":[{"id":"ITEM-1","itemData":{"ISBN":"9783642371943","abstract":"Research in Computational Molecular Biology","author":[{"dropping-particle":"","family":"Nurk","given":"Sergey","non-dropping-particle":"","parse-names":false,"suffix":""},{"dropping-particle":"","family":"Bankevich","given":"Anton","non-dropping-particle":"","parse-names":false,"suffix":""},{"dropping-particle":"","family":"Antipov","given":"Dmitry","non-dropping-particle":"","parse-names":false,"suffix":""},{"dropping-particle":"","family":"Gurevich","given":"Alexey","non-dropping-particle":"","parse-names":false,"suffix":""},{"dropping-particle":"","family":"Korobeynikov","given":"Anton","non-dropping-particle":"","parse-names":false,"suffix":""},{"dropping-particle":"","family":"Lapidus","given":"Alla","non-dropping-particle":"","parse-names":false,"suffix":""},{"dropping-particle":"","family":"Prjibelsky","given":"Andrey","non-dropping-particle":"","parse-names":false,"suffix":""},{"dropping-particle":"","family":"Pyshkin","given":"Alexey","non-dropping-particle":"","parse-names":false,"suffix":""},{"dropping-particle":"","family":"Sirotkin","given":"Alexander","non-dropping-particle":"","parse-names":false,"suffix":""},{"dropping-particle":"","family":"Sirotkin","given":"Yakov","non-dropping-particle":"","parse-names":false,"suffix":""},{"dropping-particle":"","family":"Stepanauskas","given":"Ramunus","non-dropping-particle":"","parse-names":false,"suffix":""},{"dropping-particle":"","family":"McLean","given":"Jeffrey","non-dropping-particle":"","parse-names":false,"suffix":""},{"dropping-particle":"","family":"Lasken","given":"Roger","non-dropping-particle":"","parse-names":false,"suffix":""},{"dropping-particle":"","family":"Clingenpeel","given":"Scott","non-dropping-particle":"","parse-names":false,"suffix":""},{"dropping-particle":"","family":"Woyke","given":"Tanja","non-dropping-particle":"","parse-names":false,"suffix":""},{"dropping-particle":"","family":"Tesler","given":"Glenn","non-dropping-particle":"","parse-names":false,"suffix":""},{"dropping-particle":"","family":"Alekseyev","given":"Max","non-dropping-particle":"","parse-names":false,"suffix":""},{"dropping-particle":"","family":"Pevzner","given":"Pavel","non-dropping-particle":"","parse-names":false,"suffix":""}],"container-title":"Research in Computational Molecular Biology. RECOMB 2013. Lecture Notes in Computer Science","editor":[{"dropping-particle":"","family":"Deng","given":"Minghua","non-dropping-particle":"","parse-names":false,"suffix":""},{"dropping-particle":"","family":"Jiang","given":"Rui","non-dropping-particle":"","parse-names":false,"suffix":""},{"dropping-particle":"","family":"Sun","given":"Fengzhu","non-dropping-particle":"","parse-names":false,"suffix":""},{"dropping-particle":"","family":"Zhang","given":"Xuegong","non-dropping-particle":"","parse-names":false,"suffix":""}],"id":"ITEM-1","issue":"April","issued":{"date-parts":[["2013"]]},"note":"Compeau 2011 </w:instrText>
      </w:r>
      <w:r w:rsidR="00B73E03" w:rsidRPr="007227AB">
        <w:rPr>
          <w:rFonts w:eastAsia="ＭＳ 明朝" w:hint="eastAsia"/>
          <w:sz w:val="24"/>
        </w:rPr>
        <w:instrText>のレビューも参照すると読みやすい</w:instrText>
      </w:r>
      <w:r w:rsidR="00B73E03" w:rsidRPr="007227AB">
        <w:rPr>
          <w:sz w:val="24"/>
        </w:rPr>
        <w:instrText xml:space="preserve">\n\nArchives of virology </w:instrText>
      </w:r>
      <w:r w:rsidR="00B73E03" w:rsidRPr="007227AB">
        <w:rPr>
          <w:rFonts w:eastAsia="ＭＳ 明朝" w:hint="eastAsia"/>
          <w:sz w:val="24"/>
        </w:rPr>
        <w:instrText>での引用の仕方</w:instrText>
      </w:r>
      <w:r w:rsidR="00B73E03" w:rsidRPr="007227AB">
        <w:rPr>
          <w:sz w:val="24"/>
        </w:rPr>
        <w:instrText>\n</w:instrText>
      </w:r>
      <w:r w:rsidR="00B73E03" w:rsidRPr="007227AB">
        <w:rPr>
          <w:rFonts w:ascii="Calibri" w:hAnsi="Calibri" w:cs="Calibri"/>
          <w:sz w:val="24"/>
        </w:rPr>
        <w:instrText>﻿</w:instrText>
      </w:r>
      <w:r w:rsidR="00B73E03" w:rsidRPr="007227AB">
        <w:rPr>
          <w:sz w:val="24"/>
        </w:rPr>
        <w:instrText>Nurk S, Bankevich A et al. (2013) Assembling genomes and mini-metagenomes from highly chimeric reads. In: Deng M., Jiang R., Sun F., Zhang X. (eds) Research in Computational Molecular Biology. RECOMB 2013. Lecture Notes in Computer Science, 7821, pp158-170, Springer, Berlin, Heidelberg.","page":"158-170","publisher":"Springer","publisher-place":"Berlin, Heidelberg","title":"Assembling genomes and mini-metagenomes from highly chimeric reads","type":"chapter"},"uris":["http://www.mendeley.com/documents/?uuid=3bc0df02-2204-4633-a876-15dcf0a24980"]}],"mendeley":{"formattedCitation":"[2]","plainTextFormattedCitation":"[2]","previouslyFormattedCitation":"[2]"},"properties":{"noteIndex":0},"schema":"https://github.com/citation-style-language/schema/raw/master/csl-citation.json"}</w:instrText>
      </w:r>
      <w:r w:rsidR="00B4799A" w:rsidRPr="007227AB">
        <w:rPr>
          <w:rStyle w:val="af0"/>
          <w:sz w:val="24"/>
        </w:rPr>
        <w:fldChar w:fldCharType="separate"/>
      </w:r>
      <w:r w:rsidR="00B4799A" w:rsidRPr="007227AB">
        <w:rPr>
          <w:noProof/>
          <w:sz w:val="24"/>
        </w:rPr>
        <w:t>[2]</w:t>
      </w:r>
      <w:r w:rsidR="00B4799A" w:rsidRPr="007227AB">
        <w:rPr>
          <w:rStyle w:val="af0"/>
          <w:sz w:val="24"/>
        </w:rPr>
        <w:fldChar w:fldCharType="end"/>
      </w:r>
      <w:r w:rsidRPr="007227AB">
        <w:rPr>
          <w:sz w:val="24"/>
        </w:rPr>
        <w:t xml:space="preserve">. The obtained sequences were </w:t>
      </w:r>
      <w:r w:rsidR="007E4D4E" w:rsidRPr="007227AB">
        <w:rPr>
          <w:sz w:val="24"/>
        </w:rPr>
        <w:t xml:space="preserve">used </w:t>
      </w:r>
      <w:r w:rsidRPr="007227AB">
        <w:rPr>
          <w:sz w:val="24"/>
        </w:rPr>
        <w:t xml:space="preserve">for </w:t>
      </w:r>
      <w:r w:rsidR="007E4D4E" w:rsidRPr="007227AB">
        <w:rPr>
          <w:sz w:val="24"/>
        </w:rPr>
        <w:t xml:space="preserve">a </w:t>
      </w:r>
      <w:r w:rsidRPr="007227AB">
        <w:rPr>
          <w:sz w:val="24"/>
        </w:rPr>
        <w:t xml:space="preserve">homologous search with </w:t>
      </w:r>
      <w:proofErr w:type="spellStart"/>
      <w:r w:rsidRPr="007227AB">
        <w:rPr>
          <w:sz w:val="24"/>
        </w:rPr>
        <w:t>blastn</w:t>
      </w:r>
      <w:proofErr w:type="spellEnd"/>
      <w:r w:rsidRPr="007227AB">
        <w:rPr>
          <w:sz w:val="24"/>
        </w:rPr>
        <w:t xml:space="preserve"> </w:t>
      </w:r>
      <w:r w:rsidR="007E4D4E" w:rsidRPr="007227AB">
        <w:rPr>
          <w:sz w:val="24"/>
        </w:rPr>
        <w:t>of</w:t>
      </w:r>
      <w:r w:rsidRPr="007227AB">
        <w:rPr>
          <w:sz w:val="24"/>
        </w:rPr>
        <w:t xml:space="preserve"> </w:t>
      </w:r>
      <w:r w:rsidR="00CE6FBB" w:rsidRPr="007227AB">
        <w:rPr>
          <w:sz w:val="24"/>
        </w:rPr>
        <w:t xml:space="preserve">the </w:t>
      </w:r>
      <w:r w:rsidRPr="007227AB">
        <w:rPr>
          <w:sz w:val="24"/>
        </w:rPr>
        <w:t xml:space="preserve">NCBI </w:t>
      </w:r>
      <w:proofErr w:type="spellStart"/>
      <w:r w:rsidRPr="007227AB">
        <w:rPr>
          <w:sz w:val="24"/>
        </w:rPr>
        <w:t>nt</w:t>
      </w:r>
      <w:proofErr w:type="spellEnd"/>
      <w:r w:rsidRPr="007227AB">
        <w:rPr>
          <w:sz w:val="24"/>
        </w:rPr>
        <w:t xml:space="preserve"> database. </w:t>
      </w:r>
      <w:proofErr w:type="spellStart"/>
      <w:r w:rsidRPr="007227AB">
        <w:rPr>
          <w:sz w:val="24"/>
        </w:rPr>
        <w:t>GeneMarkS</w:t>
      </w:r>
      <w:proofErr w:type="spellEnd"/>
      <w:r w:rsidRPr="007227AB">
        <w:rPr>
          <w:sz w:val="24"/>
        </w:rPr>
        <w:t xml:space="preserve"> v</w:t>
      </w:r>
      <w:r w:rsidR="007E4D4E" w:rsidRPr="007227AB">
        <w:rPr>
          <w:sz w:val="24"/>
        </w:rPr>
        <w:t xml:space="preserve">er. </w:t>
      </w:r>
      <w:r w:rsidRPr="007227AB">
        <w:rPr>
          <w:sz w:val="24"/>
        </w:rPr>
        <w:t xml:space="preserve">4.28 </w:t>
      </w:r>
      <w:r w:rsidR="00B4799A" w:rsidRPr="007227AB">
        <w:rPr>
          <w:rStyle w:val="af0"/>
          <w:sz w:val="24"/>
        </w:rPr>
        <w:fldChar w:fldCharType="begin" w:fldLock="1"/>
      </w:r>
      <w:r w:rsidR="00B4799A" w:rsidRPr="007227AB">
        <w:rPr>
          <w:sz w:val="24"/>
        </w:rPr>
        <w:instrText xml:space="preserve">ADDIN CSL_CITATION {"citationItems":[{"id":"ITEM-1","itemData":{"DOI":"10.1093/nar/29.12.2607","ISSN":"1362-4962","PMID":"11410670","abstract":"Improving the accuracy of prediction of gene starts is one of a few remaining open problems in computer prediction of prokaryotic genes. Its difficulty is caused by the absence of relatively strong sequence patterns identifying true translation initiation sites. In the current paper we show that the accuracy of gene start prediction can be improved by combining models of protein-coding and non-coding regions and models of regulatory sites near gene start within an iterative Hidden Markov model based algorithm. The new gene prediction method, called GeneMarkS, utilizes a non-supervised training procedure and can be used for a newly sequenced prokaryotic genome with no prior knowledge of any protein or rRNA genes. The GeneMarkS implementation uses an improved version of the gene finding program GeneMark.hmm, heuristic Markov models of coding and non-coding regions and the Gibbs sampling multiple alignment program. GeneMarkS predicted precisely 83.2% of the translation starts of GenBank annotated Bacillus subtilis genes and 94.4% of translation starts in an experimentally validated set of Escherichia coli genes. We have also observed that GeneMarkS detects prokaryotic genes, in terms of identifying open reading frames containing real genes, with an accuracy matching the level of the best currently used gene detection methods. Accurate translation start prediction, in addition to the refinement of protein sequence N-terminal data, provides the benefit of precise positioning of the sequence region situated upstream to a gene start. Therefore, sequence motifs related to transcription and translation regulatory sites can be revealed and analyzed with higher precision. These motifs were shown to possess a significant variability, the functional and evolutionary connections of which are discussed.","author":[{"dropping-particle":"","family":"Besemer","given":"John","non-dropping-particle":"","parse-names":false,"suffix":""},{"dropping-particle":"","family":"Lomsadze","given":"Alexandre","non-dropping-particle":"","parse-names":false,"suffix":""},{"dropping-particle":"","family":"Borodovsky","given":"Mark","non-dropping-particle":"","parse-names":false,"suffix":""}],"container-title":"Nucleic Acids Research","id":"ITEM-1","issue":"12","issued":{"date-parts":[["2001"]]},"note":"GeneMarkS\n\nstart </w:instrText>
      </w:r>
      <w:r w:rsidR="00B4799A" w:rsidRPr="007227AB">
        <w:rPr>
          <w:rFonts w:eastAsia="ＭＳ 明朝" w:hint="eastAsia"/>
          <w:sz w:val="24"/>
        </w:rPr>
        <w:instrText>が</w:instrText>
      </w:r>
      <w:r w:rsidR="00B4799A" w:rsidRPr="007227AB">
        <w:rPr>
          <w:sz w:val="24"/>
        </w:rPr>
        <w:instrText xml:space="preserve"> met </w:instrText>
      </w:r>
      <w:r w:rsidR="00B4799A" w:rsidRPr="007227AB">
        <w:rPr>
          <w:rFonts w:eastAsia="ＭＳ 明朝" w:hint="eastAsia"/>
          <w:sz w:val="24"/>
        </w:rPr>
        <w:instrText>になってないことについては</w:instrText>
      </w:r>
      <w:r w:rsidR="00B4799A" w:rsidRPr="007227AB">
        <w:rPr>
          <w:sz w:val="24"/>
        </w:rPr>
        <w:instrText>?\n\nRoos\n\nRoos","page":"2607-2618","title":"GeneMarkS: a self-training method for prediction of gene starts in microbial genomes. Implications for finding sequence motifs in regulatory regions","type":"article-journal","volume":"29"},"uris":["http://www.mendeley.com/documents/?uuid=feaa0560-e62e-4c04-a7ee-c5f0cb731882"]}],"mendeley":{"formattedCitation":"[3]","plainTextFormattedCitation":"[3]","previouslyFormattedCitation":"[3]"},"properties":{"noteIndex":0},"schema":"https://github.com/citation-style-language/schema/raw/master/csl-citation.json"}</w:instrText>
      </w:r>
      <w:r w:rsidR="00B4799A" w:rsidRPr="007227AB">
        <w:rPr>
          <w:rStyle w:val="af0"/>
          <w:sz w:val="24"/>
        </w:rPr>
        <w:fldChar w:fldCharType="separate"/>
      </w:r>
      <w:r w:rsidR="00B4799A" w:rsidRPr="007227AB">
        <w:rPr>
          <w:rFonts w:eastAsia="ＭＳ 明朝"/>
          <w:bCs/>
          <w:noProof/>
          <w:sz w:val="24"/>
        </w:rPr>
        <w:t>[3]</w:t>
      </w:r>
      <w:r w:rsidR="00B4799A" w:rsidRPr="007227AB">
        <w:rPr>
          <w:rStyle w:val="af0"/>
          <w:sz w:val="24"/>
        </w:rPr>
        <w:fldChar w:fldCharType="end"/>
      </w:r>
      <w:r w:rsidRPr="007227AB">
        <w:rPr>
          <w:sz w:val="24"/>
        </w:rPr>
        <w:t xml:space="preserve"> was used for </w:t>
      </w:r>
      <w:r w:rsidR="00CE6FBB" w:rsidRPr="007227AB">
        <w:rPr>
          <w:sz w:val="24"/>
        </w:rPr>
        <w:t xml:space="preserve">the </w:t>
      </w:r>
      <w:r w:rsidRPr="007227AB">
        <w:rPr>
          <w:sz w:val="24"/>
        </w:rPr>
        <w:t>prediction of open reading frames (ORFs). A</w:t>
      </w:r>
      <w:r w:rsidR="00CE6FBB" w:rsidRPr="007227AB">
        <w:rPr>
          <w:sz w:val="24"/>
        </w:rPr>
        <w:t>n a</w:t>
      </w:r>
      <w:r w:rsidRPr="007227AB">
        <w:rPr>
          <w:sz w:val="24"/>
        </w:rPr>
        <w:t xml:space="preserve">mino acid sequence of </w:t>
      </w:r>
      <w:r w:rsidR="007E4D4E" w:rsidRPr="007227AB">
        <w:rPr>
          <w:sz w:val="24"/>
        </w:rPr>
        <w:t xml:space="preserve">the </w:t>
      </w:r>
      <w:r w:rsidR="007E4663" w:rsidRPr="007227AB">
        <w:rPr>
          <w:sz w:val="24"/>
        </w:rPr>
        <w:t xml:space="preserve">product from each predicted ORF was used as </w:t>
      </w:r>
      <w:r w:rsidR="00CE6FBB" w:rsidRPr="007227AB">
        <w:rPr>
          <w:sz w:val="24"/>
        </w:rPr>
        <w:t xml:space="preserve">a </w:t>
      </w:r>
      <w:r w:rsidR="007E4663" w:rsidRPr="007227AB">
        <w:rPr>
          <w:sz w:val="24"/>
        </w:rPr>
        <w:t xml:space="preserve">query for </w:t>
      </w:r>
      <w:r w:rsidR="007E4D4E" w:rsidRPr="007227AB">
        <w:rPr>
          <w:sz w:val="24"/>
        </w:rPr>
        <w:t xml:space="preserve">the </w:t>
      </w:r>
      <w:proofErr w:type="spellStart"/>
      <w:r w:rsidR="007E4663" w:rsidRPr="007227AB">
        <w:rPr>
          <w:sz w:val="24"/>
        </w:rPr>
        <w:t>blastp</w:t>
      </w:r>
      <w:proofErr w:type="spellEnd"/>
      <w:r w:rsidR="007E4663" w:rsidRPr="007227AB">
        <w:rPr>
          <w:sz w:val="24"/>
        </w:rPr>
        <w:t xml:space="preserve"> search (e-value ≤ 1e</w:t>
      </w:r>
      <w:r w:rsidR="007E4D4E" w:rsidRPr="007227AB">
        <w:rPr>
          <w:sz w:val="24"/>
        </w:rPr>
        <w:t>−</w:t>
      </w:r>
      <w:r w:rsidR="007E4663" w:rsidRPr="007227AB">
        <w:rPr>
          <w:sz w:val="24"/>
        </w:rPr>
        <w:t xml:space="preserve">5) with NCBI nr limited in </w:t>
      </w:r>
      <w:proofErr w:type="spellStart"/>
      <w:r w:rsidR="007E4663" w:rsidRPr="007227AB">
        <w:rPr>
          <w:i/>
          <w:iCs/>
          <w:sz w:val="24"/>
        </w:rPr>
        <w:t>Caudoviricetes</w:t>
      </w:r>
      <w:proofErr w:type="spellEnd"/>
      <w:r w:rsidR="00004A14" w:rsidRPr="007227AB">
        <w:rPr>
          <w:sz w:val="24"/>
        </w:rPr>
        <w:t xml:space="preserve"> </w:t>
      </w:r>
      <w:r w:rsidR="007E4663" w:rsidRPr="007227AB">
        <w:rPr>
          <w:sz w:val="24"/>
        </w:rPr>
        <w:t xml:space="preserve">and annotated </w:t>
      </w:r>
      <w:r w:rsidR="007E4663" w:rsidRPr="007227AB">
        <w:rPr>
          <w:sz w:val="24"/>
        </w:rPr>
        <w:lastRenderedPageBreak/>
        <w:t xml:space="preserve">following the description of the homologs in </w:t>
      </w:r>
      <w:r w:rsidR="007E4D4E" w:rsidRPr="007227AB">
        <w:rPr>
          <w:sz w:val="24"/>
        </w:rPr>
        <w:t xml:space="preserve">the </w:t>
      </w:r>
      <w:proofErr w:type="spellStart"/>
      <w:r w:rsidR="007E4663" w:rsidRPr="007227AB">
        <w:rPr>
          <w:sz w:val="24"/>
        </w:rPr>
        <w:t>Ralstonia</w:t>
      </w:r>
      <w:proofErr w:type="spellEnd"/>
      <w:r w:rsidR="007E4663" w:rsidRPr="007227AB">
        <w:rPr>
          <w:sz w:val="24"/>
        </w:rPr>
        <w:t xml:space="preserve"> phage RP12(NC_041911.1). tRNA and rRNA</w:t>
      </w:r>
      <w:r w:rsidR="007E4D4E" w:rsidRPr="007227AB">
        <w:rPr>
          <w:sz w:val="24"/>
        </w:rPr>
        <w:t xml:space="preserve"> sequences</w:t>
      </w:r>
      <w:r w:rsidR="007E4663" w:rsidRPr="007227AB">
        <w:rPr>
          <w:sz w:val="24"/>
        </w:rPr>
        <w:t xml:space="preserve"> were </w:t>
      </w:r>
      <w:r w:rsidR="00193C26" w:rsidRPr="007227AB">
        <w:rPr>
          <w:sz w:val="24"/>
        </w:rPr>
        <w:t>detected</w:t>
      </w:r>
      <w:r w:rsidR="007E4663" w:rsidRPr="007227AB">
        <w:rPr>
          <w:sz w:val="24"/>
        </w:rPr>
        <w:t xml:space="preserve"> </w:t>
      </w:r>
      <w:r w:rsidR="007E4D4E" w:rsidRPr="007227AB">
        <w:rPr>
          <w:sz w:val="24"/>
        </w:rPr>
        <w:t xml:space="preserve">using </w:t>
      </w:r>
      <w:proofErr w:type="spellStart"/>
      <w:r w:rsidR="007E4663" w:rsidRPr="007227AB">
        <w:rPr>
          <w:sz w:val="24"/>
        </w:rPr>
        <w:t>tRNAscan</w:t>
      </w:r>
      <w:proofErr w:type="spellEnd"/>
      <w:r w:rsidR="007E4663" w:rsidRPr="007227AB">
        <w:rPr>
          <w:sz w:val="24"/>
        </w:rPr>
        <w:t>-SE v</w:t>
      </w:r>
      <w:r w:rsidR="007E4D4E" w:rsidRPr="007227AB">
        <w:rPr>
          <w:sz w:val="24"/>
        </w:rPr>
        <w:t xml:space="preserve">er. </w:t>
      </w:r>
      <w:r w:rsidR="007E4663" w:rsidRPr="007227AB">
        <w:rPr>
          <w:sz w:val="24"/>
        </w:rPr>
        <w:t xml:space="preserve">2.0 </w:t>
      </w:r>
      <w:r w:rsidR="00B4799A" w:rsidRPr="007227AB">
        <w:rPr>
          <w:rStyle w:val="af0"/>
          <w:sz w:val="24"/>
        </w:rPr>
        <w:fldChar w:fldCharType="begin" w:fldLock="1"/>
      </w:r>
      <w:r w:rsidR="00B4799A" w:rsidRPr="007227AB">
        <w:rPr>
          <w:sz w:val="24"/>
        </w:rPr>
        <w:instrText>ADDIN CSL_CITATION {"citationItems":[{"id":"ITEM-1","itemData":{"DOI":"10.1093/nar/gkab688","ISSN":"13624962","PMID":"34417604","abstract":"tRNAscan-SE has been widely used for transfer RNA (tRNA) gene prediction for over twenty years, developed just as the first genomes were decoded. With the massive increase in quantity and phylogenetic diversity of genomes, the accurate detection and functional prediction of tRNAs has become more challenging. Utilizing a vastly larger training set, we created nearly one hundred specialized isotype- and clade-specific models, greatly improving tRNAscan-SE's ability to identify and classify both typical and atypical tRNAs. We employ a new comparative multi-model strategy where predicted tRNAs are scored against a full set of isotype-specific covariance models, allowing functional prediction based on both the anticodon and the highest-scoring isotype model. Comparative model scoring has also enhanced the program's ability to detect tRNA-derived SINEs and other likely pseudogenes. For the first time, tRNAscan-SE also includes fast and highly accurate detection of mitochondrial tRNAs using newly developed models. Overall, tRNA detection sensitivity and specificity is improved for all isotypes, particularly those utilizing specialized models for selenocysteine and the three subtypes of tRNA genes encoding a CAU anticodon. These enhancements will provide researchers with more accurate and detailed tRNA annotation for a wider variety of tRNAs, and may direct attention to tRNAs with novel traits.","author":[{"dropping-particle":"","family":"Chan","given":"Patricia P.","non-dropping-particle":"","parse-names":false,"suffix":""},{"dropping-particle":"","family":"Lin","given":"Brian Y.","non-dropping-particle":"","parse-names":false,"suffix":""},{"dropping-particle":"","family":"Mak","given":"Allysia J.","non-dropping-particle":"","parse-names":false,"suffix":""},{"dropping-particle":"","family":"Lowe","given":"Todd M.","non-dropping-particle":"","parse-names":false,"suffix":""}],"container-title":"Nucleic Acids Research","id":"ITEM-1","issue":"16","issued":{"date-parts":[["2021"]]},"page":"9077-9096","publisher":"Oxford University Press","title":"TRNAscan-SE 2.0: Improved detection and functional classification of transfer RNA genes","type":"article-journal","volume":"49"},"uris":["http://www.mendeley.com/documents/?uuid=ec1e259c-1d87-445d-ba2b-cde3af225e72"]}],"mendeley":{"formattedCitation":"[4]","plainTextFormattedCitation":"[4]","previouslyFormattedCitation":"[4]"},"properties":{"noteIndex":0},"schema":"https://github.com/citation-style-language/schema/raw/master/csl-citation.json"}</w:instrText>
      </w:r>
      <w:r w:rsidR="00B4799A" w:rsidRPr="007227AB">
        <w:rPr>
          <w:rStyle w:val="af0"/>
          <w:sz w:val="24"/>
        </w:rPr>
        <w:fldChar w:fldCharType="separate"/>
      </w:r>
      <w:r w:rsidR="00B4799A" w:rsidRPr="007227AB">
        <w:rPr>
          <w:rFonts w:eastAsia="ＭＳ 明朝"/>
          <w:bCs/>
          <w:noProof/>
          <w:sz w:val="24"/>
        </w:rPr>
        <w:t>[4]</w:t>
      </w:r>
      <w:r w:rsidR="00B4799A" w:rsidRPr="007227AB">
        <w:rPr>
          <w:rStyle w:val="af0"/>
          <w:sz w:val="24"/>
        </w:rPr>
        <w:fldChar w:fldCharType="end"/>
      </w:r>
      <w:r w:rsidR="007E4663" w:rsidRPr="007227AB">
        <w:rPr>
          <w:sz w:val="24"/>
        </w:rPr>
        <w:t xml:space="preserve"> and </w:t>
      </w:r>
      <w:proofErr w:type="spellStart"/>
      <w:r w:rsidR="007E4663" w:rsidRPr="007227AB">
        <w:rPr>
          <w:sz w:val="24"/>
        </w:rPr>
        <w:t>rnammer</w:t>
      </w:r>
      <w:proofErr w:type="spellEnd"/>
      <w:r w:rsidR="007E4663" w:rsidRPr="007227AB">
        <w:rPr>
          <w:sz w:val="24"/>
        </w:rPr>
        <w:t xml:space="preserve"> v</w:t>
      </w:r>
      <w:r w:rsidR="007E4D4E" w:rsidRPr="007227AB">
        <w:rPr>
          <w:sz w:val="24"/>
        </w:rPr>
        <w:t xml:space="preserve">er. </w:t>
      </w:r>
      <w:r w:rsidR="007E4663" w:rsidRPr="007227AB">
        <w:rPr>
          <w:sz w:val="24"/>
        </w:rPr>
        <w:t xml:space="preserve">1.2 </w:t>
      </w:r>
      <w:r w:rsidR="00B4799A" w:rsidRPr="007227AB">
        <w:rPr>
          <w:rStyle w:val="af0"/>
          <w:sz w:val="24"/>
        </w:rPr>
        <w:fldChar w:fldCharType="begin" w:fldLock="1"/>
      </w:r>
      <w:r w:rsidR="00B4799A" w:rsidRPr="007227AB">
        <w:rPr>
          <w:sz w:val="24"/>
        </w:rPr>
        <w:instrText>ADDIN CSL_CITATION {"citationItems":[{"id":"ITEM-1","itemData":{"DOI":"10.1093/nar/gkm160","ISSN":"03051048","abstract":"The publication of a complete genome sequence is usually accompanied by annotations of its genes. In contrast to protein coding genes, genes for ribosomal RNA (rRNA) are often poorly or inconsistently annotated. This makes comparative studies based on rRNA genes difficult. We have therefore created computational predictors for the major rRNA species from all kingdoms of life and compiled them into a program called RNAmmer. The program uses hidden Markov models trained on data from the 5S ribosomal RNA database and the European ribosomal RNA database project. A pre-screening step makes the method fast with little loss of sensitivity, enabling the analysis of a complete bacterial genome in less than a minute. Results from running RNAmmer on a large set of genomes indicate that the location of rRNAs can be predicted with a very high level of accuracy. Novel, unannotated rRNAs are also predicted in many genomes. The software as well as the genome analysis results are available at the CBS web server. © 2007 The Author(s).","author":[{"dropping-particle":"","family":"Lagesen","given":"Karin","non-dropping-particle":"","parse-names":false,"suffix":""},{"dropping-particle":"","family":"Hallin","given":"Peter","non-dropping-particle":"","parse-names":false,"suffix":""},{"dropping-particle":"","family":"Rødland","given":"Einar Andreas","non-dropping-particle":"","parse-names":false,"suffix":""},{"dropping-particle":"","family":"Stærfeldt","given":"Hans Henrik","non-dropping-particle":"","parse-names":false,"suffix":""},{"dropping-particle":"","family":"Rognes","given":"Torbjørn","non-dropping-particle":"","parse-names":false,"suffix":""},{"dropping-particle":"","family":"Ussery","given":"David W.","non-dropping-particle":"","parse-names":false,"suffix":""}],"container-title":"Nucleic Acids Research","id":"ITEM-1","issue":"9","issued":{"date-parts":[["2007"]]},"page":"3100-3108","title":"RNAmmer: Consistent and rapid annotation of ribosomal RNA genes","type":"article-journal","volume":"35"},"uris":["http://www.mendeley.com/documents/?uuid=47b14bef-2e1d-4986-9a69-c70e3daa043d"]}],"mendeley":{"formattedCitation":"[5]","plainTextFormattedCitation":"[5]","previouslyFormattedCitation":"[5]"},"properties":{"noteIndex":0},"schema":"https://github.com/citation-style-language/schema/raw/master/csl-citation.json"}</w:instrText>
      </w:r>
      <w:r w:rsidR="00B4799A" w:rsidRPr="007227AB">
        <w:rPr>
          <w:rStyle w:val="af0"/>
          <w:sz w:val="24"/>
        </w:rPr>
        <w:fldChar w:fldCharType="separate"/>
      </w:r>
      <w:r w:rsidR="00B4799A" w:rsidRPr="007227AB">
        <w:rPr>
          <w:rFonts w:eastAsia="ＭＳ 明朝"/>
          <w:bCs/>
          <w:noProof/>
          <w:sz w:val="24"/>
        </w:rPr>
        <w:t>[5]</w:t>
      </w:r>
      <w:r w:rsidR="00B4799A" w:rsidRPr="007227AB">
        <w:rPr>
          <w:rStyle w:val="af0"/>
          <w:sz w:val="24"/>
        </w:rPr>
        <w:fldChar w:fldCharType="end"/>
      </w:r>
      <w:r w:rsidR="007E4D4E" w:rsidRPr="007227AB">
        <w:rPr>
          <w:sz w:val="24"/>
        </w:rPr>
        <w:t xml:space="preserve">, </w:t>
      </w:r>
      <w:r w:rsidR="007E4D4E" w:rsidRPr="00C62152">
        <w:rPr>
          <w:sz w:val="24"/>
        </w:rPr>
        <w:t>respectively</w:t>
      </w:r>
      <w:r w:rsidR="007E4663" w:rsidRPr="00C62152">
        <w:rPr>
          <w:sz w:val="24"/>
        </w:rPr>
        <w:t>.</w:t>
      </w:r>
      <w:r w:rsidR="007E4663" w:rsidRPr="007227AB">
        <w:rPr>
          <w:sz w:val="24"/>
        </w:rPr>
        <w:t xml:space="preserve"> </w:t>
      </w:r>
      <w:r w:rsidR="007E4D4E" w:rsidRPr="007227AB">
        <w:rPr>
          <w:sz w:val="24"/>
        </w:rPr>
        <w:t xml:space="preserve">The </w:t>
      </w:r>
      <w:r w:rsidR="007E4663" w:rsidRPr="007227AB">
        <w:rPr>
          <w:sz w:val="24"/>
        </w:rPr>
        <w:t xml:space="preserve">complete genome comparison </w:t>
      </w:r>
      <w:r w:rsidR="007E4D4E" w:rsidRPr="007227AB">
        <w:rPr>
          <w:sz w:val="24"/>
        </w:rPr>
        <w:t xml:space="preserve">was </w:t>
      </w:r>
      <w:r w:rsidR="007E4663" w:rsidRPr="007227AB">
        <w:rPr>
          <w:sz w:val="24"/>
        </w:rPr>
        <w:t xml:space="preserve">visualized </w:t>
      </w:r>
      <w:r w:rsidR="007E4D4E" w:rsidRPr="007227AB">
        <w:rPr>
          <w:sz w:val="24"/>
        </w:rPr>
        <w:t xml:space="preserve">using </w:t>
      </w:r>
      <w:proofErr w:type="spellStart"/>
      <w:r w:rsidR="007E4663" w:rsidRPr="007227AB">
        <w:rPr>
          <w:sz w:val="24"/>
        </w:rPr>
        <w:t>EasyFig</w:t>
      </w:r>
      <w:proofErr w:type="spellEnd"/>
      <w:r w:rsidR="007E4663" w:rsidRPr="007227AB">
        <w:rPr>
          <w:sz w:val="24"/>
        </w:rPr>
        <w:t xml:space="preserve"> v</w:t>
      </w:r>
      <w:r w:rsidR="007E4D4E" w:rsidRPr="007227AB">
        <w:rPr>
          <w:sz w:val="24"/>
        </w:rPr>
        <w:t xml:space="preserve">er. </w:t>
      </w:r>
      <w:r w:rsidR="007E4663" w:rsidRPr="007227AB">
        <w:rPr>
          <w:sz w:val="24"/>
        </w:rPr>
        <w:t xml:space="preserve">2.2.2 </w:t>
      </w:r>
      <w:r w:rsidR="00B4799A" w:rsidRPr="007227AB">
        <w:rPr>
          <w:rStyle w:val="af0"/>
          <w:sz w:val="24"/>
        </w:rPr>
        <w:fldChar w:fldCharType="begin" w:fldLock="1"/>
      </w:r>
      <w:r w:rsidR="00B4799A" w:rsidRPr="007227AB">
        <w:rPr>
          <w:sz w:val="24"/>
        </w:rPr>
        <w:instrText>ADDIN CSL_CITATION {"citationItems":[{"id":"ITEM-1","itemData":{"DOI":"10.1093/bioinformatics/btr039","ISSN":"13674803","PMID":"21278367","abstract":"Summary: Easyfig is a Python application for creating linear comparison figures of multiple genomic loci with an easy-to-use graphical user interface. BLAST comparisons between multiple genomic regions, ranging from single genes to whole prokaryote chromosomes, can be generated, visualized and interactively coloured, enabling a rapid transition between analysis and the preparation of publication quality figures. © The Author(s) 2011. Published by Oxford University Press.","author":[{"dropping-particle":"","family":"Sullivan","given":"Mitchell J.","non-dropping-particle":"","parse-names":false,"suffix":""},{"dropping-particle":"","family":"Petty","given":"Nicola K.","non-dropping-particle":"","parse-names":false,"suffix":""},{"dropping-particle":"","family":"Beatson","given":"Scott A.","non-dropping-particle":"","parse-names":false,"suffix":""}],"container-title":"Bioinformatics","id":"ITEM-1","issue":"7","issued":{"date-parts":[["2011"]]},"page":"1009-1010","title":"Easyfig: A genome comparison visualizer","type":"article-journal","volume":"27"},"uris":["http://www.mendeley.com/documents/?uuid=ec0376b1-4254-4ff6-b8b6-f253274176be"]}],"mendeley":{"formattedCitation":"[6]","plainTextFormattedCitation":"[6]","previouslyFormattedCitation":"[6]"},"properties":{"noteIndex":0},"schema":"https://github.com/citation-style-language/schema/raw/master/csl-citation.json"}</w:instrText>
      </w:r>
      <w:r w:rsidR="00B4799A" w:rsidRPr="007227AB">
        <w:rPr>
          <w:rStyle w:val="af0"/>
          <w:sz w:val="24"/>
        </w:rPr>
        <w:fldChar w:fldCharType="separate"/>
      </w:r>
      <w:r w:rsidR="00B4799A" w:rsidRPr="007227AB">
        <w:rPr>
          <w:rFonts w:eastAsia="ＭＳ 明朝"/>
          <w:bCs/>
          <w:noProof/>
          <w:sz w:val="24"/>
        </w:rPr>
        <w:t>[6]</w:t>
      </w:r>
      <w:r w:rsidR="00B4799A" w:rsidRPr="007227AB">
        <w:rPr>
          <w:rStyle w:val="af0"/>
          <w:sz w:val="24"/>
        </w:rPr>
        <w:fldChar w:fldCharType="end"/>
      </w:r>
      <w:r w:rsidR="007E4663" w:rsidRPr="007227AB">
        <w:rPr>
          <w:sz w:val="24"/>
        </w:rPr>
        <w:t xml:space="preserve">. Proteomic tree analysis was performed using </w:t>
      </w:r>
      <w:proofErr w:type="spellStart"/>
      <w:r w:rsidR="007E4663" w:rsidRPr="007227AB">
        <w:rPr>
          <w:sz w:val="24"/>
        </w:rPr>
        <w:t>ViPTree</w:t>
      </w:r>
      <w:proofErr w:type="spellEnd"/>
      <w:r w:rsidR="007E4663" w:rsidRPr="007227AB">
        <w:rPr>
          <w:sz w:val="24"/>
        </w:rPr>
        <w:t xml:space="preserve"> </w:t>
      </w:r>
      <w:r w:rsidR="00A243A4" w:rsidRPr="007227AB">
        <w:rPr>
          <w:sz w:val="24"/>
        </w:rPr>
        <w:t>v</w:t>
      </w:r>
      <w:r w:rsidR="007E4D4E" w:rsidRPr="007227AB">
        <w:rPr>
          <w:sz w:val="24"/>
        </w:rPr>
        <w:t>er</w:t>
      </w:r>
      <w:r w:rsidR="00A243A4" w:rsidRPr="007227AB">
        <w:rPr>
          <w:sz w:val="24"/>
        </w:rPr>
        <w:t xml:space="preserve">. 4.0 </w:t>
      </w:r>
      <w:r w:rsidR="00B4799A" w:rsidRPr="007227AB">
        <w:rPr>
          <w:rStyle w:val="af0"/>
          <w:sz w:val="24"/>
        </w:rPr>
        <w:fldChar w:fldCharType="begin" w:fldLock="1"/>
      </w:r>
      <w:r w:rsidR="00B4799A" w:rsidRPr="007227AB">
        <w:rPr>
          <w:sz w:val="24"/>
        </w:rPr>
        <w:instrText xml:space="preserve">ADDIN CSL_CITATION {"citationItems":[{"id":"ITEM-1","itemData":{"DOI":"10.1093/bioinformatics/btx157","ISSN":"14602059","abstract":"Summary: ViPTree is a web server provided through GenomeNet to generate viral proteomic trees for classification of viruses based on genome-wide similarities. Users can upload viral genomes sequenced either by genomics or metagenomics. ViPTree generates proteomic trees for the uploaded genomes together with flexibly selected reference viral genomes. ViPTree also serves as a platform to visually investigate genomic alignments and automatically annotated gene functions for the uploaded viral genomes, thus providing virus researchers the first choice for classifying and understanding newly sequenced viral genomes.","author":[{"dropping-particle":"","family":"Nishimura","given":"Yosuke","non-dropping-particle":"","parse-names":false,"suffix":""},{"dropping-particle":"","family":"Yoshida","given":"Takashi","non-dropping-particle":"","parse-names":false,"suffix":""},{"dropping-particle":"","family":"Kuronishi","given":"Megumi","non-dropping-particle":"","parse-names":false,"suffix":""},{"dropping-particle":"","family":"Uehara","given":"Hideya","non-dropping-particle":"","parse-names":false,"suffix":""},{"dropping-particle":"","family":"Ogata","given":"Hiroyuki","non-dropping-particle":"","parse-names":false,"suffix":""},{"dropping-particle":"","family":"Goto","given":"Susumu","non-dropping-particle":"","parse-names":false,"suffix":""}],"container-title":"Bioinformatics","id":"ITEM-1","issue":"15","issued":{"date-parts":[["2017"]]},"note":"proteomic tree </w:instrText>
      </w:r>
      <w:r w:rsidR="00B4799A" w:rsidRPr="007227AB">
        <w:rPr>
          <w:rFonts w:eastAsia="ＭＳ 明朝" w:hint="eastAsia"/>
          <w:sz w:val="24"/>
        </w:rPr>
        <w:instrText>を描くソフト</w:instrText>
      </w:r>
      <w:r w:rsidR="00B4799A" w:rsidRPr="007227AB">
        <w:rPr>
          <w:sz w:val="24"/>
        </w:rPr>
        <w:instrText>\n</w:instrText>
      </w:r>
      <w:r w:rsidR="00B4799A" w:rsidRPr="007227AB">
        <w:rPr>
          <w:rFonts w:eastAsia="ＭＳ 明朝" w:hint="eastAsia"/>
          <w:sz w:val="24"/>
        </w:rPr>
        <w:instrText>京大の緒方研</w:instrText>
      </w:r>
      <w:r w:rsidR="00B4799A" w:rsidRPr="007227AB">
        <w:rPr>
          <w:sz w:val="24"/>
        </w:rPr>
        <w:instrText xml:space="preserve"> </w:instrText>
      </w:r>
      <w:r w:rsidR="00B4799A" w:rsidRPr="007227AB">
        <w:rPr>
          <w:rFonts w:eastAsia="ＭＳ 明朝" w:hint="eastAsia"/>
          <w:sz w:val="24"/>
        </w:rPr>
        <w:instrText>にいた</w:instrText>
      </w:r>
      <w:r w:rsidR="00B4799A" w:rsidRPr="007227AB">
        <w:rPr>
          <w:sz w:val="24"/>
        </w:rPr>
        <w:instrText xml:space="preserve"> </w:instrText>
      </w:r>
      <w:r w:rsidR="00B4799A" w:rsidRPr="007227AB">
        <w:rPr>
          <w:rFonts w:eastAsia="ＭＳ 明朝" w:hint="eastAsia"/>
          <w:sz w:val="24"/>
        </w:rPr>
        <w:instrText>五斗進</w:instrText>
      </w:r>
      <w:r w:rsidR="00B4799A" w:rsidRPr="007227AB">
        <w:rPr>
          <w:sz w:val="24"/>
        </w:rPr>
        <w:instrText xml:space="preserve"> </w:instrText>
      </w:r>
      <w:r w:rsidR="00B4799A" w:rsidRPr="007227AB">
        <w:rPr>
          <w:rFonts w:eastAsia="ＭＳ 明朝" w:hint="eastAsia"/>
          <w:sz w:val="24"/>
        </w:rPr>
        <w:instrText>さん</w:instrText>
      </w:r>
      <w:r w:rsidR="00B4799A" w:rsidRPr="007227AB">
        <w:rPr>
          <w:sz w:val="24"/>
        </w:rPr>
        <w:instrText xml:space="preserve"> (</w:instrText>
      </w:r>
      <w:r w:rsidR="00B4799A" w:rsidRPr="007227AB">
        <w:rPr>
          <w:rFonts w:eastAsia="ＭＳ 明朝" w:hint="eastAsia"/>
          <w:sz w:val="24"/>
        </w:rPr>
        <w:instrText>今東大で教授してる</w:instrText>
      </w:r>
      <w:r w:rsidR="00B4799A" w:rsidRPr="007227AB">
        <w:rPr>
          <w:sz w:val="24"/>
        </w:rPr>
        <w:instrText xml:space="preserve">) </w:instrText>
      </w:r>
      <w:r w:rsidR="00B4799A" w:rsidRPr="007227AB">
        <w:rPr>
          <w:rFonts w:eastAsia="ＭＳ 明朝" w:hint="eastAsia"/>
          <w:sz w:val="24"/>
        </w:rPr>
        <w:instrText>が</w:instrText>
      </w:r>
      <w:r w:rsidR="00B4799A" w:rsidRPr="007227AB">
        <w:rPr>
          <w:sz w:val="24"/>
        </w:rPr>
        <w:instrText xml:space="preserve"> corresponding author\n\nRoos\n\nRoos","page":"2379-2380","title":"ViPTree: The viral proteomic tree server","type":"article-journal","volume":"33"},"uris":["http://www.mendeley.com/documents/?uuid=c3bafcf7-80e7-4e2f-9a47-c212509865b9"]}],"mendeley":{"formattedCitation":"[7]","plainTextFormattedCitation":"[7]","previouslyFormattedCitation":"[7]"},"properties":{"noteIndex":0},"schema":"https://github.com/citation-style-language/schema/raw/master/csl-citation.json"}</w:instrText>
      </w:r>
      <w:r w:rsidR="00B4799A" w:rsidRPr="007227AB">
        <w:rPr>
          <w:rStyle w:val="af0"/>
          <w:sz w:val="24"/>
        </w:rPr>
        <w:fldChar w:fldCharType="separate"/>
      </w:r>
      <w:r w:rsidR="00B4799A" w:rsidRPr="007227AB">
        <w:rPr>
          <w:rFonts w:eastAsia="ＭＳ 明朝"/>
          <w:bCs/>
          <w:noProof/>
          <w:sz w:val="24"/>
        </w:rPr>
        <w:t>[7]</w:t>
      </w:r>
      <w:r w:rsidR="00B4799A" w:rsidRPr="007227AB">
        <w:rPr>
          <w:rStyle w:val="af0"/>
          <w:sz w:val="24"/>
        </w:rPr>
        <w:fldChar w:fldCharType="end"/>
      </w:r>
      <w:r w:rsidR="00E67E36" w:rsidRPr="007227AB">
        <w:rPr>
          <w:sz w:val="24"/>
        </w:rPr>
        <w:t xml:space="preserve">. </w:t>
      </w:r>
      <w:r w:rsidR="007E4D4E" w:rsidRPr="007227AB">
        <w:rPr>
          <w:sz w:val="24"/>
        </w:rPr>
        <w:t>A p</w:t>
      </w:r>
      <w:r w:rsidR="00E67E36" w:rsidRPr="007227AB">
        <w:rPr>
          <w:sz w:val="24"/>
        </w:rPr>
        <w:t xml:space="preserve">hylogenetic tree of </w:t>
      </w:r>
      <w:r w:rsidR="007E4D4E" w:rsidRPr="007227AB">
        <w:rPr>
          <w:sz w:val="24"/>
        </w:rPr>
        <w:t xml:space="preserve">the </w:t>
      </w:r>
      <w:proofErr w:type="spellStart"/>
      <w:r w:rsidR="00E67E36" w:rsidRPr="007227AB">
        <w:rPr>
          <w:sz w:val="24"/>
        </w:rPr>
        <w:t>terminase</w:t>
      </w:r>
      <w:proofErr w:type="spellEnd"/>
      <w:r w:rsidR="00E67E36" w:rsidRPr="007227AB">
        <w:rPr>
          <w:sz w:val="24"/>
        </w:rPr>
        <w:t xml:space="preserve"> large subunit gene and </w:t>
      </w:r>
      <w:r w:rsidR="007E4D4E" w:rsidRPr="007227AB">
        <w:rPr>
          <w:sz w:val="24"/>
        </w:rPr>
        <w:t xml:space="preserve">the </w:t>
      </w:r>
      <w:proofErr w:type="spellStart"/>
      <w:r w:rsidR="00E67E36" w:rsidRPr="007227AB">
        <w:rPr>
          <w:sz w:val="24"/>
        </w:rPr>
        <w:t>SbcC</w:t>
      </w:r>
      <w:proofErr w:type="spellEnd"/>
      <w:r w:rsidR="00E67E36" w:rsidRPr="007227AB">
        <w:rPr>
          <w:sz w:val="24"/>
        </w:rPr>
        <w:t xml:space="preserve"> gene </w:t>
      </w:r>
      <w:r w:rsidR="007E4D4E" w:rsidRPr="007227AB">
        <w:rPr>
          <w:sz w:val="24"/>
        </w:rPr>
        <w:t xml:space="preserve">was </w:t>
      </w:r>
      <w:r w:rsidR="00E67E36" w:rsidRPr="007227AB">
        <w:rPr>
          <w:sz w:val="24"/>
        </w:rPr>
        <w:t xml:space="preserve">constructed </w:t>
      </w:r>
      <w:r w:rsidR="00F30D7E" w:rsidRPr="007227AB">
        <w:rPr>
          <w:sz w:val="24"/>
        </w:rPr>
        <w:t xml:space="preserve">and visualized </w:t>
      </w:r>
      <w:r w:rsidR="007E4D4E" w:rsidRPr="007227AB">
        <w:rPr>
          <w:sz w:val="24"/>
        </w:rPr>
        <w:t xml:space="preserve">using </w:t>
      </w:r>
      <w:r w:rsidR="00CE6FBB" w:rsidRPr="007227AB">
        <w:rPr>
          <w:sz w:val="24"/>
        </w:rPr>
        <w:t xml:space="preserve">the </w:t>
      </w:r>
      <w:r w:rsidR="00E67E36" w:rsidRPr="007227AB">
        <w:rPr>
          <w:sz w:val="24"/>
        </w:rPr>
        <w:t>“one click” mode of</w:t>
      </w:r>
      <w:r w:rsidR="00057F11" w:rsidRPr="007227AB">
        <w:rPr>
          <w:sz w:val="24"/>
        </w:rPr>
        <w:t xml:space="preserve"> </w:t>
      </w:r>
      <w:r w:rsidR="00E67E36" w:rsidRPr="007227AB">
        <w:rPr>
          <w:sz w:val="24"/>
        </w:rPr>
        <w:t>phylogeny.fr</w:t>
      </w:r>
      <w:r w:rsidR="00057F11" w:rsidRPr="007227AB">
        <w:rPr>
          <w:sz w:val="24"/>
        </w:rPr>
        <w:t xml:space="preserve"> </w:t>
      </w:r>
      <w:r w:rsidR="00057F11" w:rsidRPr="007227AB">
        <w:rPr>
          <w:color w:val="000000" w:themeColor="text1"/>
          <w:sz w:val="24"/>
        </w:rPr>
        <w:t>(</w:t>
      </w:r>
      <w:hyperlink r:id="rId7" w:history="1">
        <w:r w:rsidR="003134CE" w:rsidRPr="007227AB">
          <w:rPr>
            <w:rStyle w:val="aa"/>
            <w:color w:val="000000" w:themeColor="text1"/>
            <w:sz w:val="24"/>
          </w:rPr>
          <w:t>https://www.phylogeny.fr</w:t>
        </w:r>
      </w:hyperlink>
      <w:r w:rsidR="00057F11" w:rsidRPr="007227AB">
        <w:rPr>
          <w:color w:val="000000" w:themeColor="text1"/>
          <w:sz w:val="24"/>
        </w:rPr>
        <w:t>)</w:t>
      </w:r>
      <w:r w:rsidR="003134CE" w:rsidRPr="007227AB">
        <w:rPr>
          <w:color w:val="000000" w:themeColor="text1"/>
          <w:sz w:val="24"/>
        </w:rPr>
        <w:t xml:space="preserve"> </w:t>
      </w:r>
      <w:r w:rsidR="003134CE" w:rsidRPr="007227AB">
        <w:rPr>
          <w:sz w:val="24"/>
        </w:rPr>
        <w:fldChar w:fldCharType="begin" w:fldLock="1"/>
      </w:r>
      <w:r w:rsidR="003134CE" w:rsidRPr="007227AB">
        <w:rPr>
          <w:sz w:val="24"/>
        </w:rPr>
        <w:instrText>ADDIN CSL_CITATION {"citationItems":[{"id":"ITEM-1","itemData":{"DOI":"10.1093/nar/gkn180","ISSN":"13624962","PMID":"18424797","abstract":"Phylogenetic analyses are central to many research areas in biology and typically involve the identification of homologous sequences, their multiple alignment, the phylogenetic reconstruction and the graphical representation of the inferred tree. The Phylogeny.fr platform transparently chains programs to automatically perform these tasks. It is primarily designed for biologists with no experience in phylogeny, but can also meet the needs of specialists; the first ones will find up-to-date tools chained in a phylogeny pipeline to analyze their data in a simple and robust way, while the specialists will be able to easily build and run sophisticated analyses. Phylogeny.fr offers three main modes. The 'One Click' mode targets non-specialists and provides a ready-to-use pipeline chaining programs with recognized accuracy and speed: MUSCLE for multiple alignment, PhyML for tree building, and TreeDyn for tree rendering. All parameters are set up to suit most studies, and users only have to provide their input sequences to obtain a ready-to-print tree. The 'Advanced' mode uses the same pipeline but allows the parameters of each program to be customized by users. The 'A la Carte' mode offers more flexibility and sophistication, as users can build their own pipeline by selecting and setting up the required steps from a large choice of tools to suit their specific needs. Prior to phylogenetic analysis, users can also collect neighbors of a query sequence by running BLAST on general or specialized databases. A guide tree then helps to select neighbor sequences to be used as input for the phylogeny pipeline. Phylogeny.fr is available at: http://www.phylogeny.fr/","author":[{"dropping-particle":"","family":"Dereeper","given":"A.","non-dropping-particle":"","parse-names":false,"suffix":""},{"dropping-particle":"","family":"Guignon","given":"V.","non-dropping-particle":"","parse-names":false,"suffix":""},{"dropping-particle":"","family":"Blanc","given":"G.","non-dropping-particle":"","parse-names":false,"suffix":""},{"dropping-particle":"","family":"Audic","given":"S.","non-dropping-particle":"","parse-names":false,"suffix":""},{"dropping-particle":"","family":"Buffet","given":"S.","non-dropping-particle":"","parse-names":false,"suffix":""},{"dropping-particle":"","family":"Chevenet","given":"F.","non-dropping-particle":"","parse-names":false,"suffix":""},{"dropping-particle":"","family":"Dufayard","given":"J. F.","non-dropping-particle":"","parse-names":false,"suffix":""},{"dropping-particle":"","family":"Guindon","given":"S.","non-dropping-particle":"","parse-names":false,"suffix":""},{"dropping-particle":"","family":"Lefort","given":"V.","non-dropping-particle":"","parse-names":false,"suffix":""},{"dropping-particle":"","family":"Lescot","given":"M.","non-dropping-particle":"","parse-names":false,"suffix":""},{"dropping-particle":"","family":"Claverie","given":"J. M.","non-dropping-particle":"","parse-names":false,"suffix":""},{"dropping-particle":"","family":"Gascuel","given":"O.","non-dropping-particle":"","parse-names":false,"suffix":""}],"container-title":"Nucleic acids research","id":"ITEM-1","issue":"Web Server issue","issued":{"date-parts":[["2008"]]},"page":"465-469","title":"Phylogeny.fr: robust phylogenetic analysis for the non-specialist.","type":"article-journal","volume":"36"},"uris":["http://www.mendeley.com/documents/?uuid=5fefd077-4bb9-484c-a94c-2f0977fc434f"]},{"id":"ITEM-2","itemData":{"DOI":"10.1186/1471-2148-10-8","ISSN":"14712148","PMID":"20067610","abstract":"Background. The right sampling of homologous sequences for phylogenetic or molecular evolution analyses is a crucial step, the quality of which can have a significant impact on the final interpretation of the study. There is no single way for constructing datasets suitable for phylogenetic analysis, because this task intimately depends on the scientific question we want to address, Moreover, database mining softwares such as BLAST which are routinely used for searching homologous sequences are not specifically optimized for this task. Results. To fill this gap, we designed BLAST-Explorer, an original and friendly web-based application that combines a BLAST search with a suite of tools that allows interactive, phylogenetic-oriented exploration of the BLAST results and flexible selection of homologous sequences among the BLAST hits. Once the selection of the BLAST hits is done using BLAST-Explorer, the corresponding sequence can be imported locally for external analysis or passed to the phylogenetic tree reconstruction pipelines available on the Phylogeny.fr platform. Conclusions. BLAST-Explorer provides a simple, intuitive and interactive graphical representation of the BLAST results and allows selection and retrieving of the BLAST hit sequences based a wide range of criterions. Although BLAST-Explorer primarily aims at helping the construction of sequence datasets for further phylogenetic study, it can also be used as a standard BLAST server with enriched output. BLAST-Explorer is available at http://www.phylogeny.fr. © 2010 Dereeper et al; licensee BioMed Central Ltd.","author":[{"dropping-particle":"","family":"Dereeper","given":"Alexis","non-dropping-particle":"","parse-names":false,"suffix":""},{"dropping-particle":"","family":"Audic","given":"Stephane","non-dropping-particle":"","parse-names":false,"suffix":""},{"dropping-particle":"","family":"Claverie","given":"Jean Michel","non-dropping-particle":"","parse-names":false,"suffix":""},{"dropping-particle":"","family":"Blanc","given":"Guillaume","non-dropping-particle":"","parse-names":false,"suffix":""}],"container-title":"BMC Evolutionary Biology","id":"ITEM-2","issue":"1","issued":{"date-parts":[["2010"]]},"page":"8-13","title":"BLAST-EXPLORER helps you building datasets for phylogenetic analysis","type":"article-journal","volume":"10"},"uris":["http://www.mendeley.com/documents/?uuid=34f3eaea-b1cb-4387-8b83-f784a4537f97"]}],"mendeley":{"formattedCitation":"[8, 9]","plainTextFormattedCitation":"[8, 9]","previouslyFormattedCitation":"[8, 9]"},"properties":{"noteIndex":0},"schema":"https://github.com/citation-style-language/schema/raw/master/csl-citation.json"}</w:instrText>
      </w:r>
      <w:r w:rsidR="003134CE" w:rsidRPr="007227AB">
        <w:rPr>
          <w:sz w:val="24"/>
        </w:rPr>
        <w:fldChar w:fldCharType="separate"/>
      </w:r>
      <w:r w:rsidR="003134CE" w:rsidRPr="007227AB">
        <w:rPr>
          <w:noProof/>
          <w:sz w:val="24"/>
        </w:rPr>
        <w:t>[8, 9]</w:t>
      </w:r>
      <w:r w:rsidR="003134CE" w:rsidRPr="007227AB">
        <w:rPr>
          <w:sz w:val="24"/>
        </w:rPr>
        <w:fldChar w:fldCharType="end"/>
      </w:r>
      <w:r w:rsidR="00F44278" w:rsidRPr="007227AB">
        <w:rPr>
          <w:sz w:val="24"/>
        </w:rPr>
        <w:t>,</w:t>
      </w:r>
      <w:r w:rsidR="00E67E36" w:rsidRPr="007227AB">
        <w:rPr>
          <w:sz w:val="24"/>
        </w:rPr>
        <w:t xml:space="preserve"> </w:t>
      </w:r>
      <w:r w:rsidR="007E4D4E" w:rsidRPr="007227AB">
        <w:rPr>
          <w:sz w:val="24"/>
        </w:rPr>
        <w:t xml:space="preserve">based on the </w:t>
      </w:r>
      <w:r w:rsidR="007664B8" w:rsidRPr="007227AB">
        <w:rPr>
          <w:sz w:val="24"/>
        </w:rPr>
        <w:t>amino acid sequences</w:t>
      </w:r>
      <w:r w:rsidR="007E4D4E" w:rsidRPr="007227AB">
        <w:rPr>
          <w:sz w:val="24"/>
        </w:rPr>
        <w:t xml:space="preserve"> as follows</w:t>
      </w:r>
      <w:r w:rsidR="00E67E36" w:rsidRPr="007227AB">
        <w:rPr>
          <w:sz w:val="24"/>
        </w:rPr>
        <w:t>.</w:t>
      </w:r>
      <w:r w:rsidR="0010263D" w:rsidRPr="007227AB">
        <w:rPr>
          <w:sz w:val="24"/>
        </w:rPr>
        <w:t xml:space="preserve"> </w:t>
      </w:r>
      <w:r w:rsidR="007E4D4E" w:rsidRPr="007227AB">
        <w:rPr>
          <w:sz w:val="24"/>
        </w:rPr>
        <w:t>M</w:t>
      </w:r>
      <w:r w:rsidR="0010263D" w:rsidRPr="007227AB">
        <w:rPr>
          <w:sz w:val="24"/>
        </w:rPr>
        <w:t xml:space="preserve">ultiple alignment was </w:t>
      </w:r>
      <w:r w:rsidR="007E4D4E" w:rsidRPr="007227AB">
        <w:rPr>
          <w:sz w:val="24"/>
        </w:rPr>
        <w:t xml:space="preserve">performed using </w:t>
      </w:r>
      <w:r w:rsidR="0010263D" w:rsidRPr="007227AB">
        <w:rPr>
          <w:sz w:val="24"/>
        </w:rPr>
        <w:t xml:space="preserve">MUSCLE </w:t>
      </w:r>
      <w:r w:rsidR="00711CE0" w:rsidRPr="007227AB">
        <w:rPr>
          <w:sz w:val="24"/>
        </w:rPr>
        <w:fldChar w:fldCharType="begin" w:fldLock="1"/>
      </w:r>
      <w:r w:rsidR="003134CE" w:rsidRPr="007227AB">
        <w:rPr>
          <w:sz w:val="24"/>
        </w:rPr>
        <w:instrText>ADDIN CSL_CITATION {"citationItems":[{"id":"ITEM-1","itemData":{"DOI":"10.1093/nar/gkh340","ISSN":"03051048","PMID":"15034147","abstract":"We describe MUSCLE, a new computer program for creating multiple alignments of protein sequences. Elements of the algorithm include fast distance estimation using kmer counting, progressive alignment using a new profile function we call the log-expectation score, and refinement using tree-dependent restricted partitioning. The speed and accuracy of MUSCLE are compared with T-Coffee, MAFFT and CLUSTALW on four test sets of reference alignments: BAliBASE, SABmark, SMART and a new benchmark, PREFAB. MUSCLE achieves the highest, or joint highest, rank in accuracy on each of these sets. Without refinement, MUSCLE achieves average accuracy statistically indistinguishable from T-Coffee and MAFFT, and is the fastest of the tested methods for large numbers of sequences, aligning 5000 sequences of average length 350 in 7 min on a current desktop computer. The MUSCLE program, source code and PREFAB test data are freely available at http://www.drive5.com/muscle. © Oxford University Press 20004; all rights reserved.","author":[{"dropping-particle":"","family":"Edgar","given":"Robert C.","non-dropping-particle":"","parse-names":false,"suffix":""}],"container-title":"Nucleic Acids Research","id":"ITEM-1","issue":"5","issued":{"date-parts":[["2004"]]},"page":"1792-1797","title":"MUSCLE: Multiple sequence alignment with high accuracy and high throughput","type":"article-journal","volume":"32"},"uris":["http://www.mendeley.com/documents/?uuid=f53653c0-6571-4e65-90d0-ed2d07233b44"]}],"mendeley":{"formattedCitation":"[10]","plainTextFormattedCitation":"[10]","previouslyFormattedCitation":"[10]"},"properties":{"noteIndex":0},"schema":"https://github.com/citation-style-language/schema/raw/master/csl-citation.json"}</w:instrText>
      </w:r>
      <w:r w:rsidR="00711CE0" w:rsidRPr="007227AB">
        <w:rPr>
          <w:sz w:val="24"/>
        </w:rPr>
        <w:fldChar w:fldCharType="separate"/>
      </w:r>
      <w:r w:rsidR="00711CE0" w:rsidRPr="007227AB">
        <w:rPr>
          <w:noProof/>
          <w:sz w:val="24"/>
        </w:rPr>
        <w:t>[10]</w:t>
      </w:r>
      <w:r w:rsidR="00711CE0" w:rsidRPr="007227AB">
        <w:rPr>
          <w:sz w:val="24"/>
        </w:rPr>
        <w:fldChar w:fldCharType="end"/>
      </w:r>
      <w:r w:rsidR="0010263D" w:rsidRPr="007227AB">
        <w:rPr>
          <w:sz w:val="24"/>
        </w:rPr>
        <w:t xml:space="preserve">, alignment curation was performed </w:t>
      </w:r>
      <w:r w:rsidR="007E4D4E" w:rsidRPr="007227AB">
        <w:rPr>
          <w:sz w:val="24"/>
        </w:rPr>
        <w:t xml:space="preserve">using </w:t>
      </w:r>
      <w:proofErr w:type="spellStart"/>
      <w:r w:rsidR="0010263D" w:rsidRPr="007227AB">
        <w:rPr>
          <w:sz w:val="24"/>
        </w:rPr>
        <w:t>Gblocks</w:t>
      </w:r>
      <w:proofErr w:type="spellEnd"/>
      <w:r w:rsidR="00711CE0" w:rsidRPr="007227AB">
        <w:rPr>
          <w:sz w:val="24"/>
        </w:rPr>
        <w:t xml:space="preserve"> </w:t>
      </w:r>
      <w:r w:rsidR="003134CE" w:rsidRPr="007227AB">
        <w:rPr>
          <w:sz w:val="24"/>
        </w:rPr>
        <w:fldChar w:fldCharType="begin" w:fldLock="1"/>
      </w:r>
      <w:r w:rsidR="003134CE" w:rsidRPr="007227AB">
        <w:rPr>
          <w:sz w:val="24"/>
        </w:rPr>
        <w:instrText>ADDIN CSL_CITATION {"citationItems":[{"id":"ITEM-1","itemData":{"DOI":"10.1093/oxfordjournals.molbev.a026334","ISSN":"07374038","PMID":"10742046","abstract":"The use of some multiple-sequence alignments in phylogenetic analysis, particularly those that are not very well conserved, requires the elimination of poorly aligned positions and divergent regions, since they may not be homologous or may have been saturated by multiple substitutions. A computerized method that eliminates such positions and at the same time tries to minimize the loss of informative sites is presented here. The method is based on the selection of blocks of positions that fulfill a simple set of requirements with respect to the number of contiguous conserved positions lack of gaps, and high conservation of flanking positions, making the final alignment more suitable for phylogenetic analysis. To illustrate the efficiency of this method, alignments of 10 mitochondrial proteins from several completely sequenced mitochondrial genomes belonging to diverse eukaryotes were used as examples. The percentages of removed positions were higher in the most divergent alignments. After removing divergent segments, the amino acid composition of the different sequences was more uniform, and pairwise distances became much smaller. Phylogenetic trees show that topologies can be different after removing conserved blocks, particularly when there are several poorly resolved nodes Strong support was found for the grouping of animals and fungi but not for the position of more basal eukaryotes. The use of a computerized method such as the one presented here reduces to a certain extent the necessity of manually editing multiple alignments, makes the automation of phylogenetic analysis of large data sets feasible, and facilitates the reproduction of the final alignment by other researchers.","author":[{"dropping-particle":"","family":"Castresana","given":"Jose","non-dropping-particle":"","parse-names":false,"suffix":""}],"container-title":"Molecular Biology and Evolution","id":"ITEM-1","issue":"4","issued":{"date-parts":[["2000"]]},"page":"540-552","title":"Selection of conserved blocks from multiple alignments for their use in phylogenetic analysis","type":"article-journal","volume":"17"},"uris":["http://www.mendeley.com/documents/?uuid=9fec480d-da47-4cec-b44d-68638f0042e4"]}],"mendeley":{"formattedCitation":"[11]","plainTextFormattedCitation":"[11]","previouslyFormattedCitation":"[11]"},"properties":{"noteIndex":0},"schema":"https://github.com/citation-style-language/schema/raw/master/csl-citation.json"}</w:instrText>
      </w:r>
      <w:r w:rsidR="003134CE" w:rsidRPr="007227AB">
        <w:rPr>
          <w:sz w:val="24"/>
        </w:rPr>
        <w:fldChar w:fldCharType="separate"/>
      </w:r>
      <w:r w:rsidR="003134CE" w:rsidRPr="007227AB">
        <w:rPr>
          <w:noProof/>
          <w:sz w:val="24"/>
        </w:rPr>
        <w:t>[11]</w:t>
      </w:r>
      <w:r w:rsidR="003134CE" w:rsidRPr="007227AB">
        <w:rPr>
          <w:sz w:val="24"/>
        </w:rPr>
        <w:fldChar w:fldCharType="end"/>
      </w:r>
      <w:r w:rsidR="0010263D" w:rsidRPr="007227AB">
        <w:rPr>
          <w:sz w:val="24"/>
        </w:rPr>
        <w:t xml:space="preserve">, the sequence-based </w:t>
      </w:r>
      <w:r w:rsidR="00F44278" w:rsidRPr="007227AB">
        <w:rPr>
          <w:sz w:val="24"/>
        </w:rPr>
        <w:t>m</w:t>
      </w:r>
      <w:r w:rsidR="0010263D" w:rsidRPr="007227AB">
        <w:rPr>
          <w:sz w:val="24"/>
        </w:rPr>
        <w:t>aximum likelihood tree</w:t>
      </w:r>
      <w:r w:rsidR="003134CE" w:rsidRPr="007227AB">
        <w:rPr>
          <w:sz w:val="24"/>
        </w:rPr>
        <w:t xml:space="preserve"> </w:t>
      </w:r>
      <w:r w:rsidR="007E4D4E" w:rsidRPr="007227AB">
        <w:rPr>
          <w:sz w:val="24"/>
        </w:rPr>
        <w:t xml:space="preserve">was constructed using the </w:t>
      </w:r>
      <w:proofErr w:type="spellStart"/>
      <w:r w:rsidR="007E4D4E" w:rsidRPr="007227AB">
        <w:rPr>
          <w:sz w:val="24"/>
        </w:rPr>
        <w:t>PhyML</w:t>
      </w:r>
      <w:proofErr w:type="spellEnd"/>
      <w:r w:rsidR="007E4D4E" w:rsidRPr="007227AB">
        <w:rPr>
          <w:sz w:val="24"/>
        </w:rPr>
        <w:t xml:space="preserve"> </w:t>
      </w:r>
      <w:r w:rsidR="003134CE" w:rsidRPr="007227AB">
        <w:rPr>
          <w:sz w:val="24"/>
        </w:rPr>
        <w:fldChar w:fldCharType="begin" w:fldLock="1"/>
      </w:r>
      <w:r w:rsidR="00B73E03" w:rsidRPr="007227AB">
        <w:rPr>
          <w:sz w:val="24"/>
        </w:rPr>
        <w:instrText xml:space="preserve">ADDIN CSL_CITATION {"citationItems":[{"id":"ITEM-1","itemData":{"DOI":"10.1080/10635150390235520","ISSN":"10635157","PMID":"14530136","abstract":"The increase in the number of large data sets and the complexity of current probabilistic sequence evolution models necessitates fast and reliable phylogeny reconstruction methods. We describe a new approach, based on the maximum-likelihood principle, which clearly satisfies these requirements. The core of this method is a simple hill-climbing algorithm that adjusts tree topology and branch lengths simultaneously. This algorithm starts from an initial tree built by a fast distance-based method and modifies this tree to improve its likelihood at each iteration. Due to this simultaneous adjustment of the topology and branch lengths, only a few iterations are sufficient to reach an optimum. We used extensive and realistic computer simulations to show that the topological accuracy of this new method is at least as high as that of the existing maximum-likelihood programs and much higher than the performance of distance-based and parsimony approaches. The reduction of computing time is dramatic in comparison with other maximum-likelihood packages, while the likelihood maximization ability tends to be higher. For example, only 12 min were required on a standard personal computer to analyze a data set consisting of 500 rbcL sequences with 1,428 base pairs from plant plastids, thus reaching a speed of the same order as some popular distance-based and parsimony algorithms. This new method is implemented in the PHYML program, which is freely available on our web page: http://www.lirmm.fr/w3ifa/MAAS/.","author":[{"dropping-particle":"","family":"Guindon","given":"Stéphane","non-dropping-particle":"","parse-names":false,"suffix":""},{"dropping-particle":"","family":"Gascuel","given":"Olivier","non-dropping-particle":"","parse-names":false,"suffix":""}],"container-title":"Systematic Biology","id":"ITEM-1","issue":"5","issued":{"date-parts":[["2003"]]},"page":"696-704","title":"A simple, fast, and accurate algorithm to estimate large phylogenies by maximum likelihood","type":"article-journal","volume":"52"},"uris":["http://www.mendeley.com/documents/?uuid=7fdce82f-d200-4956-b8e9-96389677f70a"]},{"id":"ITEM-2","itemData":{"DOI":"10.1080/10635150600755453","ISSN":"10635157","PMID":"16785212","abstract":"We revisit statistical tests for branches of evolutionary trees reconstructed upon molecular data. A new, fast, approximate likelihood-ratio test (aLRT) for branches is presented here as a competitive alternative to nonparametric bootstrap and Bayesian estimation of branch support. The aLRT is based on the idea of the conventional LRT, with the null hypothesis corresponding to the assumption that the inferred branch has length 0. We show that the LRT statistic is asymptotically distributed as a maximum of three random variables drawn from the χ 0 2 + χ 1 2 distribution. The new aLRT of interior branch uses this distribution for significance testing, but the test statistic is approximated in a slightly conservative but practical way as 2(ℓ 1 - ℓ 2 ), i.e., double the difference between the maximum log-likelihood values corresponding to the best tree and the second best topological arrangement around the branch of interest. Such a test is fast because the log-likelihood value ℓ 2 is computed by optimizing only over the branch of interest and the four adjacent branches, whereas other parameters are fixed at their optimal values corresponding to the best ML tree. The performance of the new test was studied on simulated 4-, 12-, and 100-taxon data sets with sequences of different lengths. The aLRT is shown to be accurate, powerful, and robust to certain violations of model assumptions. The aLRT is implemented within the algorithm used by the recent fast maximum likelihood tree estimation program PHYML (Guindon and Gascuel, 2003). Copyright © Society of Systematic Biologists.","author":[{"dropping-particle":"","family":"Anisimova","given":"Maria","non-dropping-particle":"","parse-names":false,"suffix":""},{"dropping-particle":"","family":"Gascuel","given":"Olivier","non-dropping-particle":"","parse-names":false,"suffix":""}],"container-title":"Systematic Biology","id":"ITEM-2","issue":"4","issued":{"date-parts":[["2006"]]},"note":"aLRT </w:instrText>
      </w:r>
      <w:r w:rsidR="00B73E03" w:rsidRPr="007227AB">
        <w:rPr>
          <w:rFonts w:eastAsia="ＭＳ 明朝" w:hint="eastAsia"/>
          <w:sz w:val="24"/>
        </w:rPr>
        <w:instrText>の提唱の論文</w:instrText>
      </w:r>
      <w:r w:rsidR="00B73E03" w:rsidRPr="007227AB">
        <w:rPr>
          <w:sz w:val="24"/>
        </w:rPr>
        <w:instrText xml:space="preserve">. ML </w:instrText>
      </w:r>
      <w:r w:rsidR="00B73E03" w:rsidRPr="007227AB">
        <w:rPr>
          <w:rFonts w:eastAsia="ＭＳ 明朝" w:hint="eastAsia"/>
          <w:sz w:val="24"/>
        </w:rPr>
        <w:instrText>法の</w:instrText>
      </w:r>
      <w:r w:rsidR="00B73E03" w:rsidRPr="007227AB">
        <w:rPr>
          <w:sz w:val="24"/>
        </w:rPr>
        <w:instrText xml:space="preserve"> branch support.\n\n</w:instrText>
      </w:r>
      <w:r w:rsidR="00B73E03" w:rsidRPr="007227AB">
        <w:rPr>
          <w:rFonts w:eastAsia="ＭＳ 明朝" w:hint="eastAsia"/>
          <w:sz w:val="24"/>
        </w:rPr>
        <w:instrText>疑問</w:instrText>
      </w:r>
      <w:r w:rsidR="00B73E03" w:rsidRPr="007227AB">
        <w:rPr>
          <w:sz w:val="24"/>
        </w:rPr>
        <w:instrText xml:space="preserve">: L2 </w:instrText>
      </w:r>
      <w:r w:rsidR="00B73E03" w:rsidRPr="007227AB">
        <w:rPr>
          <w:rFonts w:eastAsia="ＭＳ 明朝" w:hint="eastAsia"/>
          <w:sz w:val="24"/>
        </w:rPr>
        <w:instrText>はどうやって決めたんですか</w:instrText>
      </w:r>
      <w:r w:rsidR="00B73E03" w:rsidRPr="007227AB">
        <w:rPr>
          <w:sz w:val="24"/>
        </w:rPr>
        <w:instrText>?\n→</w:instrText>
      </w:r>
      <w:r w:rsidR="00B73E03" w:rsidRPr="007227AB">
        <w:rPr>
          <w:rFonts w:eastAsia="ＭＳ 明朝" w:hint="eastAsia"/>
          <w:sz w:val="24"/>
        </w:rPr>
        <w:instrText>特定の枝についての</w:instrText>
      </w:r>
      <w:r w:rsidR="00B73E03" w:rsidRPr="007227AB">
        <w:rPr>
          <w:sz w:val="24"/>
        </w:rPr>
        <w:instrText xml:space="preserve"> support value </w:instrText>
      </w:r>
      <w:r w:rsidR="00B73E03" w:rsidRPr="007227AB">
        <w:rPr>
          <w:rFonts w:eastAsia="ＭＳ 明朝" w:hint="eastAsia"/>
          <w:sz w:val="24"/>
        </w:rPr>
        <w:instrText>だから</w:instrText>
      </w:r>
      <w:r w:rsidR="00B73E03" w:rsidRPr="007227AB">
        <w:rPr>
          <w:sz w:val="24"/>
        </w:rPr>
        <w:instrText xml:space="preserve">, </w:instrText>
      </w:r>
      <w:r w:rsidR="00B73E03" w:rsidRPr="007227AB">
        <w:rPr>
          <w:rFonts w:eastAsia="ＭＳ 明朝" w:hint="eastAsia"/>
          <w:sz w:val="24"/>
        </w:rPr>
        <w:instrText>その枝の長さと周囲</w:instrText>
      </w:r>
      <w:r w:rsidR="00B73E03" w:rsidRPr="007227AB">
        <w:rPr>
          <w:sz w:val="24"/>
        </w:rPr>
        <w:instrText xml:space="preserve"> 4 </w:instrText>
      </w:r>
      <w:r w:rsidR="00B73E03" w:rsidRPr="007227AB">
        <w:rPr>
          <w:rFonts w:eastAsia="ＭＳ 明朝" w:hint="eastAsia"/>
          <w:sz w:val="24"/>
        </w:rPr>
        <w:instrText>本の枝の付き方のみ考えればよくて</w:instrText>
      </w:r>
      <w:r w:rsidR="00B73E03" w:rsidRPr="007227AB">
        <w:rPr>
          <w:sz w:val="24"/>
        </w:rPr>
        <w:instrText xml:space="preserve">, </w:instrText>
      </w:r>
      <w:r w:rsidR="00B73E03" w:rsidRPr="007227AB">
        <w:rPr>
          <w:rFonts w:eastAsia="ＭＳ 明朝" w:hint="eastAsia"/>
          <w:sz w:val="24"/>
        </w:rPr>
        <w:instrText>計算資源はそんなに必要ない</w:instrText>
      </w:r>
      <w:r w:rsidR="00B73E03" w:rsidRPr="007227AB">
        <w:rPr>
          <w:sz w:val="24"/>
        </w:rPr>
        <w:instrText xml:space="preserve"> (L0 </w:instrText>
      </w:r>
      <w:r w:rsidR="00B73E03" w:rsidRPr="007227AB">
        <w:rPr>
          <w:rFonts w:eastAsia="ＭＳ 明朝" w:hint="eastAsia"/>
          <w:sz w:val="24"/>
        </w:rPr>
        <w:instrText>とそんなに変わらんのかな</w:instrText>
      </w:r>
      <w:r w:rsidR="00B73E03" w:rsidRPr="007227AB">
        <w:rPr>
          <w:sz w:val="24"/>
        </w:rPr>
        <w:instrText>)\n\n</w:instrText>
      </w:r>
      <w:r w:rsidR="00B73E03" w:rsidRPr="007227AB">
        <w:rPr>
          <w:rFonts w:eastAsia="ＭＳ 明朝" w:hint="eastAsia"/>
          <w:sz w:val="24"/>
        </w:rPr>
        <w:instrText>疑問</w:instrText>
      </w:r>
      <w:r w:rsidR="00B73E03" w:rsidRPr="007227AB">
        <w:rPr>
          <w:sz w:val="24"/>
        </w:rPr>
        <w:instrText xml:space="preserve">: </w:instrText>
      </w:r>
      <w:r w:rsidR="00B73E03" w:rsidRPr="007227AB">
        <w:rPr>
          <w:rFonts w:eastAsia="ＭＳ 明朝" w:hint="eastAsia"/>
          <w:sz w:val="24"/>
        </w:rPr>
        <w:instrText>帰無仮説で何を取ってるんだ</w:instrText>
      </w:r>
      <w:r w:rsidR="00B73E03" w:rsidRPr="007227AB">
        <w:rPr>
          <w:sz w:val="24"/>
        </w:rPr>
        <w:instrText xml:space="preserve">?\n- L0 </w:instrText>
      </w:r>
      <w:r w:rsidR="00B73E03" w:rsidRPr="007227AB">
        <w:rPr>
          <w:rFonts w:eastAsia="ＭＳ 明朝" w:hint="eastAsia"/>
          <w:sz w:val="24"/>
        </w:rPr>
        <w:instrText>ならわかりやすいが</w:instrText>
      </w:r>
      <w:r w:rsidR="00B73E03" w:rsidRPr="007227AB">
        <w:rPr>
          <w:sz w:val="24"/>
        </w:rPr>
        <w:instrText xml:space="preserve">, L2 </w:instrText>
      </w:r>
      <w:r w:rsidR="00B73E03" w:rsidRPr="007227AB">
        <w:rPr>
          <w:rFonts w:eastAsia="ＭＳ 明朝" w:hint="eastAsia"/>
          <w:sz w:val="24"/>
        </w:rPr>
        <w:instrText>との差を取ってもいいの</w:instrText>
      </w:r>
      <w:r w:rsidR="00B73E03" w:rsidRPr="007227AB">
        <w:rPr>
          <w:sz w:val="24"/>
        </w:rPr>
        <w:instrText xml:space="preserve">?\n- </w:instrText>
      </w:r>
      <w:r w:rsidR="00B73E03" w:rsidRPr="007227AB">
        <w:rPr>
          <w:rFonts w:eastAsia="ＭＳ 明朝" w:hint="eastAsia"/>
          <w:sz w:val="24"/>
        </w:rPr>
        <w:instrText>帰無仮説は</w:instrText>
      </w:r>
      <w:r w:rsidR="00B73E03" w:rsidRPr="007227AB">
        <w:rPr>
          <w:sz w:val="24"/>
        </w:rPr>
        <w:instrText xml:space="preserve"> L0 </w:instrText>
      </w:r>
      <w:r w:rsidR="00B73E03" w:rsidRPr="007227AB">
        <w:rPr>
          <w:rFonts w:eastAsia="ＭＳ 明朝" w:hint="eastAsia"/>
          <w:sz w:val="24"/>
        </w:rPr>
        <w:instrText>にしてるけど</w:instrText>
      </w:r>
      <w:r w:rsidR="00B73E03" w:rsidRPr="007227AB">
        <w:rPr>
          <w:sz w:val="24"/>
        </w:rPr>
        <w:instrText xml:space="preserve">, L0 </w:instrText>
      </w:r>
      <w:r w:rsidR="00B73E03" w:rsidRPr="007227AB">
        <w:rPr>
          <w:rFonts w:eastAsia="ＭＳ 明朝" w:hint="eastAsia"/>
          <w:sz w:val="24"/>
        </w:rPr>
        <w:instrText>と</w:instrText>
      </w:r>
      <w:r w:rsidR="00B73E03" w:rsidRPr="007227AB">
        <w:rPr>
          <w:sz w:val="24"/>
        </w:rPr>
        <w:instrText xml:space="preserve"> L2 </w:instrText>
      </w:r>
      <w:r w:rsidR="00B73E03" w:rsidRPr="007227AB">
        <w:rPr>
          <w:rFonts w:eastAsia="ＭＳ 明朝" w:hint="eastAsia"/>
          <w:sz w:val="24"/>
        </w:rPr>
        <w:instrText>は大して違わないから</w:instrText>
      </w:r>
      <w:r w:rsidR="00B73E03" w:rsidRPr="007227AB">
        <w:rPr>
          <w:sz w:val="24"/>
        </w:rPr>
        <w:instrText xml:space="preserve">, </w:instrText>
      </w:r>
      <w:r w:rsidR="00B73E03" w:rsidRPr="007227AB">
        <w:rPr>
          <w:rFonts w:eastAsia="ＭＳ 明朝" w:hint="eastAsia"/>
          <w:sz w:val="24"/>
        </w:rPr>
        <w:instrText>いいでしょ</w:instrText>
      </w:r>
      <w:r w:rsidR="00B73E03" w:rsidRPr="007227AB">
        <w:rPr>
          <w:sz w:val="24"/>
        </w:rPr>
        <w:instrText xml:space="preserve">, </w:instrText>
      </w:r>
      <w:r w:rsidR="00B73E03" w:rsidRPr="007227AB">
        <w:rPr>
          <w:rFonts w:eastAsia="ＭＳ 明朝" w:hint="eastAsia"/>
          <w:sz w:val="24"/>
        </w:rPr>
        <w:instrText>ってことを記述してる</w:instrText>
      </w:r>
      <w:r w:rsidR="00B73E03" w:rsidRPr="007227AB">
        <w:rPr>
          <w:sz w:val="24"/>
        </w:rPr>
        <w:instrText>","page":"539-552","title":"Approximate likelihood-ratio test for branches: A fast, accurate, and powerful alternative","type":"article-journal","volume":"55"},"uris":["http://www.mendeley.com/documents/?uuid=c5ff6efc-e5c5-4008-9b26-d2c999d92fb0"]}],"mendeley":{"formattedCitation":"[12, 13]","plainTextFormattedCitation":"[12, 13]","previouslyFormattedCitation":"[12, 13]"},"properties":{"noteIndex":0},"schema":"https://github.com/citation-style-language/schema/raw/master/csl-citation.json"}</w:instrText>
      </w:r>
      <w:r w:rsidR="003134CE" w:rsidRPr="007227AB">
        <w:rPr>
          <w:sz w:val="24"/>
        </w:rPr>
        <w:fldChar w:fldCharType="separate"/>
      </w:r>
      <w:r w:rsidR="003134CE" w:rsidRPr="007227AB">
        <w:rPr>
          <w:noProof/>
          <w:sz w:val="24"/>
        </w:rPr>
        <w:t>[12, 13]</w:t>
      </w:r>
      <w:r w:rsidR="003134CE" w:rsidRPr="007227AB">
        <w:rPr>
          <w:sz w:val="24"/>
        </w:rPr>
        <w:fldChar w:fldCharType="end"/>
      </w:r>
      <w:r w:rsidR="0010263D" w:rsidRPr="007227AB">
        <w:rPr>
          <w:sz w:val="24"/>
        </w:rPr>
        <w:t xml:space="preserve">, and the tree was drawn </w:t>
      </w:r>
      <w:r w:rsidR="007E4D4E" w:rsidRPr="007227AB">
        <w:rPr>
          <w:sz w:val="24"/>
        </w:rPr>
        <w:t xml:space="preserve">using </w:t>
      </w:r>
      <w:proofErr w:type="spellStart"/>
      <w:r w:rsidR="0010263D" w:rsidRPr="007227AB">
        <w:rPr>
          <w:sz w:val="24"/>
        </w:rPr>
        <w:t>TreeDyn</w:t>
      </w:r>
      <w:proofErr w:type="spellEnd"/>
      <w:r w:rsidR="003134CE" w:rsidRPr="007227AB">
        <w:rPr>
          <w:sz w:val="24"/>
        </w:rPr>
        <w:t xml:space="preserve"> </w:t>
      </w:r>
      <w:r w:rsidR="003134CE" w:rsidRPr="007227AB">
        <w:rPr>
          <w:sz w:val="24"/>
        </w:rPr>
        <w:fldChar w:fldCharType="begin" w:fldLock="1"/>
      </w:r>
      <w:r w:rsidR="00B73E03" w:rsidRPr="007227AB">
        <w:rPr>
          <w:sz w:val="24"/>
        </w:rPr>
        <w:instrText>ADDIN CSL_CITATION {"citationItems":[{"id":"ITEM-1","itemData":{"DOI":"10.1186/1471-2105-7-439","ISSN":"14712105","PMID":"17032440","abstract":"Background: Analyses of biomolecules for biodiversity, phylogeny or structure/function studies often use graphical tree representations. Many powerful tree editors are now available, but existing tree visualization tools make little use of meta-information related to the entities under study such as taxonomic descriptions or gene functions that can hardly be encoded within the tree itself (if using popular tree formats). Consequently, a tedious manual analysis and post-processing of the tree graphics are required if one needs to use external information for displaying or investigating trees. Results: We have developed TreeDyn, a tool using annotations and dynamic graphical methods for editing and analyzing multiple trees. The main features of TreeDyn are 1) the management of multiple windows and multiple trees per window, 2) the export of graphics to several standard file formats with or without HTML encapsulation and a new format called TGF, which enables saving and restoring graphical analysis, 3) the projection of texts or symbols facing leaf labels or linked to nodes, through manual pasting or by using annotation files, 4) the highlight of graphical elements after querying leaf labels (or annotations) or by selection of graphical elements and information extraction, 5) the highlight of targeted trees according to a source tree browsed by the user, 6) powerful scripts for automating repetitive graphical tasks, 7) a command line interpreter enabling the use of TreeDyn through CGI scripts for online building of trees, 8) the inclusion of a library of packages dedicated to specific research fields involving trees. Conclusion: TreeDyn is a tree visualization and annotation tool which includes tools for tree manipulation and annotation and uses meta-information through dynamic graphical operators or scripting to help analyses and annotations of single trees or tree collections. © 2006 Chevenet et al; licensee BioMed Central Ltd.","author":[{"dropping-particle":"","family":"Chevenet","given":"François","non-dropping-particle":"","parse-names":false,"suffix":""},{"dropping-particle":"","family":"Brun","given":"Christine","non-dropping-particle":"","parse-names":false,"suffix":""},{"dropping-particle":"","family":"Bañuls","given":"Anne Laure","non-dropping-particle":"","parse-names":false,"suffix":""},{"dropping-particle":"","family":"Jacq","given":"Bernard","non-dropping-particle":"","parse-names":false,"suffix":""},{"dropping-particle":"","family":"Christen","given":"Richard","non-dropping-particle":"","parse-names":false,"suffix":""}],"container-title":"BMC Bioinformatics","id":"ITEM-1","issued":{"date-parts":[["2006"]]},"page":"1-9","title":"TreeDyn: Towards dynamic graphics and annotations for analyses of trees","type":"article-journal","volume":"7"},"uris":["http://www.mendeley.com/documents/?uuid=88f811ef-f759-45e7-91de-59cf3f37b152"]}],"mendeley":{"formattedCitation":"[14]","plainTextFormattedCitation":"[14]","previouslyFormattedCitation":"[14]"},"properties":{"noteIndex":0},"schema":"https://github.com/citation-style-language/schema/raw/master/csl-citation.json"}</w:instrText>
      </w:r>
      <w:r w:rsidR="003134CE" w:rsidRPr="007227AB">
        <w:rPr>
          <w:sz w:val="24"/>
        </w:rPr>
        <w:fldChar w:fldCharType="separate"/>
      </w:r>
      <w:r w:rsidR="003134CE" w:rsidRPr="007227AB">
        <w:rPr>
          <w:noProof/>
          <w:sz w:val="24"/>
        </w:rPr>
        <w:t>[14]</w:t>
      </w:r>
      <w:r w:rsidR="003134CE" w:rsidRPr="007227AB">
        <w:rPr>
          <w:sz w:val="24"/>
        </w:rPr>
        <w:fldChar w:fldCharType="end"/>
      </w:r>
      <w:r w:rsidR="0010263D" w:rsidRPr="007227AB">
        <w:rPr>
          <w:sz w:val="24"/>
        </w:rPr>
        <w:t>.</w:t>
      </w:r>
    </w:p>
    <w:p w14:paraId="2995DB13" w14:textId="77777777" w:rsidR="004037E8" w:rsidRPr="007227AB" w:rsidRDefault="004037E8" w:rsidP="006607AF">
      <w:pPr>
        <w:rPr>
          <w:sz w:val="22"/>
          <w:szCs w:val="22"/>
        </w:rPr>
      </w:pPr>
    </w:p>
    <w:p w14:paraId="704B3776" w14:textId="11AE1806" w:rsidR="00D63FB6" w:rsidRPr="007227AB" w:rsidRDefault="00D63FB6" w:rsidP="006607AF">
      <w:pPr>
        <w:rPr>
          <w:b/>
          <w:bCs/>
          <w:sz w:val="24"/>
        </w:rPr>
      </w:pPr>
      <w:proofErr w:type="spellStart"/>
      <w:r w:rsidRPr="007227AB">
        <w:rPr>
          <w:b/>
          <w:bCs/>
          <w:sz w:val="24"/>
        </w:rPr>
        <w:t>Ralstonia</w:t>
      </w:r>
      <w:proofErr w:type="spellEnd"/>
      <w:r w:rsidRPr="007227AB">
        <w:rPr>
          <w:b/>
          <w:bCs/>
          <w:sz w:val="24"/>
        </w:rPr>
        <w:t xml:space="preserve"> phage treatment, inoculation with </w:t>
      </w:r>
      <w:r w:rsidRPr="007227AB">
        <w:rPr>
          <w:b/>
          <w:bCs/>
          <w:i/>
          <w:iCs/>
          <w:sz w:val="24"/>
        </w:rPr>
        <w:t xml:space="preserve">R. </w:t>
      </w:r>
      <w:proofErr w:type="spellStart"/>
      <w:r w:rsidRPr="007227AB">
        <w:rPr>
          <w:b/>
          <w:bCs/>
          <w:i/>
          <w:iCs/>
          <w:sz w:val="24"/>
        </w:rPr>
        <w:t>pseudosolanacearium</w:t>
      </w:r>
      <w:proofErr w:type="spellEnd"/>
      <w:r w:rsidR="00991DCF" w:rsidRPr="007227AB">
        <w:rPr>
          <w:b/>
          <w:bCs/>
          <w:sz w:val="24"/>
        </w:rPr>
        <w:t>,</w:t>
      </w:r>
      <w:r w:rsidRPr="007227AB">
        <w:rPr>
          <w:b/>
          <w:bCs/>
          <w:sz w:val="24"/>
        </w:rPr>
        <w:t xml:space="preserve"> and wilt disease assessment</w:t>
      </w:r>
    </w:p>
    <w:p w14:paraId="5A646899" w14:textId="3E2CA395" w:rsidR="004037E8" w:rsidRPr="007227AB" w:rsidRDefault="004037E8" w:rsidP="00BD4A5F">
      <w:pPr>
        <w:ind w:firstLineChars="250" w:firstLine="600"/>
        <w:rPr>
          <w:sz w:val="24"/>
        </w:rPr>
      </w:pPr>
      <w:r w:rsidRPr="007227AB">
        <w:rPr>
          <w:sz w:val="24"/>
        </w:rPr>
        <w:t>Bacteria were cultured at 28°C in liquid CPG medium containing 0</w:t>
      </w:r>
      <w:r w:rsidR="00B45BF0" w:rsidRPr="007227AB">
        <w:rPr>
          <w:sz w:val="24"/>
        </w:rPr>
        <w:t>.</w:t>
      </w:r>
      <w:r w:rsidRPr="007227AB">
        <w:rPr>
          <w:sz w:val="24"/>
        </w:rPr>
        <w:t>001% tetrazolium chloride for 48 h on a rotary shaker [15]. Subsequently,</w:t>
      </w:r>
      <w:r w:rsidR="00991DCF" w:rsidRPr="007227AB">
        <w:rPr>
          <w:sz w:val="24"/>
        </w:rPr>
        <w:t xml:space="preserve"> the</w:t>
      </w:r>
      <w:r w:rsidRPr="007227AB">
        <w:rPr>
          <w:sz w:val="24"/>
        </w:rPr>
        <w:t xml:space="preserve"> bacterial cells were collected by centrifugation and resuspended in distilled sterilized water to a final density of 1×10</w:t>
      </w:r>
      <w:r w:rsidRPr="007227AB">
        <w:rPr>
          <w:sz w:val="24"/>
          <w:vertAlign w:val="superscript"/>
        </w:rPr>
        <w:t>7</w:t>
      </w:r>
      <w:r w:rsidRPr="007227AB">
        <w:rPr>
          <w:sz w:val="24"/>
        </w:rPr>
        <w:t xml:space="preserve"> </w:t>
      </w:r>
      <w:proofErr w:type="spellStart"/>
      <w:r w:rsidRPr="007227AB">
        <w:rPr>
          <w:sz w:val="24"/>
        </w:rPr>
        <w:t>cfu</w:t>
      </w:r>
      <w:proofErr w:type="spellEnd"/>
      <w:r w:rsidRPr="007227AB">
        <w:rPr>
          <w:sz w:val="24"/>
        </w:rPr>
        <w:t>/</w:t>
      </w:r>
      <w:proofErr w:type="spellStart"/>
      <w:r w:rsidRPr="007227AB">
        <w:rPr>
          <w:sz w:val="24"/>
        </w:rPr>
        <w:t>mL.</w:t>
      </w:r>
      <w:proofErr w:type="spellEnd"/>
      <w:r w:rsidRPr="007227AB">
        <w:rPr>
          <w:sz w:val="24"/>
        </w:rPr>
        <w:t xml:space="preserve"> </w:t>
      </w:r>
      <w:r w:rsidR="00B45BF0" w:rsidRPr="007227AB">
        <w:rPr>
          <w:sz w:val="24"/>
        </w:rPr>
        <w:t>The roots of f</w:t>
      </w:r>
      <w:r w:rsidRPr="007227AB">
        <w:rPr>
          <w:sz w:val="24"/>
        </w:rPr>
        <w:t>ive</w:t>
      </w:r>
      <w:r w:rsidR="00E806B6" w:rsidRPr="007227AB">
        <w:rPr>
          <w:sz w:val="24"/>
        </w:rPr>
        <w:t>-</w:t>
      </w:r>
      <w:r w:rsidRPr="007227AB">
        <w:rPr>
          <w:sz w:val="24"/>
        </w:rPr>
        <w:t>leaf</w:t>
      </w:r>
      <w:r w:rsidR="00E806B6" w:rsidRPr="007227AB">
        <w:rPr>
          <w:sz w:val="24"/>
        </w:rPr>
        <w:t>-</w:t>
      </w:r>
      <w:r w:rsidRPr="007227AB">
        <w:rPr>
          <w:sz w:val="24"/>
        </w:rPr>
        <w:t xml:space="preserve">stage tomato nursery plants were soaked in </w:t>
      </w:r>
      <w:proofErr w:type="spellStart"/>
      <w:r w:rsidRPr="007227AB">
        <w:rPr>
          <w:sz w:val="24"/>
        </w:rPr>
        <w:t>Ralstonia</w:t>
      </w:r>
      <w:proofErr w:type="spellEnd"/>
      <w:r w:rsidRPr="007227AB">
        <w:rPr>
          <w:i/>
          <w:iCs/>
          <w:sz w:val="24"/>
        </w:rPr>
        <w:t xml:space="preserve"> </w:t>
      </w:r>
      <w:r w:rsidRPr="007227AB">
        <w:rPr>
          <w:sz w:val="24"/>
        </w:rPr>
        <w:t>phage FLC4-3B solution (</w:t>
      </w:r>
      <w:r w:rsidR="00000589" w:rsidRPr="007227AB">
        <w:rPr>
          <w:sz w:val="24"/>
        </w:rPr>
        <w:t>1</w:t>
      </w:r>
      <w:r w:rsidR="00E806B6" w:rsidRPr="007227AB">
        <w:rPr>
          <w:sz w:val="24"/>
        </w:rPr>
        <w:t>×</w:t>
      </w:r>
      <w:r w:rsidRPr="007227AB">
        <w:rPr>
          <w:sz w:val="24"/>
        </w:rPr>
        <w:t>10</w:t>
      </w:r>
      <w:r w:rsidRPr="007227AB">
        <w:rPr>
          <w:sz w:val="24"/>
          <w:vertAlign w:val="superscript"/>
        </w:rPr>
        <w:t>7</w:t>
      </w:r>
      <w:r w:rsidRPr="007227AB">
        <w:rPr>
          <w:sz w:val="24"/>
        </w:rPr>
        <w:t xml:space="preserve"> pfu/mL) or </w:t>
      </w:r>
      <w:r w:rsidR="00E806B6" w:rsidRPr="007227AB">
        <w:rPr>
          <w:sz w:val="24"/>
        </w:rPr>
        <w:t xml:space="preserve">in </w:t>
      </w:r>
      <w:r w:rsidRPr="007227AB">
        <w:rPr>
          <w:sz w:val="24"/>
        </w:rPr>
        <w:t xml:space="preserve">diluted CPG medium of the same strength as that used </w:t>
      </w:r>
      <w:r w:rsidR="00E806B6" w:rsidRPr="007227AB">
        <w:rPr>
          <w:sz w:val="24"/>
        </w:rPr>
        <w:t xml:space="preserve">to prepare </w:t>
      </w:r>
      <w:r w:rsidRPr="007227AB">
        <w:rPr>
          <w:sz w:val="24"/>
        </w:rPr>
        <w:t>the FLC4-3B solution</w:t>
      </w:r>
      <w:r w:rsidR="00E806B6" w:rsidRPr="007227AB">
        <w:rPr>
          <w:sz w:val="24"/>
        </w:rPr>
        <w:t>,</w:t>
      </w:r>
      <w:r w:rsidRPr="007227AB">
        <w:rPr>
          <w:sz w:val="24"/>
        </w:rPr>
        <w:t xml:space="preserve"> for 1</w:t>
      </w:r>
      <w:r w:rsidR="00E806B6" w:rsidRPr="007227AB">
        <w:rPr>
          <w:sz w:val="24"/>
        </w:rPr>
        <w:t xml:space="preserve"> </w:t>
      </w:r>
      <w:r w:rsidR="00B45BF0" w:rsidRPr="007227AB">
        <w:rPr>
          <w:sz w:val="24"/>
        </w:rPr>
        <w:t>h</w:t>
      </w:r>
      <w:r w:rsidRPr="007227AB">
        <w:rPr>
          <w:sz w:val="24"/>
        </w:rPr>
        <w:t xml:space="preserve"> at 25</w:t>
      </w:r>
      <w:r w:rsidR="00E806B6" w:rsidRPr="007227AB">
        <w:rPr>
          <w:rFonts w:eastAsia="ＭＳ 明朝"/>
          <w:sz w:val="24"/>
        </w:rPr>
        <w:t>°C</w:t>
      </w:r>
      <w:r w:rsidR="00000589" w:rsidRPr="007227AB">
        <w:rPr>
          <w:rFonts w:eastAsia="ＭＳ 明朝"/>
          <w:sz w:val="24"/>
        </w:rPr>
        <w:t>. After soaking the roots of tomato plants with sterilized distilled water five times,</w:t>
      </w:r>
      <w:r w:rsidR="00B45BF0" w:rsidRPr="007227AB">
        <w:rPr>
          <w:rFonts w:eastAsia="ＭＳ 明朝"/>
          <w:sz w:val="24"/>
        </w:rPr>
        <w:t xml:space="preserve"> </w:t>
      </w:r>
      <w:r w:rsidR="00000589" w:rsidRPr="007227AB">
        <w:rPr>
          <w:rFonts w:eastAsia="ＭＳ 明朝"/>
          <w:sz w:val="24"/>
        </w:rPr>
        <w:t xml:space="preserve">the phage-treated plants were inoculated </w:t>
      </w:r>
      <w:r w:rsidRPr="007227AB">
        <w:rPr>
          <w:rFonts w:eastAsia="ＭＳ 明朝"/>
          <w:sz w:val="24"/>
        </w:rPr>
        <w:t xml:space="preserve">with </w:t>
      </w:r>
      <w:proofErr w:type="spellStart"/>
      <w:r w:rsidRPr="007227AB">
        <w:rPr>
          <w:i/>
          <w:iCs/>
          <w:sz w:val="24"/>
        </w:rPr>
        <w:t>Ralstonia</w:t>
      </w:r>
      <w:proofErr w:type="spellEnd"/>
      <w:r w:rsidRPr="007227AB">
        <w:rPr>
          <w:i/>
          <w:iCs/>
          <w:sz w:val="24"/>
        </w:rPr>
        <w:t xml:space="preserve"> </w:t>
      </w:r>
      <w:proofErr w:type="spellStart"/>
      <w:r w:rsidRPr="007227AB">
        <w:rPr>
          <w:i/>
          <w:iCs/>
          <w:sz w:val="24"/>
        </w:rPr>
        <w:t>pseudosolanacearium</w:t>
      </w:r>
      <w:proofErr w:type="spellEnd"/>
      <w:r w:rsidRPr="007227AB">
        <w:rPr>
          <w:i/>
          <w:iCs/>
          <w:sz w:val="24"/>
        </w:rPr>
        <w:t xml:space="preserve"> </w:t>
      </w:r>
      <w:r w:rsidRPr="007227AB">
        <w:rPr>
          <w:sz w:val="24"/>
        </w:rPr>
        <w:t>MAFF106611 (</w:t>
      </w:r>
      <w:r w:rsidR="00000589" w:rsidRPr="007227AB">
        <w:rPr>
          <w:sz w:val="24"/>
        </w:rPr>
        <w:t>1</w:t>
      </w:r>
      <w:r w:rsidR="00E806B6" w:rsidRPr="007227AB">
        <w:rPr>
          <w:sz w:val="24"/>
        </w:rPr>
        <w:t>×</w:t>
      </w:r>
      <w:r w:rsidRPr="007227AB">
        <w:rPr>
          <w:sz w:val="24"/>
        </w:rPr>
        <w:t>10</w:t>
      </w:r>
      <w:r w:rsidRPr="007227AB">
        <w:rPr>
          <w:sz w:val="24"/>
          <w:vertAlign w:val="superscript"/>
        </w:rPr>
        <w:t>7</w:t>
      </w:r>
      <w:r w:rsidRPr="007227AB">
        <w:rPr>
          <w:sz w:val="24"/>
        </w:rPr>
        <w:t xml:space="preserve"> </w:t>
      </w:r>
      <w:proofErr w:type="spellStart"/>
      <w:r w:rsidRPr="007227AB">
        <w:rPr>
          <w:sz w:val="24"/>
        </w:rPr>
        <w:t>cfu</w:t>
      </w:r>
      <w:proofErr w:type="spellEnd"/>
      <w:r w:rsidRPr="007227AB">
        <w:rPr>
          <w:sz w:val="24"/>
        </w:rPr>
        <w:t>/mL)</w:t>
      </w:r>
      <w:r w:rsidR="00000589" w:rsidRPr="007227AB">
        <w:rPr>
          <w:sz w:val="24"/>
        </w:rPr>
        <w:t xml:space="preserve"> by soaking their roots in the bacterial solution</w:t>
      </w:r>
      <w:r w:rsidRPr="007227AB">
        <w:rPr>
          <w:sz w:val="24"/>
        </w:rPr>
        <w:t xml:space="preserve">. The inoculated plants were </w:t>
      </w:r>
      <w:r w:rsidR="00B45BF0" w:rsidRPr="007227AB">
        <w:rPr>
          <w:sz w:val="24"/>
        </w:rPr>
        <w:t>cultivat</w:t>
      </w:r>
      <w:r w:rsidRPr="007227AB">
        <w:rPr>
          <w:sz w:val="24"/>
        </w:rPr>
        <w:t xml:space="preserve">ed in a growth chamber </w:t>
      </w:r>
      <w:r w:rsidR="00000589" w:rsidRPr="007227AB">
        <w:rPr>
          <w:sz w:val="24"/>
        </w:rPr>
        <w:t xml:space="preserve">at 30°C </w:t>
      </w:r>
      <w:r w:rsidRPr="007227AB">
        <w:rPr>
          <w:sz w:val="24"/>
        </w:rPr>
        <w:t xml:space="preserve">under </w:t>
      </w:r>
      <w:r w:rsidR="00B45BF0" w:rsidRPr="007227AB">
        <w:rPr>
          <w:sz w:val="24"/>
        </w:rPr>
        <w:t>16</w:t>
      </w:r>
      <w:r w:rsidR="00E806B6" w:rsidRPr="007227AB">
        <w:rPr>
          <w:sz w:val="24"/>
        </w:rPr>
        <w:t>-</w:t>
      </w:r>
      <w:r w:rsidR="00B45BF0" w:rsidRPr="007227AB">
        <w:rPr>
          <w:sz w:val="24"/>
        </w:rPr>
        <w:t>h</w:t>
      </w:r>
      <w:r w:rsidR="00E806B6" w:rsidRPr="007227AB">
        <w:rPr>
          <w:sz w:val="24"/>
        </w:rPr>
        <w:t xml:space="preserve"> </w:t>
      </w:r>
      <w:r w:rsidRPr="007227AB">
        <w:rPr>
          <w:sz w:val="24"/>
        </w:rPr>
        <w:t xml:space="preserve">light conditions (70 </w:t>
      </w:r>
      <w:proofErr w:type="spellStart"/>
      <w:r w:rsidRPr="007227AB">
        <w:rPr>
          <w:rFonts w:hint="eastAsia"/>
          <w:sz w:val="24"/>
        </w:rPr>
        <w:t>μ</w:t>
      </w:r>
      <w:r w:rsidRPr="007227AB">
        <w:rPr>
          <w:sz w:val="24"/>
        </w:rPr>
        <w:t>mol</w:t>
      </w:r>
      <w:proofErr w:type="spellEnd"/>
      <w:r w:rsidRPr="007227AB">
        <w:rPr>
          <w:sz w:val="24"/>
        </w:rPr>
        <w:t>/m</w:t>
      </w:r>
      <w:r w:rsidRPr="007227AB">
        <w:rPr>
          <w:sz w:val="24"/>
          <w:vertAlign w:val="superscript"/>
        </w:rPr>
        <w:t>2</w:t>
      </w:r>
      <w:r w:rsidRPr="007227AB">
        <w:rPr>
          <w:sz w:val="24"/>
        </w:rPr>
        <w:t>/s</w:t>
      </w:r>
      <w:r w:rsidR="00000589" w:rsidRPr="007227AB">
        <w:rPr>
          <w:sz w:val="24"/>
        </w:rPr>
        <w:t>)</w:t>
      </w:r>
      <w:r w:rsidRPr="007227AB">
        <w:rPr>
          <w:sz w:val="24"/>
        </w:rPr>
        <w:t xml:space="preserve">. </w:t>
      </w:r>
      <w:r w:rsidR="00D63FB6" w:rsidRPr="007227AB">
        <w:rPr>
          <w:sz w:val="24"/>
        </w:rPr>
        <w:t>A</w:t>
      </w:r>
      <w:r w:rsidR="0093482C" w:rsidRPr="007227AB">
        <w:rPr>
          <w:sz w:val="24"/>
        </w:rPr>
        <w:t xml:space="preserve">t </w:t>
      </w:r>
      <w:r w:rsidR="00D63FB6" w:rsidRPr="007227AB">
        <w:rPr>
          <w:sz w:val="24"/>
        </w:rPr>
        <w:t xml:space="preserve">10 days after inoculation with </w:t>
      </w:r>
      <w:r w:rsidR="00D63FB6" w:rsidRPr="007227AB">
        <w:rPr>
          <w:i/>
          <w:iCs/>
          <w:sz w:val="24"/>
        </w:rPr>
        <w:t xml:space="preserve">R. </w:t>
      </w:r>
      <w:proofErr w:type="spellStart"/>
      <w:r w:rsidR="00D63FB6" w:rsidRPr="007227AB">
        <w:rPr>
          <w:i/>
          <w:iCs/>
          <w:sz w:val="24"/>
        </w:rPr>
        <w:t>pseudosolanacearium</w:t>
      </w:r>
      <w:proofErr w:type="spellEnd"/>
      <w:r w:rsidR="00000589" w:rsidRPr="007227AB">
        <w:rPr>
          <w:sz w:val="24"/>
        </w:rPr>
        <w:t>,</w:t>
      </w:r>
      <w:r w:rsidR="00D63FB6" w:rsidRPr="007227AB">
        <w:rPr>
          <w:sz w:val="24"/>
        </w:rPr>
        <w:t xml:space="preserve"> </w:t>
      </w:r>
      <w:r w:rsidR="00000589" w:rsidRPr="007227AB">
        <w:rPr>
          <w:sz w:val="24"/>
        </w:rPr>
        <w:t>t</w:t>
      </w:r>
      <w:r w:rsidR="00D63FB6" w:rsidRPr="007227AB">
        <w:rPr>
          <w:sz w:val="24"/>
        </w:rPr>
        <w:t xml:space="preserve">he disease severity was categorized </w:t>
      </w:r>
      <w:r w:rsidR="00D63FB6" w:rsidRPr="007227AB">
        <w:rPr>
          <w:sz w:val="24"/>
        </w:rPr>
        <w:lastRenderedPageBreak/>
        <w:t>on a 0</w:t>
      </w:r>
      <w:r w:rsidR="00E806B6" w:rsidRPr="007227AB">
        <w:rPr>
          <w:sz w:val="24"/>
        </w:rPr>
        <w:t>–</w:t>
      </w:r>
      <w:r w:rsidR="00D63FB6" w:rsidRPr="007227AB">
        <w:rPr>
          <w:sz w:val="24"/>
        </w:rPr>
        <w:t>4 non-parametric scale (0, no wilting; 1, 1</w:t>
      </w:r>
      <w:r w:rsidR="00E806B6" w:rsidRPr="007227AB">
        <w:rPr>
          <w:sz w:val="24"/>
        </w:rPr>
        <w:t>%</w:t>
      </w:r>
      <w:r w:rsidR="00F44278" w:rsidRPr="007227AB">
        <w:rPr>
          <w:sz w:val="24"/>
        </w:rPr>
        <w:t>–</w:t>
      </w:r>
      <w:r w:rsidR="00D63FB6" w:rsidRPr="007227AB">
        <w:rPr>
          <w:sz w:val="24"/>
        </w:rPr>
        <w:t>25% wilting; 2, 26</w:t>
      </w:r>
      <w:r w:rsidR="00E806B6" w:rsidRPr="007227AB">
        <w:rPr>
          <w:sz w:val="24"/>
        </w:rPr>
        <w:t>%</w:t>
      </w:r>
      <w:r w:rsidR="00F44278" w:rsidRPr="007227AB">
        <w:rPr>
          <w:sz w:val="24"/>
        </w:rPr>
        <w:t>–</w:t>
      </w:r>
      <w:r w:rsidR="00D63FB6" w:rsidRPr="007227AB">
        <w:rPr>
          <w:sz w:val="24"/>
        </w:rPr>
        <w:t>50% wilting; 3, 51</w:t>
      </w:r>
      <w:r w:rsidR="00E806B6" w:rsidRPr="007227AB">
        <w:rPr>
          <w:sz w:val="24"/>
        </w:rPr>
        <w:t>%</w:t>
      </w:r>
      <w:r w:rsidR="00F44278" w:rsidRPr="007227AB">
        <w:rPr>
          <w:sz w:val="24"/>
        </w:rPr>
        <w:t>–</w:t>
      </w:r>
      <w:r w:rsidR="00D63FB6" w:rsidRPr="007227AB">
        <w:rPr>
          <w:sz w:val="24"/>
        </w:rPr>
        <w:t>75% wilting; 4, 76</w:t>
      </w:r>
      <w:r w:rsidR="00E806B6" w:rsidRPr="007227AB">
        <w:rPr>
          <w:sz w:val="24"/>
        </w:rPr>
        <w:t>%</w:t>
      </w:r>
      <w:r w:rsidR="00F44278" w:rsidRPr="007227AB">
        <w:rPr>
          <w:sz w:val="24"/>
        </w:rPr>
        <w:t>–</w:t>
      </w:r>
      <w:r w:rsidR="00D63FB6" w:rsidRPr="007227AB">
        <w:rPr>
          <w:sz w:val="24"/>
        </w:rPr>
        <w:t xml:space="preserve">100% wilting or dead) and </w:t>
      </w:r>
      <w:r w:rsidR="00E806B6" w:rsidRPr="007227AB">
        <w:rPr>
          <w:sz w:val="24"/>
        </w:rPr>
        <w:t>the</w:t>
      </w:r>
      <w:r w:rsidR="00D63FB6" w:rsidRPr="007227AB">
        <w:rPr>
          <w:sz w:val="24"/>
        </w:rPr>
        <w:t xml:space="preserve"> wilt disease severity index (DSI) was calculated [16]. Each assay was repeated in three successive trials, and six plants were inoculated</w:t>
      </w:r>
      <w:r w:rsidR="00E806B6" w:rsidRPr="007227AB">
        <w:rPr>
          <w:sz w:val="24"/>
        </w:rPr>
        <w:t xml:space="preserve"> in each experiment</w:t>
      </w:r>
      <w:r w:rsidR="00D63FB6" w:rsidRPr="007227AB">
        <w:rPr>
          <w:sz w:val="24"/>
        </w:rPr>
        <w:t>. Wilcoxon’s two</w:t>
      </w:r>
      <w:r w:rsidR="00E806B6" w:rsidRPr="007227AB">
        <w:rPr>
          <w:sz w:val="24"/>
        </w:rPr>
        <w:t>-</w:t>
      </w:r>
      <w:r w:rsidR="00D63FB6" w:rsidRPr="007227AB">
        <w:rPr>
          <w:sz w:val="24"/>
        </w:rPr>
        <w:t xml:space="preserve">sample test was used to </w:t>
      </w:r>
      <w:r w:rsidR="00E806B6" w:rsidRPr="007227AB">
        <w:rPr>
          <w:sz w:val="24"/>
        </w:rPr>
        <w:t xml:space="preserve">check for </w:t>
      </w:r>
      <w:r w:rsidR="00D63FB6" w:rsidRPr="007227AB">
        <w:rPr>
          <w:sz w:val="24"/>
        </w:rPr>
        <w:t>significant differences in disease severity (α = 0</w:t>
      </w:r>
      <w:r w:rsidR="00C62152">
        <w:rPr>
          <w:sz w:val="24"/>
        </w:rPr>
        <w:t>.</w:t>
      </w:r>
      <w:r w:rsidR="00D63FB6" w:rsidRPr="007227AB">
        <w:rPr>
          <w:sz w:val="24"/>
        </w:rPr>
        <w:t xml:space="preserve">05). </w:t>
      </w:r>
    </w:p>
    <w:p w14:paraId="4EB5A2F7" w14:textId="77777777" w:rsidR="006607AF" w:rsidRPr="007227AB" w:rsidRDefault="006607AF" w:rsidP="006607AF">
      <w:pPr>
        <w:rPr>
          <w:sz w:val="24"/>
        </w:rPr>
      </w:pPr>
    </w:p>
    <w:p w14:paraId="622DB037" w14:textId="77777777" w:rsidR="001755B1" w:rsidRPr="007227AB" w:rsidRDefault="001755B1">
      <w:pPr>
        <w:widowControl/>
        <w:spacing w:line="240" w:lineRule="auto"/>
        <w:jc w:val="left"/>
        <w:rPr>
          <w:b/>
          <w:bCs/>
          <w:sz w:val="24"/>
        </w:rPr>
      </w:pPr>
      <w:r w:rsidRPr="007227AB">
        <w:rPr>
          <w:b/>
          <w:bCs/>
          <w:sz w:val="24"/>
        </w:rPr>
        <w:br w:type="page"/>
      </w:r>
    </w:p>
    <w:p w14:paraId="70E5FEA3" w14:textId="3668811B" w:rsidR="00F32045" w:rsidRPr="007227AB" w:rsidRDefault="00F32045" w:rsidP="005D291B">
      <w:pPr>
        <w:rPr>
          <w:b/>
          <w:bCs/>
          <w:sz w:val="24"/>
        </w:rPr>
      </w:pPr>
      <w:r w:rsidRPr="007227AB">
        <w:rPr>
          <w:b/>
          <w:bCs/>
          <w:sz w:val="24"/>
        </w:rPr>
        <w:lastRenderedPageBreak/>
        <w:t>References</w:t>
      </w:r>
    </w:p>
    <w:p w14:paraId="0CAFEBB3" w14:textId="15A6CABB" w:rsidR="0049364F" w:rsidRPr="007227AB" w:rsidRDefault="00A74643" w:rsidP="00BD4A5F">
      <w:pPr>
        <w:autoSpaceDE w:val="0"/>
        <w:autoSpaceDN w:val="0"/>
        <w:adjustRightInd w:val="0"/>
        <w:ind w:left="284" w:hanging="284"/>
        <w:rPr>
          <w:noProof/>
          <w:kern w:val="0"/>
          <w:sz w:val="24"/>
        </w:rPr>
      </w:pPr>
      <w:r w:rsidRPr="007227AB">
        <w:rPr>
          <w:sz w:val="24"/>
        </w:rPr>
        <w:fldChar w:fldCharType="begin" w:fldLock="1"/>
      </w:r>
      <w:r w:rsidRPr="007227AB">
        <w:rPr>
          <w:sz w:val="24"/>
        </w:rPr>
        <w:instrText xml:space="preserve">ADDIN Mendeley Bibliography CSL_BIBLIOGRAPHY </w:instrText>
      </w:r>
      <w:r w:rsidRPr="007227AB">
        <w:rPr>
          <w:sz w:val="24"/>
        </w:rPr>
        <w:fldChar w:fldCharType="separate"/>
      </w:r>
      <w:r w:rsidR="0049364F" w:rsidRPr="007227AB">
        <w:rPr>
          <w:noProof/>
          <w:kern w:val="0"/>
          <w:sz w:val="24"/>
        </w:rPr>
        <w:t>1. Sasaki R, Miyashita S, Ando S, Ito K, Fukuhara T, Takahashi H (2021) Isolation and characterization of a novel jumbo phage from leaf litter compost and its suppressive effect on rice seedling. Viruses 13:591</w:t>
      </w:r>
    </w:p>
    <w:p w14:paraId="53F1DBE9" w14:textId="24826413" w:rsidR="0049364F" w:rsidRPr="007227AB" w:rsidRDefault="00391DF3" w:rsidP="00BD4A5F">
      <w:pPr>
        <w:autoSpaceDE w:val="0"/>
        <w:autoSpaceDN w:val="0"/>
        <w:adjustRightInd w:val="0"/>
        <w:ind w:left="284" w:hanging="284"/>
        <w:rPr>
          <w:noProof/>
          <w:kern w:val="0"/>
          <w:sz w:val="24"/>
        </w:rPr>
      </w:pPr>
      <w:r w:rsidRPr="007227AB">
        <w:rPr>
          <w:noProof/>
          <w:kern w:val="0"/>
          <w:sz w:val="24"/>
        </w:rPr>
        <w:t>2</w:t>
      </w:r>
      <w:r w:rsidR="0049364F" w:rsidRPr="007227AB">
        <w:rPr>
          <w:noProof/>
          <w:kern w:val="0"/>
          <w:sz w:val="24"/>
        </w:rPr>
        <w:t>. Nurk S, Bankevich A, Antipov D, Gurevich A, Korobeynikov A, Lapidus A, Prjibelsky A, Pyshkin A, Sirotkin A, Sirotkin Y, Stepanauskas R, McLean J, Lasken R, Clingenpeel S, Woyke T, Tesler G, Alekseyev M, Pevzner P (2013) Assembling genomes and mini-metagenomes from highly chimeric reads. In: Deng M, Jiang R, Sun F, Zhang X (eds) Research in Computational Molecular Biology. RECOMB 2013. Lecture Notes in Computer Science. Springer, Berlin, Heidelberg, pp 158</w:t>
      </w:r>
      <w:r w:rsidR="008B2401" w:rsidRPr="007227AB">
        <w:rPr>
          <w:noProof/>
          <w:kern w:val="0"/>
          <w:sz w:val="24"/>
        </w:rPr>
        <w:t>-</w:t>
      </w:r>
      <w:r w:rsidR="0049364F" w:rsidRPr="007227AB">
        <w:rPr>
          <w:noProof/>
          <w:kern w:val="0"/>
          <w:sz w:val="24"/>
        </w:rPr>
        <w:t>170</w:t>
      </w:r>
    </w:p>
    <w:p w14:paraId="008E6818" w14:textId="724E70BE" w:rsidR="0049364F" w:rsidRPr="007227AB" w:rsidRDefault="00391DF3" w:rsidP="00BD4A5F">
      <w:pPr>
        <w:autoSpaceDE w:val="0"/>
        <w:autoSpaceDN w:val="0"/>
        <w:adjustRightInd w:val="0"/>
        <w:ind w:left="284" w:hanging="284"/>
        <w:rPr>
          <w:noProof/>
          <w:kern w:val="0"/>
          <w:sz w:val="24"/>
        </w:rPr>
      </w:pPr>
      <w:r w:rsidRPr="007227AB">
        <w:rPr>
          <w:noProof/>
          <w:kern w:val="0"/>
          <w:sz w:val="24"/>
        </w:rPr>
        <w:t>3</w:t>
      </w:r>
      <w:r w:rsidR="0049364F" w:rsidRPr="007227AB">
        <w:rPr>
          <w:noProof/>
          <w:kern w:val="0"/>
          <w:sz w:val="24"/>
        </w:rPr>
        <w:t>. Besemer J, Lomsadze A, Borodovsky M (2001) GeneMarkS: a self-training method for prediction of gene starts in microbial genomes. Implications for finding sequence motifs in regulatory regions. Nucleic Acids Res 29:2607</w:t>
      </w:r>
      <w:r w:rsidR="008B2401" w:rsidRPr="007227AB">
        <w:rPr>
          <w:noProof/>
          <w:kern w:val="0"/>
          <w:sz w:val="24"/>
        </w:rPr>
        <w:t>-</w:t>
      </w:r>
      <w:r w:rsidR="0049364F" w:rsidRPr="007227AB">
        <w:rPr>
          <w:noProof/>
          <w:kern w:val="0"/>
          <w:sz w:val="24"/>
        </w:rPr>
        <w:t>2618</w:t>
      </w:r>
    </w:p>
    <w:p w14:paraId="723C0A27" w14:textId="13DA75C0" w:rsidR="0049364F" w:rsidRPr="007227AB" w:rsidRDefault="00391DF3" w:rsidP="00BD4A5F">
      <w:pPr>
        <w:autoSpaceDE w:val="0"/>
        <w:autoSpaceDN w:val="0"/>
        <w:adjustRightInd w:val="0"/>
        <w:ind w:left="284" w:hanging="284"/>
        <w:rPr>
          <w:noProof/>
          <w:kern w:val="0"/>
          <w:sz w:val="24"/>
        </w:rPr>
      </w:pPr>
      <w:r w:rsidRPr="007227AB">
        <w:rPr>
          <w:noProof/>
          <w:kern w:val="0"/>
          <w:sz w:val="24"/>
        </w:rPr>
        <w:t>4</w:t>
      </w:r>
      <w:r w:rsidR="0049364F" w:rsidRPr="007227AB">
        <w:rPr>
          <w:noProof/>
          <w:kern w:val="0"/>
          <w:sz w:val="24"/>
        </w:rPr>
        <w:t>. Chan PP, Lin BY, Mak AJ, Lowe TM (2021) TRNAscan-SE 2.0: Improved detection and functional classification of transfer RNA genes. Nucleic Acids Res 49:9077</w:t>
      </w:r>
      <w:r w:rsidR="008B2401" w:rsidRPr="007227AB">
        <w:rPr>
          <w:noProof/>
          <w:kern w:val="0"/>
          <w:sz w:val="24"/>
        </w:rPr>
        <w:t>-</w:t>
      </w:r>
      <w:r w:rsidR="0049364F" w:rsidRPr="007227AB">
        <w:rPr>
          <w:noProof/>
          <w:kern w:val="0"/>
          <w:sz w:val="24"/>
        </w:rPr>
        <w:t>9096</w:t>
      </w:r>
    </w:p>
    <w:p w14:paraId="045E652C" w14:textId="74F3C3BB" w:rsidR="0049364F" w:rsidRPr="007227AB" w:rsidRDefault="00391DF3" w:rsidP="00BD4A5F">
      <w:pPr>
        <w:autoSpaceDE w:val="0"/>
        <w:autoSpaceDN w:val="0"/>
        <w:adjustRightInd w:val="0"/>
        <w:ind w:left="284" w:hanging="284"/>
        <w:rPr>
          <w:noProof/>
          <w:kern w:val="0"/>
          <w:sz w:val="24"/>
        </w:rPr>
      </w:pPr>
      <w:r w:rsidRPr="007227AB">
        <w:rPr>
          <w:noProof/>
          <w:kern w:val="0"/>
          <w:sz w:val="24"/>
        </w:rPr>
        <w:t>5</w:t>
      </w:r>
      <w:r w:rsidR="0049364F" w:rsidRPr="007227AB">
        <w:rPr>
          <w:noProof/>
          <w:kern w:val="0"/>
          <w:sz w:val="24"/>
        </w:rPr>
        <w:t>. Lagesen K, Hallin P, Rødland EA, Stærfeldt HH, Rognes T, Ussery DW (2007) RNAmmer: Consistent and rapid annotation of ribosomal RNA genes. Nucleic Acids Res 35:3100</w:t>
      </w:r>
      <w:r w:rsidR="008B2401" w:rsidRPr="007227AB">
        <w:rPr>
          <w:noProof/>
          <w:kern w:val="0"/>
          <w:sz w:val="24"/>
        </w:rPr>
        <w:t>-</w:t>
      </w:r>
      <w:r w:rsidR="0049364F" w:rsidRPr="007227AB">
        <w:rPr>
          <w:noProof/>
          <w:kern w:val="0"/>
          <w:sz w:val="24"/>
        </w:rPr>
        <w:t>3108</w:t>
      </w:r>
    </w:p>
    <w:p w14:paraId="345BF053" w14:textId="5110F9DF" w:rsidR="0049364F" w:rsidRPr="007227AB" w:rsidRDefault="00391DF3" w:rsidP="00BD4A5F">
      <w:pPr>
        <w:autoSpaceDE w:val="0"/>
        <w:autoSpaceDN w:val="0"/>
        <w:adjustRightInd w:val="0"/>
        <w:ind w:left="284" w:hanging="284"/>
        <w:rPr>
          <w:noProof/>
          <w:kern w:val="0"/>
          <w:sz w:val="24"/>
        </w:rPr>
      </w:pPr>
      <w:r w:rsidRPr="007227AB">
        <w:rPr>
          <w:noProof/>
          <w:kern w:val="0"/>
          <w:sz w:val="24"/>
        </w:rPr>
        <w:t>6</w:t>
      </w:r>
      <w:r w:rsidR="0049364F" w:rsidRPr="007227AB">
        <w:rPr>
          <w:noProof/>
          <w:kern w:val="0"/>
          <w:sz w:val="24"/>
        </w:rPr>
        <w:t>. Sullivan MJ, Petty NK, Beatson SA (2011) Easyfig: A genome comparison visualizer. Bioinformatics 27:1009</w:t>
      </w:r>
      <w:r w:rsidR="008B2401" w:rsidRPr="007227AB">
        <w:rPr>
          <w:noProof/>
          <w:kern w:val="0"/>
          <w:sz w:val="24"/>
        </w:rPr>
        <w:t>-</w:t>
      </w:r>
      <w:r w:rsidR="0049364F" w:rsidRPr="007227AB">
        <w:rPr>
          <w:noProof/>
          <w:kern w:val="0"/>
          <w:sz w:val="24"/>
        </w:rPr>
        <w:t>1010</w:t>
      </w:r>
    </w:p>
    <w:p w14:paraId="461F617D" w14:textId="13411993" w:rsidR="0049364F" w:rsidRPr="007227AB" w:rsidRDefault="00391DF3" w:rsidP="00BD4A5F">
      <w:pPr>
        <w:autoSpaceDE w:val="0"/>
        <w:autoSpaceDN w:val="0"/>
        <w:adjustRightInd w:val="0"/>
        <w:ind w:left="284" w:hanging="284"/>
        <w:rPr>
          <w:noProof/>
          <w:kern w:val="0"/>
          <w:sz w:val="24"/>
        </w:rPr>
      </w:pPr>
      <w:r w:rsidRPr="007227AB">
        <w:rPr>
          <w:noProof/>
          <w:kern w:val="0"/>
          <w:sz w:val="24"/>
        </w:rPr>
        <w:t>7</w:t>
      </w:r>
      <w:r w:rsidR="0049364F" w:rsidRPr="007227AB">
        <w:rPr>
          <w:noProof/>
          <w:kern w:val="0"/>
          <w:sz w:val="24"/>
        </w:rPr>
        <w:t>. Nishimura Y, Yoshida T, Kuronishi M, Uehara H, Ogata H, Goto S (2017) ViPTree: The viral proteomic tree server. Bioinformatics 33:2379</w:t>
      </w:r>
      <w:r w:rsidR="008B2401" w:rsidRPr="007227AB">
        <w:rPr>
          <w:noProof/>
          <w:kern w:val="0"/>
          <w:sz w:val="24"/>
        </w:rPr>
        <w:t>-</w:t>
      </w:r>
      <w:r w:rsidR="0049364F" w:rsidRPr="007227AB">
        <w:rPr>
          <w:noProof/>
          <w:kern w:val="0"/>
          <w:sz w:val="24"/>
        </w:rPr>
        <w:t>2380</w:t>
      </w:r>
    </w:p>
    <w:p w14:paraId="3CEBE13C" w14:textId="5DDF2D25" w:rsidR="0049364F" w:rsidRPr="007227AB" w:rsidRDefault="00391DF3" w:rsidP="00BD4A5F">
      <w:pPr>
        <w:autoSpaceDE w:val="0"/>
        <w:autoSpaceDN w:val="0"/>
        <w:adjustRightInd w:val="0"/>
        <w:ind w:left="284" w:hanging="284"/>
        <w:rPr>
          <w:noProof/>
          <w:kern w:val="0"/>
          <w:sz w:val="24"/>
        </w:rPr>
      </w:pPr>
      <w:r w:rsidRPr="007227AB">
        <w:rPr>
          <w:noProof/>
          <w:kern w:val="0"/>
          <w:sz w:val="24"/>
        </w:rPr>
        <w:t>8</w:t>
      </w:r>
      <w:r w:rsidR="0049364F" w:rsidRPr="007227AB">
        <w:rPr>
          <w:noProof/>
          <w:kern w:val="0"/>
          <w:sz w:val="24"/>
        </w:rPr>
        <w:t xml:space="preserve">. Dereeper A, Guignon V, Blanc G, Audic S, Buffet S, Chevenet F, Dufayard JF, Guindon S, Lefort V, Lescot M, Claverie JM, Gascuel O (2008) Phylogeny.fr: robust </w:t>
      </w:r>
      <w:r w:rsidR="0049364F" w:rsidRPr="007227AB">
        <w:rPr>
          <w:noProof/>
          <w:kern w:val="0"/>
          <w:sz w:val="24"/>
        </w:rPr>
        <w:lastRenderedPageBreak/>
        <w:t>phylogenetic analysis for the non-specialist. Nucleic Acids Res 36:465</w:t>
      </w:r>
      <w:r w:rsidR="008B2401" w:rsidRPr="007227AB">
        <w:rPr>
          <w:noProof/>
          <w:kern w:val="0"/>
          <w:sz w:val="24"/>
        </w:rPr>
        <w:t>-</w:t>
      </w:r>
      <w:r w:rsidR="0049364F" w:rsidRPr="007227AB">
        <w:rPr>
          <w:noProof/>
          <w:kern w:val="0"/>
          <w:sz w:val="24"/>
        </w:rPr>
        <w:t>469</w:t>
      </w:r>
    </w:p>
    <w:p w14:paraId="402C990F" w14:textId="444C786B" w:rsidR="0049364F" w:rsidRPr="007227AB" w:rsidRDefault="00391DF3" w:rsidP="00BD4A5F">
      <w:pPr>
        <w:autoSpaceDE w:val="0"/>
        <w:autoSpaceDN w:val="0"/>
        <w:adjustRightInd w:val="0"/>
        <w:ind w:left="284" w:hanging="284"/>
        <w:rPr>
          <w:noProof/>
          <w:kern w:val="0"/>
          <w:sz w:val="24"/>
        </w:rPr>
      </w:pPr>
      <w:r w:rsidRPr="007227AB">
        <w:rPr>
          <w:noProof/>
          <w:kern w:val="0"/>
          <w:sz w:val="24"/>
        </w:rPr>
        <w:t>9</w:t>
      </w:r>
      <w:r w:rsidR="0049364F" w:rsidRPr="007227AB">
        <w:rPr>
          <w:noProof/>
          <w:kern w:val="0"/>
          <w:sz w:val="24"/>
        </w:rPr>
        <w:t>. Dereeper A, Audic S, Claverie JM, Blanc G (2010) BLAST-EXPLORER helps you building datasets for phylogenetic analysis. BMC Evol Biol 10:8</w:t>
      </w:r>
      <w:r w:rsidR="008B2401" w:rsidRPr="007227AB">
        <w:rPr>
          <w:noProof/>
          <w:kern w:val="0"/>
          <w:sz w:val="24"/>
        </w:rPr>
        <w:t>-</w:t>
      </w:r>
      <w:r w:rsidR="0049364F" w:rsidRPr="007227AB">
        <w:rPr>
          <w:noProof/>
          <w:kern w:val="0"/>
          <w:sz w:val="24"/>
        </w:rPr>
        <w:t>13</w:t>
      </w:r>
    </w:p>
    <w:p w14:paraId="09F89B43" w14:textId="6EE39FB8" w:rsidR="0049364F" w:rsidRPr="007227AB" w:rsidRDefault="00391DF3" w:rsidP="00BD4A5F">
      <w:pPr>
        <w:autoSpaceDE w:val="0"/>
        <w:autoSpaceDN w:val="0"/>
        <w:adjustRightInd w:val="0"/>
        <w:ind w:left="284" w:hanging="284"/>
        <w:rPr>
          <w:noProof/>
          <w:kern w:val="0"/>
          <w:sz w:val="24"/>
        </w:rPr>
      </w:pPr>
      <w:r w:rsidRPr="007227AB">
        <w:rPr>
          <w:noProof/>
          <w:kern w:val="0"/>
          <w:sz w:val="24"/>
        </w:rPr>
        <w:t>10</w:t>
      </w:r>
      <w:r w:rsidR="0049364F" w:rsidRPr="007227AB">
        <w:rPr>
          <w:noProof/>
          <w:kern w:val="0"/>
          <w:sz w:val="24"/>
        </w:rPr>
        <w:t>. Edgar RC (2004) MUSCLE: Multiple sequence alignment with high accuracy and high throughput. Nucleic Acids Res 32:1792</w:t>
      </w:r>
      <w:r w:rsidR="008B2401" w:rsidRPr="007227AB">
        <w:rPr>
          <w:noProof/>
          <w:kern w:val="0"/>
          <w:sz w:val="24"/>
        </w:rPr>
        <w:t>-</w:t>
      </w:r>
      <w:r w:rsidR="0049364F" w:rsidRPr="007227AB">
        <w:rPr>
          <w:noProof/>
          <w:kern w:val="0"/>
          <w:sz w:val="24"/>
        </w:rPr>
        <w:t>1797</w:t>
      </w:r>
    </w:p>
    <w:p w14:paraId="2168FF68" w14:textId="63EC4EE1" w:rsidR="0049364F" w:rsidRPr="007227AB" w:rsidRDefault="00391DF3" w:rsidP="00BD4A5F">
      <w:pPr>
        <w:autoSpaceDE w:val="0"/>
        <w:autoSpaceDN w:val="0"/>
        <w:adjustRightInd w:val="0"/>
        <w:ind w:left="284" w:hanging="284"/>
        <w:rPr>
          <w:noProof/>
          <w:kern w:val="0"/>
          <w:sz w:val="24"/>
        </w:rPr>
      </w:pPr>
      <w:r w:rsidRPr="007227AB">
        <w:rPr>
          <w:noProof/>
          <w:kern w:val="0"/>
          <w:sz w:val="24"/>
        </w:rPr>
        <w:t>11</w:t>
      </w:r>
      <w:r w:rsidR="0049364F" w:rsidRPr="007227AB">
        <w:rPr>
          <w:noProof/>
          <w:kern w:val="0"/>
          <w:sz w:val="24"/>
        </w:rPr>
        <w:t>. Castresana J (2000) Selection of conserved blocks from multiple alignments for their use in phylogenetic analysis. Mol Biol Evol 17:540</w:t>
      </w:r>
      <w:r w:rsidR="008B2401" w:rsidRPr="007227AB">
        <w:rPr>
          <w:noProof/>
          <w:kern w:val="0"/>
          <w:sz w:val="24"/>
        </w:rPr>
        <w:t>-</w:t>
      </w:r>
      <w:r w:rsidR="0049364F" w:rsidRPr="007227AB">
        <w:rPr>
          <w:noProof/>
          <w:kern w:val="0"/>
          <w:sz w:val="24"/>
        </w:rPr>
        <w:t>552</w:t>
      </w:r>
    </w:p>
    <w:p w14:paraId="541AF6BF" w14:textId="7BF6A8CC" w:rsidR="0049364F" w:rsidRPr="007227AB" w:rsidRDefault="00391DF3" w:rsidP="00BD4A5F">
      <w:pPr>
        <w:autoSpaceDE w:val="0"/>
        <w:autoSpaceDN w:val="0"/>
        <w:adjustRightInd w:val="0"/>
        <w:ind w:left="284" w:hanging="284"/>
        <w:rPr>
          <w:noProof/>
          <w:kern w:val="0"/>
          <w:sz w:val="24"/>
        </w:rPr>
      </w:pPr>
      <w:r w:rsidRPr="007227AB">
        <w:rPr>
          <w:noProof/>
          <w:kern w:val="0"/>
          <w:sz w:val="24"/>
        </w:rPr>
        <w:t>12</w:t>
      </w:r>
      <w:r w:rsidR="0049364F" w:rsidRPr="007227AB">
        <w:rPr>
          <w:noProof/>
          <w:kern w:val="0"/>
          <w:sz w:val="24"/>
        </w:rPr>
        <w:t>. Guindon S, Gascuel O (2003) A simple, fast, and accurate algorithm to estimate large phylogenies by maximum likelihood. Syst Biol 52:696</w:t>
      </w:r>
      <w:r w:rsidR="008B2401" w:rsidRPr="007227AB">
        <w:rPr>
          <w:noProof/>
          <w:kern w:val="0"/>
          <w:sz w:val="24"/>
        </w:rPr>
        <w:t>-</w:t>
      </w:r>
      <w:r w:rsidR="0049364F" w:rsidRPr="007227AB">
        <w:rPr>
          <w:noProof/>
          <w:kern w:val="0"/>
          <w:sz w:val="24"/>
        </w:rPr>
        <w:t>704</w:t>
      </w:r>
    </w:p>
    <w:p w14:paraId="2978DF8B" w14:textId="307816DB" w:rsidR="0049364F" w:rsidRPr="007227AB" w:rsidRDefault="00391DF3" w:rsidP="00BD4A5F">
      <w:pPr>
        <w:autoSpaceDE w:val="0"/>
        <w:autoSpaceDN w:val="0"/>
        <w:adjustRightInd w:val="0"/>
        <w:ind w:left="284" w:hanging="284"/>
        <w:rPr>
          <w:noProof/>
          <w:kern w:val="0"/>
          <w:sz w:val="24"/>
        </w:rPr>
      </w:pPr>
      <w:r w:rsidRPr="007227AB">
        <w:rPr>
          <w:noProof/>
          <w:kern w:val="0"/>
          <w:sz w:val="24"/>
        </w:rPr>
        <w:t>13</w:t>
      </w:r>
      <w:r w:rsidR="0049364F" w:rsidRPr="007227AB">
        <w:rPr>
          <w:noProof/>
          <w:kern w:val="0"/>
          <w:sz w:val="24"/>
        </w:rPr>
        <w:t>. Anisimova M, Gascuel O (2006) Approximate likelihood-ratio test for branches: A fast, accurate, and powerful alternative. Syst Biol 55:539</w:t>
      </w:r>
      <w:r w:rsidR="00000589" w:rsidRPr="007227AB">
        <w:rPr>
          <w:noProof/>
          <w:kern w:val="0"/>
          <w:sz w:val="24"/>
        </w:rPr>
        <w:t>-</w:t>
      </w:r>
      <w:r w:rsidR="0049364F" w:rsidRPr="007227AB">
        <w:rPr>
          <w:noProof/>
          <w:kern w:val="0"/>
          <w:sz w:val="24"/>
        </w:rPr>
        <w:t>552</w:t>
      </w:r>
    </w:p>
    <w:p w14:paraId="1D24AF64" w14:textId="254D4E0C" w:rsidR="0049364F" w:rsidRPr="007227AB" w:rsidRDefault="00391DF3" w:rsidP="00BD4A5F">
      <w:pPr>
        <w:autoSpaceDE w:val="0"/>
        <w:autoSpaceDN w:val="0"/>
        <w:adjustRightInd w:val="0"/>
        <w:ind w:left="284" w:hanging="284"/>
        <w:rPr>
          <w:noProof/>
          <w:kern w:val="0"/>
          <w:sz w:val="24"/>
        </w:rPr>
      </w:pPr>
      <w:r w:rsidRPr="007227AB">
        <w:rPr>
          <w:noProof/>
          <w:kern w:val="0"/>
          <w:sz w:val="24"/>
        </w:rPr>
        <w:t>14</w:t>
      </w:r>
      <w:r w:rsidR="0049364F" w:rsidRPr="007227AB">
        <w:rPr>
          <w:noProof/>
          <w:kern w:val="0"/>
          <w:sz w:val="24"/>
        </w:rPr>
        <w:t>. Chevenet F, Brun C, Bañuls AL, Jacq B, Christen R (2006) TreeDyn: Towards dynamic graphics and annotations for analyses of trees. BMC Bioinformatics 7:1</w:t>
      </w:r>
      <w:r w:rsidR="008B2401" w:rsidRPr="007227AB">
        <w:rPr>
          <w:noProof/>
          <w:kern w:val="0"/>
          <w:sz w:val="24"/>
        </w:rPr>
        <w:t>-</w:t>
      </w:r>
      <w:r w:rsidR="0049364F" w:rsidRPr="007227AB">
        <w:rPr>
          <w:noProof/>
          <w:kern w:val="0"/>
          <w:sz w:val="24"/>
        </w:rPr>
        <w:t>9</w:t>
      </w:r>
    </w:p>
    <w:p w14:paraId="62363115" w14:textId="190FEB8C" w:rsidR="006607AF" w:rsidRPr="007227AB" w:rsidRDefault="006607AF" w:rsidP="00BD4A5F">
      <w:pPr>
        <w:autoSpaceDE w:val="0"/>
        <w:autoSpaceDN w:val="0"/>
        <w:adjustRightInd w:val="0"/>
        <w:ind w:left="284" w:hanging="284"/>
        <w:rPr>
          <w:noProof/>
          <w:kern w:val="0"/>
          <w:sz w:val="24"/>
        </w:rPr>
      </w:pPr>
      <w:r w:rsidRPr="007227AB">
        <w:rPr>
          <w:rFonts w:hint="eastAsia"/>
          <w:noProof/>
          <w:kern w:val="0"/>
          <w:sz w:val="24"/>
        </w:rPr>
        <w:t>1</w:t>
      </w:r>
      <w:r w:rsidRPr="007227AB">
        <w:rPr>
          <w:noProof/>
          <w:kern w:val="0"/>
          <w:sz w:val="24"/>
        </w:rPr>
        <w:t>5. Hendrick C, Sequeira L (1984) Lipopolysaccharide-defective</w:t>
      </w:r>
      <w:r w:rsidRPr="007227AB">
        <w:rPr>
          <w:rFonts w:hint="eastAsia"/>
          <w:noProof/>
          <w:kern w:val="0"/>
          <w:sz w:val="24"/>
        </w:rPr>
        <w:t xml:space="preserve"> </w:t>
      </w:r>
      <w:r w:rsidRPr="007227AB">
        <w:rPr>
          <w:noProof/>
          <w:kern w:val="0"/>
          <w:sz w:val="24"/>
        </w:rPr>
        <w:t xml:space="preserve">mutants of the wilt pathogen </w:t>
      </w:r>
      <w:r w:rsidRPr="007227AB">
        <w:rPr>
          <w:i/>
          <w:iCs/>
          <w:noProof/>
          <w:kern w:val="0"/>
          <w:sz w:val="24"/>
        </w:rPr>
        <w:t>Pseudomonas solanacearum</w:t>
      </w:r>
      <w:r w:rsidRPr="007227AB">
        <w:rPr>
          <w:noProof/>
          <w:kern w:val="0"/>
          <w:sz w:val="24"/>
        </w:rPr>
        <w:t>.</w:t>
      </w:r>
      <w:r w:rsidRPr="007227AB">
        <w:rPr>
          <w:rFonts w:hint="eastAsia"/>
          <w:noProof/>
          <w:kern w:val="0"/>
          <w:sz w:val="24"/>
        </w:rPr>
        <w:t xml:space="preserve"> </w:t>
      </w:r>
      <w:r w:rsidRPr="007227AB">
        <w:rPr>
          <w:noProof/>
          <w:kern w:val="0"/>
          <w:sz w:val="24"/>
        </w:rPr>
        <w:t>Appl Environ Microbiol 48:94-101</w:t>
      </w:r>
    </w:p>
    <w:p w14:paraId="53225614" w14:textId="7DA9205C" w:rsidR="006607AF" w:rsidRPr="007227AB" w:rsidRDefault="006607AF" w:rsidP="00BD4A5F">
      <w:pPr>
        <w:autoSpaceDE w:val="0"/>
        <w:autoSpaceDN w:val="0"/>
        <w:adjustRightInd w:val="0"/>
        <w:ind w:left="284" w:hanging="284"/>
        <w:rPr>
          <w:noProof/>
          <w:kern w:val="0"/>
          <w:sz w:val="24"/>
        </w:rPr>
      </w:pPr>
      <w:r w:rsidRPr="007227AB">
        <w:rPr>
          <w:rFonts w:hint="eastAsia"/>
          <w:noProof/>
          <w:kern w:val="0"/>
          <w:sz w:val="24"/>
        </w:rPr>
        <w:t>1</w:t>
      </w:r>
      <w:r w:rsidRPr="007227AB">
        <w:rPr>
          <w:noProof/>
          <w:kern w:val="0"/>
          <w:sz w:val="24"/>
        </w:rPr>
        <w:t>6. Roberts DP, Denny TP, Schell MA (1988) Cloning of the egl</w:t>
      </w:r>
      <w:r w:rsidRPr="007227AB">
        <w:rPr>
          <w:rFonts w:hint="eastAsia"/>
          <w:noProof/>
          <w:kern w:val="0"/>
          <w:sz w:val="24"/>
        </w:rPr>
        <w:t xml:space="preserve"> </w:t>
      </w:r>
      <w:r w:rsidRPr="007227AB">
        <w:rPr>
          <w:noProof/>
          <w:kern w:val="0"/>
          <w:sz w:val="24"/>
        </w:rPr>
        <w:t>gene of</w:t>
      </w:r>
      <w:r w:rsidRPr="007227AB">
        <w:rPr>
          <w:i/>
          <w:iCs/>
          <w:noProof/>
          <w:kern w:val="0"/>
          <w:sz w:val="24"/>
        </w:rPr>
        <w:t xml:space="preserve"> Pseudomonas solanacearum</w:t>
      </w:r>
      <w:r w:rsidRPr="007227AB">
        <w:rPr>
          <w:noProof/>
          <w:kern w:val="0"/>
          <w:sz w:val="24"/>
        </w:rPr>
        <w:t xml:space="preserve"> and analysis of its role in</w:t>
      </w:r>
      <w:r w:rsidRPr="007227AB">
        <w:rPr>
          <w:rFonts w:hint="eastAsia"/>
          <w:noProof/>
          <w:kern w:val="0"/>
          <w:sz w:val="24"/>
        </w:rPr>
        <w:t xml:space="preserve"> </w:t>
      </w:r>
      <w:r w:rsidRPr="007227AB">
        <w:rPr>
          <w:noProof/>
          <w:kern w:val="0"/>
          <w:sz w:val="24"/>
        </w:rPr>
        <w:t>phytopathogenicity. J Bacteriol 170:1445</w:t>
      </w:r>
      <w:r w:rsidR="00000589" w:rsidRPr="007227AB">
        <w:rPr>
          <w:noProof/>
          <w:kern w:val="0"/>
          <w:sz w:val="24"/>
        </w:rPr>
        <w:t>-</w:t>
      </w:r>
      <w:r w:rsidRPr="007227AB">
        <w:rPr>
          <w:noProof/>
          <w:kern w:val="0"/>
          <w:sz w:val="24"/>
        </w:rPr>
        <w:t>1451</w:t>
      </w:r>
    </w:p>
    <w:p w14:paraId="6E4CFD24" w14:textId="6DABFC5A" w:rsidR="00E806B6" w:rsidRPr="007227AB" w:rsidRDefault="00A74643" w:rsidP="0049364F">
      <w:pPr>
        <w:autoSpaceDE w:val="0"/>
        <w:autoSpaceDN w:val="0"/>
        <w:adjustRightInd w:val="0"/>
        <w:ind w:left="640" w:hanging="640"/>
        <w:rPr>
          <w:sz w:val="24"/>
        </w:rPr>
      </w:pPr>
      <w:r w:rsidRPr="007227AB">
        <w:rPr>
          <w:sz w:val="24"/>
        </w:rPr>
        <w:fldChar w:fldCharType="end"/>
      </w:r>
    </w:p>
    <w:p w14:paraId="79FD0C31" w14:textId="77777777" w:rsidR="00E806B6" w:rsidRPr="007227AB" w:rsidRDefault="00E806B6">
      <w:pPr>
        <w:widowControl/>
        <w:spacing w:line="240" w:lineRule="auto"/>
        <w:jc w:val="left"/>
        <w:rPr>
          <w:sz w:val="24"/>
        </w:rPr>
      </w:pPr>
      <w:r w:rsidRPr="007227AB">
        <w:rPr>
          <w:sz w:val="24"/>
        </w:rPr>
        <w:br w:type="page"/>
      </w:r>
    </w:p>
    <w:p w14:paraId="3273C9DD" w14:textId="03EAB83A" w:rsidR="00123746" w:rsidRPr="007227AB" w:rsidRDefault="00123746" w:rsidP="001755B1">
      <w:pPr>
        <w:autoSpaceDE w:val="0"/>
        <w:autoSpaceDN w:val="0"/>
        <w:adjustRightInd w:val="0"/>
        <w:ind w:left="640" w:hanging="640"/>
      </w:pPr>
      <w:r w:rsidRPr="007227AB">
        <w:rPr>
          <w:noProof/>
        </w:rPr>
        <w:lastRenderedPageBreak/>
        <w:drawing>
          <wp:inline distT="0" distB="0" distL="0" distR="0" wp14:anchorId="59BF0C48" wp14:editId="7A623656">
            <wp:extent cx="3484880" cy="5327650"/>
            <wp:effectExtent l="0" t="0" r="0" b="6350"/>
            <wp:docPr id="120793108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931087" name=""/>
                    <pic:cNvPicPr/>
                  </pic:nvPicPr>
                  <pic:blipFill>
                    <a:blip r:embed="rId8">
                      <a:extLst>
                        <a:ext uri="{28A0092B-C50C-407E-A947-70E740481C1C}">
                          <a14:useLocalDpi xmlns:a14="http://schemas.microsoft.com/office/drawing/2010/main" val="0"/>
                        </a:ext>
                      </a:extLst>
                    </a:blip>
                    <a:stretch>
                      <a:fillRect/>
                    </a:stretch>
                  </pic:blipFill>
                  <pic:spPr>
                    <a:xfrm>
                      <a:off x="0" y="0"/>
                      <a:ext cx="3484880" cy="5327650"/>
                    </a:xfrm>
                    <a:prstGeom prst="rect">
                      <a:avLst/>
                    </a:prstGeom>
                  </pic:spPr>
                </pic:pic>
              </a:graphicData>
            </a:graphic>
          </wp:inline>
        </w:drawing>
      </w:r>
    </w:p>
    <w:p w14:paraId="0EF136EB" w14:textId="1AB01ED6" w:rsidR="00123746" w:rsidRPr="007227AB" w:rsidRDefault="00123746" w:rsidP="00BD4A5F">
      <w:pPr>
        <w:autoSpaceDE w:val="0"/>
        <w:autoSpaceDN w:val="0"/>
        <w:adjustRightInd w:val="0"/>
        <w:rPr>
          <w:sz w:val="24"/>
        </w:rPr>
      </w:pPr>
      <w:r w:rsidRPr="007227AB">
        <w:rPr>
          <w:b/>
          <w:bCs/>
          <w:sz w:val="24"/>
        </w:rPr>
        <w:t>Fig</w:t>
      </w:r>
      <w:r w:rsidR="00BA3188" w:rsidRPr="007227AB">
        <w:rPr>
          <w:b/>
          <w:bCs/>
          <w:sz w:val="24"/>
        </w:rPr>
        <w:t>.</w:t>
      </w:r>
      <w:r w:rsidRPr="007227AB">
        <w:rPr>
          <w:b/>
          <w:bCs/>
          <w:sz w:val="24"/>
        </w:rPr>
        <w:t xml:space="preserve"> S1</w:t>
      </w:r>
      <w:r w:rsidRPr="007227AB">
        <w:rPr>
          <w:sz w:val="24"/>
        </w:rPr>
        <w:t xml:space="preserve"> Phage particles observed with transmission electron microscopy. Intact particles of (</w:t>
      </w:r>
      <w:r w:rsidRPr="007227AB">
        <w:rPr>
          <w:b/>
          <w:bCs/>
          <w:sz w:val="24"/>
        </w:rPr>
        <w:t>a</w:t>
      </w:r>
      <w:r w:rsidRPr="007227AB">
        <w:rPr>
          <w:sz w:val="24"/>
        </w:rPr>
        <w:t>)</w:t>
      </w:r>
      <w:r w:rsidR="00000589" w:rsidRPr="007227AB">
        <w:rPr>
          <w:sz w:val="24"/>
        </w:rPr>
        <w:t xml:space="preserve"> </w:t>
      </w:r>
      <w:r w:rsidRPr="007227AB">
        <w:rPr>
          <w:sz w:val="24"/>
        </w:rPr>
        <w:t>FLC1-1B</w:t>
      </w:r>
      <w:r w:rsidR="00B0384E" w:rsidRPr="007227AB">
        <w:rPr>
          <w:sz w:val="24"/>
        </w:rPr>
        <w:t xml:space="preserve"> and</w:t>
      </w:r>
      <w:r w:rsidRPr="007227AB">
        <w:rPr>
          <w:sz w:val="24"/>
        </w:rPr>
        <w:t xml:space="preserve"> (</w:t>
      </w:r>
      <w:r w:rsidRPr="007227AB">
        <w:rPr>
          <w:b/>
          <w:bCs/>
          <w:sz w:val="24"/>
        </w:rPr>
        <w:t>b</w:t>
      </w:r>
      <w:r w:rsidRPr="007227AB">
        <w:rPr>
          <w:sz w:val="24"/>
        </w:rPr>
        <w:t>) FLC4-3B</w:t>
      </w:r>
      <w:r w:rsidR="00B0384E" w:rsidRPr="007227AB">
        <w:rPr>
          <w:sz w:val="24"/>
        </w:rPr>
        <w:t>.</w:t>
      </w:r>
      <w:r w:rsidRPr="007227AB">
        <w:rPr>
          <w:sz w:val="24"/>
        </w:rPr>
        <w:t xml:space="preserve"> </w:t>
      </w:r>
      <w:r w:rsidR="00B0384E" w:rsidRPr="007227AB">
        <w:rPr>
          <w:sz w:val="24"/>
        </w:rPr>
        <w:t>P</w:t>
      </w:r>
      <w:r w:rsidRPr="007227AB">
        <w:rPr>
          <w:sz w:val="24"/>
        </w:rPr>
        <w:t>articles of (</w:t>
      </w:r>
      <w:r w:rsidRPr="007227AB">
        <w:rPr>
          <w:b/>
          <w:bCs/>
          <w:sz w:val="24"/>
        </w:rPr>
        <w:t>c</w:t>
      </w:r>
      <w:r w:rsidRPr="007227AB">
        <w:rPr>
          <w:sz w:val="24"/>
        </w:rPr>
        <w:t>)</w:t>
      </w:r>
      <w:r w:rsidR="00000589" w:rsidRPr="007227AB">
        <w:rPr>
          <w:sz w:val="24"/>
        </w:rPr>
        <w:t xml:space="preserve"> </w:t>
      </w:r>
      <w:r w:rsidRPr="007227AB">
        <w:rPr>
          <w:sz w:val="24"/>
        </w:rPr>
        <w:t>FLC1-1B</w:t>
      </w:r>
      <w:r w:rsidR="00B0384E" w:rsidRPr="007227AB">
        <w:rPr>
          <w:sz w:val="24"/>
        </w:rPr>
        <w:t xml:space="preserve"> and</w:t>
      </w:r>
      <w:r w:rsidRPr="007227AB">
        <w:rPr>
          <w:sz w:val="24"/>
        </w:rPr>
        <w:t xml:space="preserve"> (</w:t>
      </w:r>
      <w:r w:rsidRPr="007227AB">
        <w:rPr>
          <w:b/>
          <w:bCs/>
          <w:sz w:val="24"/>
        </w:rPr>
        <w:t>d</w:t>
      </w:r>
      <w:r w:rsidRPr="007227AB">
        <w:rPr>
          <w:sz w:val="24"/>
        </w:rPr>
        <w:t>) FLC4-3B</w:t>
      </w:r>
      <w:r w:rsidR="00B0384E" w:rsidRPr="007227AB">
        <w:rPr>
          <w:sz w:val="24"/>
        </w:rPr>
        <w:t xml:space="preserve"> with a contracted tail</w:t>
      </w:r>
      <w:r w:rsidRPr="007227AB">
        <w:rPr>
          <w:sz w:val="24"/>
        </w:rPr>
        <w:t xml:space="preserve">. The bars represent </w:t>
      </w:r>
      <w:r w:rsidR="00B0384E" w:rsidRPr="007227AB">
        <w:rPr>
          <w:sz w:val="24"/>
        </w:rPr>
        <w:t xml:space="preserve">a </w:t>
      </w:r>
      <w:r w:rsidRPr="007227AB">
        <w:rPr>
          <w:sz w:val="24"/>
        </w:rPr>
        <w:t>length of 100 nm.</w:t>
      </w:r>
    </w:p>
    <w:p w14:paraId="7A6D9E2E" w14:textId="1323C9D6" w:rsidR="00E806B6" w:rsidRPr="007227AB" w:rsidRDefault="00E806B6">
      <w:pPr>
        <w:widowControl/>
        <w:spacing w:line="240" w:lineRule="auto"/>
        <w:jc w:val="left"/>
        <w:rPr>
          <w:sz w:val="24"/>
        </w:rPr>
      </w:pPr>
      <w:r w:rsidRPr="007227AB">
        <w:rPr>
          <w:sz w:val="24"/>
        </w:rPr>
        <w:br w:type="page"/>
      </w:r>
    </w:p>
    <w:p w14:paraId="124AF507" w14:textId="5ADCDE7D" w:rsidR="00123746" w:rsidRPr="007227AB" w:rsidRDefault="00123746" w:rsidP="00E806B6">
      <w:pPr>
        <w:autoSpaceDE w:val="0"/>
        <w:autoSpaceDN w:val="0"/>
        <w:adjustRightInd w:val="0"/>
        <w:ind w:left="640" w:hanging="640"/>
        <w:rPr>
          <w:sz w:val="24"/>
        </w:rPr>
      </w:pPr>
      <w:r w:rsidRPr="007227AB">
        <w:rPr>
          <w:noProof/>
          <w:sz w:val="24"/>
        </w:rPr>
        <w:lastRenderedPageBreak/>
        <w:drawing>
          <wp:inline distT="0" distB="0" distL="0" distR="0" wp14:anchorId="16BD8E0B" wp14:editId="3E22C54E">
            <wp:extent cx="5400000" cy="2989080"/>
            <wp:effectExtent l="0" t="0" r="0" b="1905"/>
            <wp:docPr id="98763316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633168" name=""/>
                    <pic:cNvPicPr/>
                  </pic:nvPicPr>
                  <pic:blipFill>
                    <a:blip r:embed="rId9">
                      <a:extLst>
                        <a:ext uri="{28A0092B-C50C-407E-A947-70E740481C1C}">
                          <a14:useLocalDpi xmlns:a14="http://schemas.microsoft.com/office/drawing/2010/main" val="0"/>
                        </a:ext>
                      </a:extLst>
                    </a:blip>
                    <a:stretch>
                      <a:fillRect/>
                    </a:stretch>
                  </pic:blipFill>
                  <pic:spPr>
                    <a:xfrm>
                      <a:off x="0" y="0"/>
                      <a:ext cx="5400000" cy="2989080"/>
                    </a:xfrm>
                    <a:prstGeom prst="rect">
                      <a:avLst/>
                    </a:prstGeom>
                  </pic:spPr>
                </pic:pic>
              </a:graphicData>
            </a:graphic>
          </wp:inline>
        </w:drawing>
      </w:r>
    </w:p>
    <w:p w14:paraId="5621BC03" w14:textId="456D492F" w:rsidR="00123746" w:rsidRPr="007227AB" w:rsidRDefault="00123746" w:rsidP="00BD4A5F">
      <w:pPr>
        <w:autoSpaceDE w:val="0"/>
        <w:autoSpaceDN w:val="0"/>
        <w:adjustRightInd w:val="0"/>
        <w:rPr>
          <w:sz w:val="24"/>
        </w:rPr>
      </w:pPr>
      <w:r w:rsidRPr="007227AB">
        <w:rPr>
          <w:b/>
          <w:bCs/>
          <w:sz w:val="24"/>
        </w:rPr>
        <w:t>Fig</w:t>
      </w:r>
      <w:r w:rsidR="00BA3188" w:rsidRPr="007227AB">
        <w:rPr>
          <w:b/>
          <w:bCs/>
          <w:sz w:val="24"/>
        </w:rPr>
        <w:t>.</w:t>
      </w:r>
      <w:r w:rsidRPr="007227AB">
        <w:rPr>
          <w:b/>
          <w:bCs/>
          <w:sz w:val="24"/>
        </w:rPr>
        <w:t xml:space="preserve"> S2</w:t>
      </w:r>
      <w:r w:rsidRPr="007227AB">
        <w:rPr>
          <w:sz w:val="24"/>
        </w:rPr>
        <w:t xml:space="preserve"> Phylogenetic tree based on </w:t>
      </w:r>
      <w:r w:rsidR="00B0384E" w:rsidRPr="007227AB">
        <w:rPr>
          <w:sz w:val="24"/>
        </w:rPr>
        <w:t xml:space="preserve">the </w:t>
      </w:r>
      <w:r w:rsidRPr="007227AB">
        <w:rPr>
          <w:sz w:val="24"/>
        </w:rPr>
        <w:t>amino acid sequences of (</w:t>
      </w:r>
      <w:r w:rsidRPr="007227AB">
        <w:rPr>
          <w:b/>
          <w:bCs/>
          <w:sz w:val="24"/>
        </w:rPr>
        <w:t>a</w:t>
      </w:r>
      <w:r w:rsidRPr="007227AB">
        <w:rPr>
          <w:sz w:val="24"/>
        </w:rPr>
        <w:t xml:space="preserve">) </w:t>
      </w:r>
      <w:r w:rsidR="00B0384E" w:rsidRPr="007227AB">
        <w:rPr>
          <w:sz w:val="24"/>
        </w:rPr>
        <w:t xml:space="preserve">the </w:t>
      </w:r>
      <w:proofErr w:type="spellStart"/>
      <w:r w:rsidR="00B0384E" w:rsidRPr="007227AB">
        <w:rPr>
          <w:sz w:val="24"/>
        </w:rPr>
        <w:t>t</w:t>
      </w:r>
      <w:r w:rsidRPr="007227AB">
        <w:rPr>
          <w:sz w:val="24"/>
        </w:rPr>
        <w:t>erminase</w:t>
      </w:r>
      <w:proofErr w:type="spellEnd"/>
      <w:r w:rsidRPr="007227AB">
        <w:rPr>
          <w:sz w:val="24"/>
        </w:rPr>
        <w:t xml:space="preserve"> large subunit</w:t>
      </w:r>
      <w:r w:rsidR="00B0384E" w:rsidRPr="007227AB">
        <w:rPr>
          <w:sz w:val="24"/>
        </w:rPr>
        <w:t xml:space="preserve"> and</w:t>
      </w:r>
      <w:r w:rsidRPr="007227AB">
        <w:rPr>
          <w:sz w:val="24"/>
        </w:rPr>
        <w:t xml:space="preserve"> (</w:t>
      </w:r>
      <w:r w:rsidRPr="007227AB">
        <w:rPr>
          <w:b/>
          <w:bCs/>
          <w:sz w:val="24"/>
        </w:rPr>
        <w:t>b</w:t>
      </w:r>
      <w:r w:rsidRPr="007227AB">
        <w:rPr>
          <w:sz w:val="24"/>
        </w:rPr>
        <w:t xml:space="preserve">) </w:t>
      </w:r>
      <w:proofErr w:type="spellStart"/>
      <w:r w:rsidRPr="007227AB">
        <w:rPr>
          <w:sz w:val="24"/>
        </w:rPr>
        <w:t>SbcC</w:t>
      </w:r>
      <w:proofErr w:type="spellEnd"/>
      <w:r w:rsidRPr="007227AB">
        <w:rPr>
          <w:sz w:val="24"/>
        </w:rPr>
        <w:t xml:space="preserve">. Escherichia phage T4 </w:t>
      </w:r>
      <w:r w:rsidR="00000589" w:rsidRPr="007227AB">
        <w:rPr>
          <w:sz w:val="24"/>
        </w:rPr>
        <w:t>was</w:t>
      </w:r>
      <w:r w:rsidRPr="007227AB">
        <w:rPr>
          <w:sz w:val="24"/>
        </w:rPr>
        <w:t xml:space="preserve"> used as an outgroup. </w:t>
      </w:r>
      <w:r w:rsidR="00B0384E" w:rsidRPr="007227AB">
        <w:rPr>
          <w:sz w:val="24"/>
        </w:rPr>
        <w:t xml:space="preserve">The </w:t>
      </w:r>
      <w:proofErr w:type="spellStart"/>
      <w:r w:rsidRPr="007227AB">
        <w:rPr>
          <w:sz w:val="24"/>
        </w:rPr>
        <w:t>Ralstonia</w:t>
      </w:r>
      <w:proofErr w:type="spellEnd"/>
      <w:r w:rsidRPr="007227AB">
        <w:rPr>
          <w:sz w:val="24"/>
        </w:rPr>
        <w:t xml:space="preserve"> phage</w:t>
      </w:r>
      <w:r w:rsidR="00000589" w:rsidRPr="007227AB">
        <w:rPr>
          <w:sz w:val="24"/>
        </w:rPr>
        <w:t>s</w:t>
      </w:r>
      <w:r w:rsidRPr="007227AB">
        <w:rPr>
          <w:sz w:val="24"/>
        </w:rPr>
        <w:t xml:space="preserve"> FLC1-1B and FLC4-3B </w:t>
      </w:r>
      <w:r w:rsidR="00B0384E" w:rsidRPr="007227AB">
        <w:rPr>
          <w:sz w:val="24"/>
        </w:rPr>
        <w:t>are shown in</w:t>
      </w:r>
      <w:r w:rsidRPr="007227AB">
        <w:rPr>
          <w:sz w:val="24"/>
        </w:rPr>
        <w:t xml:space="preserve"> blue. Red numbers show </w:t>
      </w:r>
      <w:r w:rsidR="00B0384E" w:rsidRPr="007227AB">
        <w:rPr>
          <w:sz w:val="24"/>
        </w:rPr>
        <w:t xml:space="preserve">the </w:t>
      </w:r>
      <w:r w:rsidRPr="007227AB">
        <w:rPr>
          <w:sz w:val="24"/>
        </w:rPr>
        <w:t xml:space="preserve">branch support value calculated </w:t>
      </w:r>
      <w:r w:rsidR="00B0384E" w:rsidRPr="007227AB">
        <w:rPr>
          <w:sz w:val="24"/>
        </w:rPr>
        <w:t xml:space="preserve">using </w:t>
      </w:r>
      <w:r w:rsidRPr="007227AB">
        <w:rPr>
          <w:sz w:val="24"/>
        </w:rPr>
        <w:t>an approximate likelihood ratio test</w:t>
      </w:r>
      <w:r w:rsidR="00D32D17" w:rsidRPr="007227AB">
        <w:rPr>
          <w:sz w:val="24"/>
        </w:rPr>
        <w:t xml:space="preserve"> [1]</w:t>
      </w:r>
      <w:r w:rsidRPr="007227AB">
        <w:rPr>
          <w:sz w:val="24"/>
        </w:rPr>
        <w:t xml:space="preserve">. </w:t>
      </w:r>
    </w:p>
    <w:p w14:paraId="50A41725" w14:textId="77777777" w:rsidR="00123746" w:rsidRPr="007227AB" w:rsidRDefault="00123746" w:rsidP="0049364F">
      <w:pPr>
        <w:autoSpaceDE w:val="0"/>
        <w:autoSpaceDN w:val="0"/>
        <w:adjustRightInd w:val="0"/>
        <w:ind w:left="640" w:hanging="640"/>
        <w:rPr>
          <w:sz w:val="24"/>
        </w:rPr>
      </w:pPr>
    </w:p>
    <w:p w14:paraId="51368CFD" w14:textId="69140D85" w:rsidR="00D63FB6" w:rsidRPr="007227AB" w:rsidRDefault="00D32D17" w:rsidP="00BD4A5F">
      <w:pPr>
        <w:autoSpaceDE w:val="0"/>
        <w:autoSpaceDN w:val="0"/>
        <w:adjustRightInd w:val="0"/>
        <w:ind w:left="284" w:hanging="284"/>
        <w:rPr>
          <w:noProof/>
          <w:kern w:val="0"/>
          <w:sz w:val="24"/>
        </w:rPr>
      </w:pPr>
      <w:r w:rsidRPr="007227AB">
        <w:rPr>
          <w:noProof/>
          <w:kern w:val="0"/>
          <w:sz w:val="24"/>
        </w:rPr>
        <w:t>[1] Anisimova M, Gascuel O (2006) Approximate likelihood-ratio test for branches: A fast, accurate, and powerful alternative. Syst Biol 55:539</w:t>
      </w:r>
      <w:r w:rsidR="00000589" w:rsidRPr="007227AB">
        <w:rPr>
          <w:noProof/>
          <w:kern w:val="0"/>
          <w:sz w:val="24"/>
        </w:rPr>
        <w:t>-</w:t>
      </w:r>
      <w:r w:rsidRPr="007227AB">
        <w:rPr>
          <w:noProof/>
          <w:kern w:val="0"/>
          <w:sz w:val="24"/>
        </w:rPr>
        <w:t>552</w:t>
      </w:r>
    </w:p>
    <w:p w14:paraId="2620BD23" w14:textId="526F3762" w:rsidR="00E806B6" w:rsidRPr="007227AB" w:rsidRDefault="00E806B6">
      <w:pPr>
        <w:widowControl/>
        <w:spacing w:line="240" w:lineRule="auto"/>
        <w:jc w:val="left"/>
        <w:rPr>
          <w:noProof/>
          <w:kern w:val="0"/>
          <w:sz w:val="22"/>
          <w:szCs w:val="22"/>
        </w:rPr>
      </w:pPr>
      <w:r w:rsidRPr="007227AB">
        <w:rPr>
          <w:noProof/>
          <w:kern w:val="0"/>
          <w:sz w:val="22"/>
          <w:szCs w:val="22"/>
        </w:rPr>
        <w:br w:type="page"/>
      </w:r>
    </w:p>
    <w:p w14:paraId="2A1D0888" w14:textId="77777777" w:rsidR="005539AF" w:rsidRDefault="004C67D2" w:rsidP="00E806B6">
      <w:pPr>
        <w:autoSpaceDE w:val="0"/>
        <w:autoSpaceDN w:val="0"/>
        <w:adjustRightInd w:val="0"/>
        <w:rPr>
          <w:sz w:val="24"/>
        </w:rPr>
      </w:pPr>
      <w:r w:rsidRPr="007227AB">
        <w:rPr>
          <w:noProof/>
          <w:sz w:val="24"/>
        </w:rPr>
        <w:lastRenderedPageBreak/>
        <w:drawing>
          <wp:anchor distT="0" distB="0" distL="114300" distR="114300" simplePos="0" relativeHeight="251660288" behindDoc="0" locked="0" layoutInCell="1" allowOverlap="1" wp14:anchorId="41E57C50" wp14:editId="39301A93">
            <wp:simplePos x="0" y="0"/>
            <wp:positionH relativeFrom="column">
              <wp:posOffset>96520</wp:posOffset>
            </wp:positionH>
            <wp:positionV relativeFrom="paragraph">
              <wp:posOffset>137893</wp:posOffset>
            </wp:positionV>
            <wp:extent cx="5399405" cy="2878455"/>
            <wp:effectExtent l="0" t="0" r="0" b="4445"/>
            <wp:wrapSquare wrapText="largest"/>
            <wp:docPr id="82747844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478449" name=""/>
                    <pic:cNvPicPr/>
                  </pic:nvPicPr>
                  <pic:blipFill>
                    <a:blip r:embed="rId10">
                      <a:extLst>
                        <a:ext uri="{28A0092B-C50C-407E-A947-70E740481C1C}">
                          <a14:useLocalDpi xmlns:a14="http://schemas.microsoft.com/office/drawing/2010/main" val="0"/>
                        </a:ext>
                      </a:extLst>
                    </a:blip>
                    <a:stretch>
                      <a:fillRect/>
                    </a:stretch>
                  </pic:blipFill>
                  <pic:spPr>
                    <a:xfrm>
                      <a:off x="0" y="0"/>
                      <a:ext cx="5399405" cy="2878455"/>
                    </a:xfrm>
                    <a:prstGeom prst="rect">
                      <a:avLst/>
                    </a:prstGeom>
                  </pic:spPr>
                </pic:pic>
              </a:graphicData>
            </a:graphic>
            <wp14:sizeRelH relativeFrom="margin">
              <wp14:pctWidth>0</wp14:pctWidth>
            </wp14:sizeRelH>
            <wp14:sizeRelV relativeFrom="margin">
              <wp14:pctHeight>0</wp14:pctHeight>
            </wp14:sizeRelV>
          </wp:anchor>
        </w:drawing>
      </w:r>
      <w:r w:rsidRPr="007227AB">
        <w:rPr>
          <w:b/>
          <w:bCs/>
          <w:sz w:val="24"/>
        </w:rPr>
        <w:t>Fig</w:t>
      </w:r>
      <w:r w:rsidR="00BA3188" w:rsidRPr="007227AB">
        <w:rPr>
          <w:b/>
          <w:bCs/>
          <w:sz w:val="24"/>
        </w:rPr>
        <w:t>.</w:t>
      </w:r>
      <w:r w:rsidRPr="007227AB">
        <w:rPr>
          <w:b/>
          <w:bCs/>
          <w:sz w:val="24"/>
        </w:rPr>
        <w:t xml:space="preserve"> S3</w:t>
      </w:r>
      <w:r w:rsidRPr="007227AB">
        <w:rPr>
          <w:sz w:val="24"/>
        </w:rPr>
        <w:t xml:space="preserve"> </w:t>
      </w:r>
      <w:r w:rsidR="00CF4804" w:rsidRPr="007227AB">
        <w:rPr>
          <w:sz w:val="24"/>
        </w:rPr>
        <w:t xml:space="preserve">Assessment of the suppression of wilt disease by treatment with </w:t>
      </w:r>
      <w:r w:rsidR="00B0384E" w:rsidRPr="007227AB">
        <w:rPr>
          <w:sz w:val="24"/>
        </w:rPr>
        <w:t xml:space="preserve">the </w:t>
      </w:r>
      <w:proofErr w:type="spellStart"/>
      <w:r w:rsidR="00CF4804" w:rsidRPr="007227AB">
        <w:rPr>
          <w:sz w:val="24"/>
        </w:rPr>
        <w:t>Ralstonia</w:t>
      </w:r>
      <w:proofErr w:type="spellEnd"/>
      <w:r w:rsidR="00CF4804" w:rsidRPr="007227AB">
        <w:rPr>
          <w:i/>
          <w:iCs/>
          <w:sz w:val="24"/>
        </w:rPr>
        <w:t xml:space="preserve"> </w:t>
      </w:r>
      <w:r w:rsidR="00CF4804" w:rsidRPr="007227AB">
        <w:rPr>
          <w:sz w:val="24"/>
        </w:rPr>
        <w:t>phage FLC4-3B. (</w:t>
      </w:r>
      <w:r w:rsidR="00CF4804" w:rsidRPr="007227AB">
        <w:rPr>
          <w:b/>
          <w:bCs/>
          <w:sz w:val="24"/>
        </w:rPr>
        <w:t>a</w:t>
      </w:r>
      <w:r w:rsidR="00CF4804" w:rsidRPr="007227AB">
        <w:rPr>
          <w:sz w:val="24"/>
        </w:rPr>
        <w:t xml:space="preserve">) </w:t>
      </w:r>
      <w:r w:rsidR="00F44278" w:rsidRPr="007227AB">
        <w:rPr>
          <w:sz w:val="24"/>
        </w:rPr>
        <w:t xml:space="preserve">Photograph showing representative wilt disease symptoms at 10 days after inoculation with </w:t>
      </w:r>
      <w:r w:rsidR="00F44278" w:rsidRPr="007227AB">
        <w:rPr>
          <w:i/>
          <w:iCs/>
          <w:sz w:val="24"/>
        </w:rPr>
        <w:t xml:space="preserve">R. </w:t>
      </w:r>
      <w:proofErr w:type="spellStart"/>
      <w:r w:rsidR="00F44278" w:rsidRPr="007227AB">
        <w:rPr>
          <w:i/>
          <w:iCs/>
          <w:sz w:val="24"/>
        </w:rPr>
        <w:t>pseudosolanacearum</w:t>
      </w:r>
      <w:proofErr w:type="spellEnd"/>
      <w:r w:rsidR="00F44278" w:rsidRPr="007227AB">
        <w:rPr>
          <w:sz w:val="24"/>
        </w:rPr>
        <w:t xml:space="preserve">. </w:t>
      </w:r>
      <w:r w:rsidR="00B0384E" w:rsidRPr="007227AB">
        <w:rPr>
          <w:sz w:val="24"/>
        </w:rPr>
        <w:t>The roots of f</w:t>
      </w:r>
      <w:r w:rsidR="00CF4804" w:rsidRPr="007227AB">
        <w:rPr>
          <w:sz w:val="24"/>
        </w:rPr>
        <w:t>ive</w:t>
      </w:r>
      <w:r w:rsidR="00B0384E" w:rsidRPr="007227AB">
        <w:rPr>
          <w:sz w:val="24"/>
        </w:rPr>
        <w:t>-</w:t>
      </w:r>
      <w:r w:rsidR="00CF4804" w:rsidRPr="007227AB">
        <w:rPr>
          <w:sz w:val="24"/>
        </w:rPr>
        <w:t>leaf</w:t>
      </w:r>
      <w:r w:rsidR="00B0384E" w:rsidRPr="007227AB">
        <w:rPr>
          <w:sz w:val="24"/>
        </w:rPr>
        <w:t>-</w:t>
      </w:r>
      <w:r w:rsidR="00CF4804" w:rsidRPr="007227AB">
        <w:rPr>
          <w:sz w:val="24"/>
        </w:rPr>
        <w:t xml:space="preserve">stage tomato nursery plants were soaked in </w:t>
      </w:r>
      <w:proofErr w:type="spellStart"/>
      <w:r w:rsidR="00CF4804" w:rsidRPr="007227AB">
        <w:rPr>
          <w:sz w:val="24"/>
        </w:rPr>
        <w:t>Ralstonia</w:t>
      </w:r>
      <w:proofErr w:type="spellEnd"/>
      <w:r w:rsidR="00CF4804" w:rsidRPr="007227AB">
        <w:rPr>
          <w:i/>
          <w:iCs/>
          <w:sz w:val="24"/>
        </w:rPr>
        <w:t xml:space="preserve"> </w:t>
      </w:r>
      <w:r w:rsidR="00CF4804" w:rsidRPr="007227AB">
        <w:rPr>
          <w:sz w:val="24"/>
        </w:rPr>
        <w:t>phage solution (</w:t>
      </w:r>
      <w:r w:rsidR="0093482C" w:rsidRPr="007227AB">
        <w:rPr>
          <w:sz w:val="24"/>
        </w:rPr>
        <w:t>1</w:t>
      </w:r>
      <w:r w:rsidR="00B0384E" w:rsidRPr="007227AB">
        <w:rPr>
          <w:sz w:val="24"/>
        </w:rPr>
        <w:t>×</w:t>
      </w:r>
      <w:r w:rsidR="00CF4804" w:rsidRPr="007227AB">
        <w:rPr>
          <w:sz w:val="24"/>
        </w:rPr>
        <w:t>10</w:t>
      </w:r>
      <w:r w:rsidR="00CF4804" w:rsidRPr="007227AB">
        <w:rPr>
          <w:sz w:val="24"/>
          <w:vertAlign w:val="superscript"/>
        </w:rPr>
        <w:t>7</w:t>
      </w:r>
      <w:r w:rsidR="00CF4804" w:rsidRPr="007227AB">
        <w:rPr>
          <w:sz w:val="24"/>
        </w:rPr>
        <w:t xml:space="preserve"> pfu/mL) (FLC4-3B) or </w:t>
      </w:r>
      <w:r w:rsidR="00B0384E" w:rsidRPr="007227AB">
        <w:rPr>
          <w:sz w:val="24"/>
        </w:rPr>
        <w:t xml:space="preserve">in </w:t>
      </w:r>
      <w:r w:rsidR="00CF4804" w:rsidRPr="007227AB">
        <w:rPr>
          <w:sz w:val="24"/>
        </w:rPr>
        <w:t xml:space="preserve">diluted CPG medium of the same strength as that used </w:t>
      </w:r>
      <w:r w:rsidR="00B0384E" w:rsidRPr="007227AB">
        <w:rPr>
          <w:sz w:val="24"/>
        </w:rPr>
        <w:t xml:space="preserve">to prepare </w:t>
      </w:r>
      <w:r w:rsidR="00CF4804" w:rsidRPr="007227AB">
        <w:rPr>
          <w:sz w:val="24"/>
        </w:rPr>
        <w:t>the FLC4-3B solution (Control)</w:t>
      </w:r>
      <w:r w:rsidR="00B0384E" w:rsidRPr="007227AB">
        <w:rPr>
          <w:sz w:val="24"/>
        </w:rPr>
        <w:t>,</w:t>
      </w:r>
      <w:r w:rsidR="00CF4804" w:rsidRPr="007227AB">
        <w:rPr>
          <w:sz w:val="24"/>
        </w:rPr>
        <w:t xml:space="preserve"> for 1</w:t>
      </w:r>
      <w:r w:rsidR="00B0384E" w:rsidRPr="007227AB">
        <w:rPr>
          <w:sz w:val="24"/>
        </w:rPr>
        <w:t xml:space="preserve"> </w:t>
      </w:r>
      <w:r w:rsidR="0093482C" w:rsidRPr="007227AB">
        <w:rPr>
          <w:sz w:val="24"/>
        </w:rPr>
        <w:t>h</w:t>
      </w:r>
      <w:r w:rsidR="00CF4804" w:rsidRPr="007227AB">
        <w:rPr>
          <w:sz w:val="24"/>
        </w:rPr>
        <w:t xml:space="preserve"> at 25</w:t>
      </w:r>
      <w:r w:rsidR="00B0384E" w:rsidRPr="007227AB">
        <w:rPr>
          <w:rFonts w:eastAsia="ＭＳ 明朝"/>
          <w:sz w:val="24"/>
        </w:rPr>
        <w:t>°C</w:t>
      </w:r>
      <w:r w:rsidR="00F44278" w:rsidRPr="007227AB">
        <w:rPr>
          <w:rFonts w:eastAsia="ＭＳ 明朝"/>
          <w:sz w:val="24"/>
        </w:rPr>
        <w:t>,</w:t>
      </w:r>
      <w:r w:rsidR="00CF4804" w:rsidRPr="007227AB">
        <w:rPr>
          <w:rFonts w:eastAsia="ＭＳ 明朝"/>
          <w:sz w:val="24"/>
        </w:rPr>
        <w:t xml:space="preserve"> followed by inoculation with </w:t>
      </w:r>
      <w:proofErr w:type="spellStart"/>
      <w:r w:rsidR="00CF4804" w:rsidRPr="007227AB">
        <w:rPr>
          <w:i/>
          <w:iCs/>
          <w:sz w:val="24"/>
        </w:rPr>
        <w:t>Ralstonia</w:t>
      </w:r>
      <w:proofErr w:type="spellEnd"/>
      <w:r w:rsidR="00CF4804" w:rsidRPr="007227AB">
        <w:rPr>
          <w:i/>
          <w:iCs/>
          <w:sz w:val="24"/>
        </w:rPr>
        <w:t xml:space="preserve"> </w:t>
      </w:r>
      <w:proofErr w:type="spellStart"/>
      <w:r w:rsidR="00CF4804" w:rsidRPr="007227AB">
        <w:rPr>
          <w:i/>
          <w:iCs/>
          <w:sz w:val="24"/>
        </w:rPr>
        <w:t>pseudosolanacearum</w:t>
      </w:r>
      <w:proofErr w:type="spellEnd"/>
      <w:r w:rsidR="00CF4804" w:rsidRPr="007227AB">
        <w:rPr>
          <w:i/>
          <w:iCs/>
          <w:sz w:val="24"/>
        </w:rPr>
        <w:t xml:space="preserve"> </w:t>
      </w:r>
      <w:r w:rsidR="00CF4804" w:rsidRPr="007227AB">
        <w:rPr>
          <w:sz w:val="24"/>
        </w:rPr>
        <w:t>MAFF</w:t>
      </w:r>
      <w:r w:rsidR="004A167F" w:rsidRPr="007227AB">
        <w:rPr>
          <w:sz w:val="24"/>
        </w:rPr>
        <w:t>106611</w:t>
      </w:r>
      <w:r w:rsidR="00CF4804" w:rsidRPr="007227AB">
        <w:rPr>
          <w:sz w:val="24"/>
        </w:rPr>
        <w:t xml:space="preserve"> (</w:t>
      </w:r>
      <w:r w:rsidR="0093482C" w:rsidRPr="007227AB">
        <w:rPr>
          <w:sz w:val="24"/>
        </w:rPr>
        <w:t>1</w:t>
      </w:r>
      <w:r w:rsidR="00B0384E" w:rsidRPr="007227AB">
        <w:rPr>
          <w:sz w:val="24"/>
        </w:rPr>
        <w:t>×</w:t>
      </w:r>
      <w:r w:rsidR="00CF4804" w:rsidRPr="007227AB">
        <w:rPr>
          <w:sz w:val="24"/>
        </w:rPr>
        <w:t>10</w:t>
      </w:r>
      <w:r w:rsidR="00CF4804" w:rsidRPr="007227AB">
        <w:rPr>
          <w:sz w:val="24"/>
          <w:vertAlign w:val="superscript"/>
        </w:rPr>
        <w:t>7</w:t>
      </w:r>
      <w:r w:rsidR="00CF4804" w:rsidRPr="007227AB">
        <w:rPr>
          <w:sz w:val="24"/>
        </w:rPr>
        <w:t xml:space="preserve"> </w:t>
      </w:r>
      <w:proofErr w:type="spellStart"/>
      <w:r w:rsidR="00CF4804" w:rsidRPr="007227AB">
        <w:rPr>
          <w:sz w:val="24"/>
        </w:rPr>
        <w:t>cfu</w:t>
      </w:r>
      <w:proofErr w:type="spellEnd"/>
      <w:r w:rsidR="00CF4804" w:rsidRPr="007227AB">
        <w:rPr>
          <w:sz w:val="24"/>
        </w:rPr>
        <w:t xml:space="preserve">/mL). </w:t>
      </w:r>
      <w:r w:rsidR="004A167F" w:rsidRPr="007227AB">
        <w:rPr>
          <w:sz w:val="24"/>
        </w:rPr>
        <w:t>(</w:t>
      </w:r>
      <w:r w:rsidR="004A167F" w:rsidRPr="007227AB">
        <w:rPr>
          <w:b/>
          <w:bCs/>
          <w:sz w:val="24"/>
        </w:rPr>
        <w:t>b</w:t>
      </w:r>
      <w:r w:rsidR="004A167F" w:rsidRPr="007227AB">
        <w:rPr>
          <w:sz w:val="24"/>
        </w:rPr>
        <w:t xml:space="preserve">) </w:t>
      </w:r>
      <w:r w:rsidR="00A70A20" w:rsidRPr="007227AB">
        <w:rPr>
          <w:sz w:val="24"/>
        </w:rPr>
        <w:t>The p</w:t>
      </w:r>
      <w:r w:rsidR="00CF4804" w:rsidRPr="007227AB">
        <w:rPr>
          <w:sz w:val="24"/>
        </w:rPr>
        <w:t xml:space="preserve">roportion of </w:t>
      </w:r>
      <w:r w:rsidR="004A167F" w:rsidRPr="007227AB">
        <w:rPr>
          <w:sz w:val="24"/>
        </w:rPr>
        <w:t xml:space="preserve">wilt </w:t>
      </w:r>
      <w:r w:rsidR="00CF4804" w:rsidRPr="007227AB">
        <w:rPr>
          <w:sz w:val="24"/>
        </w:rPr>
        <w:t xml:space="preserve">disease severity index (DSI) scores for </w:t>
      </w:r>
      <w:r w:rsidR="004A167F" w:rsidRPr="007227AB">
        <w:rPr>
          <w:i/>
          <w:iCs/>
          <w:sz w:val="24"/>
        </w:rPr>
        <w:t xml:space="preserve">R. </w:t>
      </w:r>
      <w:proofErr w:type="spellStart"/>
      <w:r w:rsidR="004A167F" w:rsidRPr="007227AB">
        <w:rPr>
          <w:i/>
          <w:iCs/>
          <w:sz w:val="24"/>
        </w:rPr>
        <w:t>pseudosolanacearum</w:t>
      </w:r>
      <w:proofErr w:type="spellEnd"/>
      <w:r w:rsidR="00CF4804" w:rsidRPr="007227AB">
        <w:rPr>
          <w:sz w:val="24"/>
        </w:rPr>
        <w:t xml:space="preserve">-infected </w:t>
      </w:r>
      <w:r w:rsidR="004A167F" w:rsidRPr="007227AB">
        <w:rPr>
          <w:sz w:val="24"/>
        </w:rPr>
        <w:t>plants</w:t>
      </w:r>
      <w:r w:rsidR="00CF4804" w:rsidRPr="007227AB">
        <w:rPr>
          <w:sz w:val="24"/>
        </w:rPr>
        <w:t xml:space="preserve"> that were immersed in </w:t>
      </w:r>
      <w:proofErr w:type="spellStart"/>
      <w:r w:rsidR="004A167F" w:rsidRPr="007227AB">
        <w:rPr>
          <w:sz w:val="24"/>
        </w:rPr>
        <w:t>Ralstonia</w:t>
      </w:r>
      <w:proofErr w:type="spellEnd"/>
      <w:r w:rsidR="004A167F" w:rsidRPr="007227AB">
        <w:rPr>
          <w:i/>
          <w:iCs/>
          <w:sz w:val="24"/>
        </w:rPr>
        <w:t xml:space="preserve"> </w:t>
      </w:r>
      <w:r w:rsidR="004A167F" w:rsidRPr="007227AB">
        <w:rPr>
          <w:sz w:val="24"/>
        </w:rPr>
        <w:t xml:space="preserve">phage </w:t>
      </w:r>
      <w:r w:rsidR="00CF4804" w:rsidRPr="007227AB">
        <w:rPr>
          <w:sz w:val="24"/>
        </w:rPr>
        <w:t xml:space="preserve">solution or </w:t>
      </w:r>
      <w:r w:rsidR="00A70A20" w:rsidRPr="007227AB">
        <w:rPr>
          <w:sz w:val="24"/>
        </w:rPr>
        <w:t xml:space="preserve">in </w:t>
      </w:r>
      <w:r w:rsidR="00CF4804" w:rsidRPr="007227AB">
        <w:rPr>
          <w:sz w:val="24"/>
        </w:rPr>
        <w:t xml:space="preserve">diluted </w:t>
      </w:r>
      <w:r w:rsidR="004A167F" w:rsidRPr="007227AB">
        <w:rPr>
          <w:sz w:val="24"/>
        </w:rPr>
        <w:t xml:space="preserve">CPG </w:t>
      </w:r>
      <w:r w:rsidR="00CF4804" w:rsidRPr="007227AB">
        <w:rPr>
          <w:sz w:val="24"/>
        </w:rPr>
        <w:t xml:space="preserve">medium as a control </w:t>
      </w:r>
      <w:r w:rsidR="004A167F" w:rsidRPr="007227AB">
        <w:rPr>
          <w:sz w:val="24"/>
        </w:rPr>
        <w:t>was assessed.</w:t>
      </w:r>
      <w:r w:rsidR="00CF4804" w:rsidRPr="007227AB">
        <w:rPr>
          <w:sz w:val="24"/>
        </w:rPr>
        <w:t xml:space="preserve"> The DSI </w:t>
      </w:r>
      <w:r w:rsidR="00A70A20" w:rsidRPr="007227AB">
        <w:rPr>
          <w:sz w:val="24"/>
        </w:rPr>
        <w:t xml:space="preserve">scores are </w:t>
      </w:r>
      <w:r w:rsidR="00CF4804" w:rsidRPr="007227AB">
        <w:rPr>
          <w:sz w:val="24"/>
        </w:rPr>
        <w:t xml:space="preserve">shown </w:t>
      </w:r>
      <w:r w:rsidR="00A70A20" w:rsidRPr="007227AB">
        <w:rPr>
          <w:sz w:val="24"/>
        </w:rPr>
        <w:t>above the</w:t>
      </w:r>
      <w:r w:rsidR="00CF4804" w:rsidRPr="007227AB">
        <w:rPr>
          <w:sz w:val="24"/>
        </w:rPr>
        <w:t xml:space="preserve"> bar chart. </w:t>
      </w:r>
      <w:r w:rsidR="00D63FB6" w:rsidRPr="007227AB">
        <w:rPr>
          <w:sz w:val="24"/>
        </w:rPr>
        <w:t>The disease severity was categorized on a 0</w:t>
      </w:r>
      <w:r w:rsidR="00A70A20" w:rsidRPr="007227AB">
        <w:rPr>
          <w:sz w:val="24"/>
        </w:rPr>
        <w:t>–</w:t>
      </w:r>
      <w:r w:rsidR="00D63FB6" w:rsidRPr="007227AB">
        <w:rPr>
          <w:sz w:val="24"/>
        </w:rPr>
        <w:t>4 non-parametric scale (0, no wilting; 1, 1</w:t>
      </w:r>
      <w:r w:rsidR="00A70A20" w:rsidRPr="007227AB">
        <w:rPr>
          <w:sz w:val="24"/>
        </w:rPr>
        <w:t>%–</w:t>
      </w:r>
      <w:r w:rsidR="00D63FB6" w:rsidRPr="007227AB">
        <w:rPr>
          <w:sz w:val="24"/>
        </w:rPr>
        <w:t>25% wilting; 2, 26</w:t>
      </w:r>
      <w:r w:rsidR="00A70A20" w:rsidRPr="007227AB">
        <w:rPr>
          <w:sz w:val="24"/>
        </w:rPr>
        <w:t>%–</w:t>
      </w:r>
      <w:r w:rsidR="00D63FB6" w:rsidRPr="007227AB">
        <w:rPr>
          <w:sz w:val="24"/>
        </w:rPr>
        <w:t>50% wilting; 3, 51</w:t>
      </w:r>
      <w:r w:rsidR="00A70A20" w:rsidRPr="007227AB">
        <w:rPr>
          <w:sz w:val="24"/>
        </w:rPr>
        <w:t>%–</w:t>
      </w:r>
      <w:r w:rsidR="00D63FB6" w:rsidRPr="007227AB">
        <w:rPr>
          <w:sz w:val="24"/>
        </w:rPr>
        <w:t>75% wilting; 4, 76</w:t>
      </w:r>
      <w:r w:rsidR="00A70A20" w:rsidRPr="007227AB">
        <w:rPr>
          <w:sz w:val="24"/>
        </w:rPr>
        <w:t>%–</w:t>
      </w:r>
      <w:r w:rsidR="00D63FB6" w:rsidRPr="007227AB">
        <w:rPr>
          <w:sz w:val="24"/>
        </w:rPr>
        <w:t xml:space="preserve">100% wilting or dead) and </w:t>
      </w:r>
      <w:r w:rsidR="0093482C" w:rsidRPr="007227AB">
        <w:rPr>
          <w:sz w:val="24"/>
        </w:rPr>
        <w:t xml:space="preserve">the </w:t>
      </w:r>
      <w:r w:rsidR="00D63FB6" w:rsidRPr="007227AB">
        <w:rPr>
          <w:sz w:val="24"/>
        </w:rPr>
        <w:t>DSI was calculated. Wilcoxon’s two</w:t>
      </w:r>
      <w:r w:rsidR="00A70A20" w:rsidRPr="007227AB">
        <w:rPr>
          <w:sz w:val="24"/>
        </w:rPr>
        <w:t>-</w:t>
      </w:r>
      <w:r w:rsidR="00D63FB6" w:rsidRPr="007227AB">
        <w:rPr>
          <w:sz w:val="24"/>
        </w:rPr>
        <w:t xml:space="preserve">sample test was used to </w:t>
      </w:r>
      <w:r w:rsidR="00A70A20" w:rsidRPr="007227AB">
        <w:rPr>
          <w:sz w:val="24"/>
        </w:rPr>
        <w:t xml:space="preserve">check for </w:t>
      </w:r>
      <w:r w:rsidR="00D63FB6" w:rsidRPr="007227AB">
        <w:rPr>
          <w:sz w:val="24"/>
        </w:rPr>
        <w:t>significant differences in disease severity (α = 0</w:t>
      </w:r>
      <w:r w:rsidR="00A70A20" w:rsidRPr="007227AB">
        <w:rPr>
          <w:sz w:val="24"/>
        </w:rPr>
        <w:t>.</w:t>
      </w:r>
      <w:r w:rsidR="00D63FB6" w:rsidRPr="007227AB">
        <w:rPr>
          <w:sz w:val="24"/>
        </w:rPr>
        <w:t>05).</w:t>
      </w:r>
    </w:p>
    <w:p w14:paraId="69FB024B" w14:textId="093750A2" w:rsidR="00E806B6" w:rsidRPr="007227AB" w:rsidRDefault="00D63FB6" w:rsidP="00E806B6">
      <w:pPr>
        <w:autoSpaceDE w:val="0"/>
        <w:autoSpaceDN w:val="0"/>
        <w:adjustRightInd w:val="0"/>
        <w:rPr>
          <w:sz w:val="24"/>
        </w:rPr>
      </w:pPr>
      <w:r w:rsidRPr="007227AB">
        <w:rPr>
          <w:sz w:val="24"/>
        </w:rPr>
        <w:t xml:space="preserve"> </w:t>
      </w:r>
      <w:r w:rsidR="00E806B6" w:rsidRPr="007227AB">
        <w:rPr>
          <w:sz w:val="24"/>
        </w:rPr>
        <w:br w:type="page"/>
      </w:r>
    </w:p>
    <w:p w14:paraId="43D7BFE9" w14:textId="748F92CF" w:rsidR="00123746" w:rsidRPr="007227AB" w:rsidRDefault="00C62152" w:rsidP="0049364F">
      <w:pPr>
        <w:autoSpaceDE w:val="0"/>
        <w:autoSpaceDN w:val="0"/>
        <w:adjustRightInd w:val="0"/>
        <w:ind w:left="640" w:hanging="640"/>
        <w:rPr>
          <w:sz w:val="24"/>
        </w:rPr>
      </w:pPr>
      <w:r w:rsidRPr="00C62152">
        <w:rPr>
          <w:sz w:val="24"/>
        </w:rPr>
        <w:lastRenderedPageBreak/>
        <w:drawing>
          <wp:inline distT="0" distB="0" distL="0" distR="0" wp14:anchorId="4300182B" wp14:editId="2975C0F6">
            <wp:extent cx="5400040" cy="3141345"/>
            <wp:effectExtent l="0" t="0" r="0" b="0"/>
            <wp:docPr id="199236240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362400" name=""/>
                    <pic:cNvPicPr/>
                  </pic:nvPicPr>
                  <pic:blipFill>
                    <a:blip r:embed="rId11"/>
                    <a:stretch>
                      <a:fillRect/>
                    </a:stretch>
                  </pic:blipFill>
                  <pic:spPr>
                    <a:xfrm>
                      <a:off x="0" y="0"/>
                      <a:ext cx="5400040" cy="3141345"/>
                    </a:xfrm>
                    <a:prstGeom prst="rect">
                      <a:avLst/>
                    </a:prstGeom>
                  </pic:spPr>
                </pic:pic>
              </a:graphicData>
            </a:graphic>
          </wp:inline>
        </w:drawing>
      </w:r>
    </w:p>
    <w:p w14:paraId="20661A6F" w14:textId="77777777" w:rsidR="00C62152" w:rsidRDefault="00C62152" w:rsidP="00BD4A5F">
      <w:pPr>
        <w:autoSpaceDE w:val="0"/>
        <w:autoSpaceDN w:val="0"/>
        <w:adjustRightInd w:val="0"/>
        <w:ind w:left="284" w:hanging="284"/>
        <w:rPr>
          <w:sz w:val="24"/>
        </w:rPr>
      </w:pPr>
    </w:p>
    <w:p w14:paraId="1C3ED9DF" w14:textId="11B9CFD0" w:rsidR="00123746" w:rsidRPr="007227AB" w:rsidRDefault="00E05388" w:rsidP="00BD4A5F">
      <w:pPr>
        <w:autoSpaceDE w:val="0"/>
        <w:autoSpaceDN w:val="0"/>
        <w:adjustRightInd w:val="0"/>
        <w:ind w:left="284" w:hanging="284"/>
        <w:rPr>
          <w:sz w:val="24"/>
        </w:rPr>
      </w:pPr>
      <w:r w:rsidRPr="007227AB">
        <w:rPr>
          <w:sz w:val="24"/>
        </w:rPr>
        <w:t xml:space="preserve">[1] </w:t>
      </w:r>
      <w:proofErr w:type="spellStart"/>
      <w:r w:rsidR="005D36AD" w:rsidRPr="007227AB">
        <w:rPr>
          <w:sz w:val="24"/>
        </w:rPr>
        <w:t>Horita</w:t>
      </w:r>
      <w:proofErr w:type="spellEnd"/>
      <w:r w:rsidR="005D36AD" w:rsidRPr="007227AB">
        <w:rPr>
          <w:sz w:val="24"/>
        </w:rPr>
        <w:t xml:space="preserve"> M, Tsuchiya K (2000) Comparative analysis of Japanese and foreign strains of </w:t>
      </w:r>
      <w:proofErr w:type="spellStart"/>
      <w:r w:rsidR="005D36AD" w:rsidRPr="007227AB">
        <w:rPr>
          <w:i/>
          <w:iCs/>
          <w:sz w:val="24"/>
        </w:rPr>
        <w:t>Ralstonia</w:t>
      </w:r>
      <w:proofErr w:type="spellEnd"/>
      <w:r w:rsidR="005D36AD" w:rsidRPr="007227AB">
        <w:rPr>
          <w:i/>
          <w:iCs/>
          <w:sz w:val="24"/>
        </w:rPr>
        <w:t xml:space="preserve"> solanacearum</w:t>
      </w:r>
      <w:r w:rsidR="005D36AD" w:rsidRPr="007227AB">
        <w:rPr>
          <w:sz w:val="24"/>
        </w:rPr>
        <w:t xml:space="preserve"> based on 16S ribosomal RNA gene sequences. J Gen Plant </w:t>
      </w:r>
      <w:proofErr w:type="spellStart"/>
      <w:r w:rsidR="005D36AD" w:rsidRPr="007227AB">
        <w:rPr>
          <w:sz w:val="24"/>
        </w:rPr>
        <w:t>Pathol</w:t>
      </w:r>
      <w:proofErr w:type="spellEnd"/>
      <w:r w:rsidR="005D36AD" w:rsidRPr="007227AB">
        <w:rPr>
          <w:sz w:val="24"/>
        </w:rPr>
        <w:t xml:space="preserve"> 66:132</w:t>
      </w:r>
      <w:r w:rsidR="005464C3" w:rsidRPr="007227AB">
        <w:rPr>
          <w:sz w:val="24"/>
        </w:rPr>
        <w:t>-</w:t>
      </w:r>
      <w:r w:rsidR="005D36AD" w:rsidRPr="007227AB">
        <w:rPr>
          <w:sz w:val="24"/>
        </w:rPr>
        <w:t>137</w:t>
      </w:r>
    </w:p>
    <w:p w14:paraId="077B73F3" w14:textId="77777777" w:rsidR="00123746" w:rsidRPr="007227AB" w:rsidRDefault="00123746" w:rsidP="001755B1">
      <w:pPr>
        <w:autoSpaceDE w:val="0"/>
        <w:autoSpaceDN w:val="0"/>
        <w:adjustRightInd w:val="0"/>
        <w:rPr>
          <w:sz w:val="24"/>
        </w:rPr>
      </w:pPr>
    </w:p>
    <w:p w14:paraId="7902BF7A" w14:textId="1F873541" w:rsidR="001755B1" w:rsidRPr="007227AB" w:rsidRDefault="001755B1">
      <w:pPr>
        <w:widowControl/>
        <w:spacing w:line="240" w:lineRule="auto"/>
        <w:jc w:val="left"/>
        <w:rPr>
          <w:sz w:val="24"/>
        </w:rPr>
      </w:pPr>
      <w:r w:rsidRPr="007227AB">
        <w:rPr>
          <w:sz w:val="24"/>
        </w:rPr>
        <w:br w:type="page"/>
      </w:r>
    </w:p>
    <w:p w14:paraId="4924BBA3" w14:textId="3F114E75" w:rsidR="00123746" w:rsidRPr="007227AB" w:rsidRDefault="004C67D2" w:rsidP="001755B1">
      <w:pPr>
        <w:autoSpaceDE w:val="0"/>
        <w:autoSpaceDN w:val="0"/>
        <w:adjustRightInd w:val="0"/>
        <w:rPr>
          <w:sz w:val="24"/>
        </w:rPr>
      </w:pPr>
      <w:r w:rsidRPr="007227AB">
        <w:rPr>
          <w:noProof/>
          <w:sz w:val="24"/>
        </w:rPr>
        <w:lastRenderedPageBreak/>
        <w:drawing>
          <wp:inline distT="0" distB="0" distL="0" distR="0" wp14:anchorId="614B1774" wp14:editId="3B29F1B5">
            <wp:extent cx="4316760" cy="3993480"/>
            <wp:effectExtent l="0" t="0" r="7620" b="7620"/>
            <wp:docPr id="62386910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869109" name=""/>
                    <pic:cNvPicPr/>
                  </pic:nvPicPr>
                  <pic:blipFill>
                    <a:blip r:embed="rId12">
                      <a:extLst>
                        <a:ext uri="{28A0092B-C50C-407E-A947-70E740481C1C}">
                          <a14:useLocalDpi xmlns:a14="http://schemas.microsoft.com/office/drawing/2010/main" val="0"/>
                        </a:ext>
                      </a:extLst>
                    </a:blip>
                    <a:stretch>
                      <a:fillRect/>
                    </a:stretch>
                  </pic:blipFill>
                  <pic:spPr>
                    <a:xfrm>
                      <a:off x="0" y="0"/>
                      <a:ext cx="4316760" cy="3993480"/>
                    </a:xfrm>
                    <a:prstGeom prst="rect">
                      <a:avLst/>
                    </a:prstGeom>
                  </pic:spPr>
                </pic:pic>
              </a:graphicData>
            </a:graphic>
          </wp:inline>
        </w:drawing>
      </w:r>
    </w:p>
    <w:p w14:paraId="5807B95D" w14:textId="7058C2A8" w:rsidR="00A70A20" w:rsidRPr="00BD4A5F" w:rsidRDefault="00A70A20" w:rsidP="001755B1">
      <w:pPr>
        <w:autoSpaceDE w:val="0"/>
        <w:autoSpaceDN w:val="0"/>
        <w:adjustRightInd w:val="0"/>
        <w:rPr>
          <w:sz w:val="24"/>
        </w:rPr>
      </w:pPr>
    </w:p>
    <w:sectPr w:rsidR="00A70A20" w:rsidRPr="00BD4A5F" w:rsidSect="00683EC3">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44734" w14:textId="77777777" w:rsidR="00E94346" w:rsidRDefault="00E94346" w:rsidP="00B4799A">
      <w:pPr>
        <w:spacing w:line="240" w:lineRule="auto"/>
      </w:pPr>
      <w:r>
        <w:separator/>
      </w:r>
    </w:p>
  </w:endnote>
  <w:endnote w:type="continuationSeparator" w:id="0">
    <w:p w14:paraId="6B83416C" w14:textId="77777777" w:rsidR="00E94346" w:rsidRDefault="00E94346" w:rsidP="00B479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40A4A" w14:textId="77777777" w:rsidR="00E94346" w:rsidRDefault="00E94346" w:rsidP="00B4799A">
      <w:pPr>
        <w:spacing w:line="240" w:lineRule="auto"/>
      </w:pPr>
      <w:r>
        <w:separator/>
      </w:r>
    </w:p>
  </w:footnote>
  <w:footnote w:type="continuationSeparator" w:id="0">
    <w:p w14:paraId="21AF6416" w14:textId="77777777" w:rsidR="00E94346" w:rsidRDefault="00E94346" w:rsidP="00B4799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bordersDoNotSurroundHeader/>
  <w:bordersDoNotSurroundFooter/>
  <w:proofState w:spelling="clean" w:grammar="clean"/>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A36"/>
    <w:rsid w:val="00000589"/>
    <w:rsid w:val="000016C4"/>
    <w:rsid w:val="00004A14"/>
    <w:rsid w:val="0001268D"/>
    <w:rsid w:val="00034A8C"/>
    <w:rsid w:val="00047742"/>
    <w:rsid w:val="0005085C"/>
    <w:rsid w:val="00057F11"/>
    <w:rsid w:val="000E6E2C"/>
    <w:rsid w:val="000F231E"/>
    <w:rsid w:val="0010263D"/>
    <w:rsid w:val="00104D82"/>
    <w:rsid w:val="00123746"/>
    <w:rsid w:val="001356EB"/>
    <w:rsid w:val="00155D97"/>
    <w:rsid w:val="001615A2"/>
    <w:rsid w:val="001755B1"/>
    <w:rsid w:val="00193C26"/>
    <w:rsid w:val="001E0720"/>
    <w:rsid w:val="001E6330"/>
    <w:rsid w:val="001E672D"/>
    <w:rsid w:val="00264426"/>
    <w:rsid w:val="00265F03"/>
    <w:rsid w:val="00266111"/>
    <w:rsid w:val="00275A4B"/>
    <w:rsid w:val="002B0DF4"/>
    <w:rsid w:val="002B1BB1"/>
    <w:rsid w:val="002C692D"/>
    <w:rsid w:val="002D7F2B"/>
    <w:rsid w:val="003134CE"/>
    <w:rsid w:val="00335F8A"/>
    <w:rsid w:val="003404EC"/>
    <w:rsid w:val="00391DF3"/>
    <w:rsid w:val="00397CFC"/>
    <w:rsid w:val="003A3CD8"/>
    <w:rsid w:val="003F25D0"/>
    <w:rsid w:val="003F4634"/>
    <w:rsid w:val="003F52E7"/>
    <w:rsid w:val="004037E8"/>
    <w:rsid w:val="00407C08"/>
    <w:rsid w:val="00444EB5"/>
    <w:rsid w:val="004536C4"/>
    <w:rsid w:val="00474959"/>
    <w:rsid w:val="0049364F"/>
    <w:rsid w:val="004A167F"/>
    <w:rsid w:val="004A626F"/>
    <w:rsid w:val="004C67D2"/>
    <w:rsid w:val="004C78A4"/>
    <w:rsid w:val="004E3E9E"/>
    <w:rsid w:val="005112BE"/>
    <w:rsid w:val="00520151"/>
    <w:rsid w:val="00540D3F"/>
    <w:rsid w:val="005464C3"/>
    <w:rsid w:val="005539AF"/>
    <w:rsid w:val="005779FB"/>
    <w:rsid w:val="00590637"/>
    <w:rsid w:val="00590E18"/>
    <w:rsid w:val="005D291B"/>
    <w:rsid w:val="005D36AD"/>
    <w:rsid w:val="0062158E"/>
    <w:rsid w:val="006607AF"/>
    <w:rsid w:val="006708A4"/>
    <w:rsid w:val="00683EC3"/>
    <w:rsid w:val="006A18C6"/>
    <w:rsid w:val="006A1A4F"/>
    <w:rsid w:val="006C4EE1"/>
    <w:rsid w:val="006E3C9C"/>
    <w:rsid w:val="00711CE0"/>
    <w:rsid w:val="0072224F"/>
    <w:rsid w:val="007227AB"/>
    <w:rsid w:val="007320EF"/>
    <w:rsid w:val="00762A30"/>
    <w:rsid w:val="007664B8"/>
    <w:rsid w:val="007A4E4A"/>
    <w:rsid w:val="007B022F"/>
    <w:rsid w:val="007E4663"/>
    <w:rsid w:val="007E4D4E"/>
    <w:rsid w:val="00852965"/>
    <w:rsid w:val="008B2401"/>
    <w:rsid w:val="008C75DC"/>
    <w:rsid w:val="008D3544"/>
    <w:rsid w:val="008E6943"/>
    <w:rsid w:val="00905CA4"/>
    <w:rsid w:val="00916921"/>
    <w:rsid w:val="0093482C"/>
    <w:rsid w:val="00937A94"/>
    <w:rsid w:val="00941F85"/>
    <w:rsid w:val="0094320E"/>
    <w:rsid w:val="00974745"/>
    <w:rsid w:val="00991DCF"/>
    <w:rsid w:val="009B2831"/>
    <w:rsid w:val="009F659A"/>
    <w:rsid w:val="00A00029"/>
    <w:rsid w:val="00A067D4"/>
    <w:rsid w:val="00A120F5"/>
    <w:rsid w:val="00A13625"/>
    <w:rsid w:val="00A243A4"/>
    <w:rsid w:val="00A37565"/>
    <w:rsid w:val="00A42B8F"/>
    <w:rsid w:val="00A52F94"/>
    <w:rsid w:val="00A70A20"/>
    <w:rsid w:val="00A74643"/>
    <w:rsid w:val="00A83A36"/>
    <w:rsid w:val="00A94F39"/>
    <w:rsid w:val="00AB171A"/>
    <w:rsid w:val="00AF07C1"/>
    <w:rsid w:val="00B01D64"/>
    <w:rsid w:val="00B0384E"/>
    <w:rsid w:val="00B45BF0"/>
    <w:rsid w:val="00B4799A"/>
    <w:rsid w:val="00B73E03"/>
    <w:rsid w:val="00B87B5F"/>
    <w:rsid w:val="00BA1DDF"/>
    <w:rsid w:val="00BA3188"/>
    <w:rsid w:val="00BA3336"/>
    <w:rsid w:val="00BD4A5F"/>
    <w:rsid w:val="00BE7FE6"/>
    <w:rsid w:val="00C02E0F"/>
    <w:rsid w:val="00C230AD"/>
    <w:rsid w:val="00C356A8"/>
    <w:rsid w:val="00C62152"/>
    <w:rsid w:val="00C85BC2"/>
    <w:rsid w:val="00CD784B"/>
    <w:rsid w:val="00CE6FBB"/>
    <w:rsid w:val="00CE7584"/>
    <w:rsid w:val="00CE7BB3"/>
    <w:rsid w:val="00CF2506"/>
    <w:rsid w:val="00CF2E48"/>
    <w:rsid w:val="00CF4804"/>
    <w:rsid w:val="00D16C3A"/>
    <w:rsid w:val="00D17058"/>
    <w:rsid w:val="00D257B6"/>
    <w:rsid w:val="00D30F87"/>
    <w:rsid w:val="00D32D17"/>
    <w:rsid w:val="00D400DF"/>
    <w:rsid w:val="00D5186B"/>
    <w:rsid w:val="00D52194"/>
    <w:rsid w:val="00D52DA7"/>
    <w:rsid w:val="00D56D9A"/>
    <w:rsid w:val="00D63FB6"/>
    <w:rsid w:val="00D96A37"/>
    <w:rsid w:val="00DA1BFD"/>
    <w:rsid w:val="00DE6F82"/>
    <w:rsid w:val="00E05388"/>
    <w:rsid w:val="00E11CD7"/>
    <w:rsid w:val="00E6441F"/>
    <w:rsid w:val="00E67E36"/>
    <w:rsid w:val="00E73114"/>
    <w:rsid w:val="00E806B6"/>
    <w:rsid w:val="00E94346"/>
    <w:rsid w:val="00EC33BF"/>
    <w:rsid w:val="00EC43A3"/>
    <w:rsid w:val="00EE1A6F"/>
    <w:rsid w:val="00EF1946"/>
    <w:rsid w:val="00EF2294"/>
    <w:rsid w:val="00F04314"/>
    <w:rsid w:val="00F30D7E"/>
    <w:rsid w:val="00F32045"/>
    <w:rsid w:val="00F44278"/>
    <w:rsid w:val="00F602BE"/>
    <w:rsid w:val="00FD54C2"/>
    <w:rsid w:val="00FE58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B92854"/>
  <w15:chartTrackingRefBased/>
  <w15:docId w15:val="{DD6C6056-C0B4-E146-BAA8-096670058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294"/>
    <w:pPr>
      <w:widowControl w:val="0"/>
      <w:spacing w:line="360" w:lineRule="auto"/>
      <w:jc w:val="both"/>
    </w:pPr>
    <w:rPr>
      <w:rFonts w:ascii="Times New Roman" w:eastAsia="Times New Roman" w:hAnsi="Times New Roman" w:cs="Times New Roman"/>
      <w:sz w:val="20"/>
    </w:rPr>
  </w:style>
  <w:style w:type="paragraph" w:styleId="1">
    <w:name w:val="heading 1"/>
    <w:basedOn w:val="a"/>
    <w:next w:val="a"/>
    <w:link w:val="10"/>
    <w:uiPriority w:val="9"/>
    <w:qFormat/>
    <w:rsid w:val="00A83A3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83A3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83A36"/>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83A3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83A3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83A3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83A3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83A3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83A3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3A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83A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83A3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83A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83A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83A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83A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83A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83A3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83A3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83A3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83A3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83A3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83A36"/>
    <w:pPr>
      <w:spacing w:before="160" w:after="160"/>
      <w:jc w:val="center"/>
    </w:pPr>
    <w:rPr>
      <w:i/>
      <w:iCs/>
      <w:color w:val="404040" w:themeColor="text1" w:themeTint="BF"/>
    </w:rPr>
  </w:style>
  <w:style w:type="character" w:customStyle="1" w:styleId="a8">
    <w:name w:val="引用文 (文字)"/>
    <w:basedOn w:val="a0"/>
    <w:link w:val="a7"/>
    <w:uiPriority w:val="29"/>
    <w:rsid w:val="00A83A36"/>
    <w:rPr>
      <w:i/>
      <w:iCs/>
      <w:color w:val="404040" w:themeColor="text1" w:themeTint="BF"/>
    </w:rPr>
  </w:style>
  <w:style w:type="paragraph" w:styleId="a9">
    <w:name w:val="List Paragraph"/>
    <w:basedOn w:val="a"/>
    <w:uiPriority w:val="34"/>
    <w:qFormat/>
    <w:rsid w:val="00A83A36"/>
    <w:pPr>
      <w:ind w:left="720"/>
      <w:contextualSpacing/>
    </w:pPr>
  </w:style>
  <w:style w:type="character" w:styleId="21">
    <w:name w:val="Intense Emphasis"/>
    <w:basedOn w:val="a0"/>
    <w:uiPriority w:val="21"/>
    <w:qFormat/>
    <w:rsid w:val="00A83A36"/>
    <w:rPr>
      <w:i/>
      <w:iCs/>
      <w:color w:val="0F4761" w:themeColor="accent1" w:themeShade="BF"/>
    </w:rPr>
  </w:style>
  <w:style w:type="paragraph" w:styleId="22">
    <w:name w:val="Intense Quote"/>
    <w:basedOn w:val="a"/>
    <w:next w:val="a"/>
    <w:link w:val="23"/>
    <w:uiPriority w:val="30"/>
    <w:qFormat/>
    <w:rsid w:val="00A83A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83A36"/>
    <w:rPr>
      <w:i/>
      <w:iCs/>
      <w:color w:val="0F4761" w:themeColor="accent1" w:themeShade="BF"/>
    </w:rPr>
  </w:style>
  <w:style w:type="character" w:styleId="24">
    <w:name w:val="Intense Reference"/>
    <w:basedOn w:val="a0"/>
    <w:uiPriority w:val="32"/>
    <w:qFormat/>
    <w:rsid w:val="00A83A36"/>
    <w:rPr>
      <w:b/>
      <w:bCs/>
      <w:smallCaps/>
      <w:color w:val="0F4761" w:themeColor="accent1" w:themeShade="BF"/>
      <w:spacing w:val="5"/>
    </w:rPr>
  </w:style>
  <w:style w:type="character" w:styleId="aa">
    <w:name w:val="Hyperlink"/>
    <w:basedOn w:val="a0"/>
    <w:uiPriority w:val="99"/>
    <w:unhideWhenUsed/>
    <w:rsid w:val="00F602BE"/>
    <w:rPr>
      <w:color w:val="467886" w:themeColor="hyperlink"/>
      <w:u w:val="single"/>
    </w:rPr>
  </w:style>
  <w:style w:type="character" w:styleId="ab">
    <w:name w:val="Unresolved Mention"/>
    <w:basedOn w:val="a0"/>
    <w:uiPriority w:val="99"/>
    <w:semiHidden/>
    <w:unhideWhenUsed/>
    <w:rsid w:val="00F602BE"/>
    <w:rPr>
      <w:color w:val="605E5C"/>
      <w:shd w:val="clear" w:color="auto" w:fill="E1DFDD"/>
    </w:rPr>
  </w:style>
  <w:style w:type="character" w:styleId="ac">
    <w:name w:val="FollowedHyperlink"/>
    <w:basedOn w:val="a0"/>
    <w:uiPriority w:val="99"/>
    <w:semiHidden/>
    <w:unhideWhenUsed/>
    <w:rsid w:val="00F602BE"/>
    <w:rPr>
      <w:color w:val="96607D" w:themeColor="followedHyperlink"/>
      <w:u w:val="single"/>
    </w:rPr>
  </w:style>
  <w:style w:type="character" w:styleId="ad">
    <w:name w:val="line number"/>
    <w:basedOn w:val="a0"/>
    <w:uiPriority w:val="99"/>
    <w:semiHidden/>
    <w:unhideWhenUsed/>
    <w:rsid w:val="00EF2294"/>
  </w:style>
  <w:style w:type="paragraph" w:styleId="ae">
    <w:name w:val="footnote text"/>
    <w:basedOn w:val="a"/>
    <w:link w:val="af"/>
    <w:uiPriority w:val="99"/>
    <w:semiHidden/>
    <w:unhideWhenUsed/>
    <w:rsid w:val="00B4799A"/>
    <w:pPr>
      <w:snapToGrid w:val="0"/>
      <w:jc w:val="left"/>
    </w:pPr>
  </w:style>
  <w:style w:type="character" w:customStyle="1" w:styleId="af">
    <w:name w:val="脚注文字列 (文字)"/>
    <w:basedOn w:val="a0"/>
    <w:link w:val="ae"/>
    <w:uiPriority w:val="99"/>
    <w:semiHidden/>
    <w:rsid w:val="00B4799A"/>
    <w:rPr>
      <w:rFonts w:ascii="Times New Roman" w:eastAsia="Times New Roman" w:hAnsi="Times New Roman" w:cs="Times New Roman"/>
      <w:sz w:val="20"/>
    </w:rPr>
  </w:style>
  <w:style w:type="character" w:styleId="af0">
    <w:name w:val="footnote reference"/>
    <w:basedOn w:val="a0"/>
    <w:uiPriority w:val="99"/>
    <w:semiHidden/>
    <w:unhideWhenUsed/>
    <w:rsid w:val="00B4799A"/>
    <w:rPr>
      <w:vertAlign w:val="superscript"/>
    </w:rPr>
  </w:style>
  <w:style w:type="paragraph" w:styleId="af1">
    <w:name w:val="Revision"/>
    <w:hidden/>
    <w:uiPriority w:val="99"/>
    <w:semiHidden/>
    <w:rsid w:val="00266111"/>
    <w:rPr>
      <w:rFonts w:ascii="Times New Roman" w:eastAsia="Times New Roman" w:hAnsi="Times New Roman"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9730159">
      <w:bodyDiv w:val="1"/>
      <w:marLeft w:val="0"/>
      <w:marRight w:val="0"/>
      <w:marTop w:val="0"/>
      <w:marBottom w:val="0"/>
      <w:divBdr>
        <w:top w:val="none" w:sz="0" w:space="0" w:color="auto"/>
        <w:left w:val="none" w:sz="0" w:space="0" w:color="auto"/>
        <w:bottom w:val="none" w:sz="0" w:space="0" w:color="auto"/>
        <w:right w:val="none" w:sz="0" w:space="0" w:color="auto"/>
      </w:divBdr>
    </w:div>
    <w:div w:id="1008024846">
      <w:bodyDiv w:val="1"/>
      <w:marLeft w:val="0"/>
      <w:marRight w:val="0"/>
      <w:marTop w:val="0"/>
      <w:marBottom w:val="0"/>
      <w:divBdr>
        <w:top w:val="none" w:sz="0" w:space="0" w:color="auto"/>
        <w:left w:val="none" w:sz="0" w:space="0" w:color="auto"/>
        <w:bottom w:val="none" w:sz="0" w:space="0" w:color="auto"/>
        <w:right w:val="none" w:sz="0" w:space="0" w:color="auto"/>
      </w:divBdr>
    </w:div>
    <w:div w:id="1767580516">
      <w:bodyDiv w:val="1"/>
      <w:marLeft w:val="0"/>
      <w:marRight w:val="0"/>
      <w:marTop w:val="0"/>
      <w:marBottom w:val="0"/>
      <w:divBdr>
        <w:top w:val="none" w:sz="0" w:space="0" w:color="auto"/>
        <w:left w:val="none" w:sz="0" w:space="0" w:color="auto"/>
        <w:bottom w:val="none" w:sz="0" w:space="0" w:color="auto"/>
        <w:right w:val="none" w:sz="0" w:space="0" w:color="auto"/>
      </w:divBdr>
    </w:div>
    <w:div w:id="1847792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hylogeny.fr" TargetMode="External"/><Relationship Id="rId12" Type="http://schemas.openxmlformats.org/officeDocument/2006/relationships/image" Target="media/image5.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50A8BD-6B33-1A4F-95CC-86AE5948B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6933</Words>
  <Characters>39519</Characters>
  <Application>Microsoft Office Word</Application>
  <DocSecurity>0</DocSecurity>
  <PresentationFormat/>
  <Lines>329</Lines>
  <Paragraphs>92</Paragraphs>
  <Slides>0</Slides>
  <Notes>0</Notes>
  <HiddenSlides>0</HiddenSlides>
  <MMClips>0</MMClips>
  <ScaleCrop>false</ScaleCrop>
  <Manager/>
  <Company/>
  <LinksUpToDate>false</LinksUpToDate>
  <CharactersWithSpaces>46360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 B</dc:creator>
  <cp:keywords/>
  <dc:description/>
  <cp:lastModifiedBy>高橋英樹</cp:lastModifiedBy>
  <cp:revision>4</cp:revision>
  <dcterms:created xsi:type="dcterms:W3CDTF">2024-07-13T03:06:00Z</dcterms:created>
  <dcterms:modified xsi:type="dcterms:W3CDTF">2024-07-13T03:12:00Z</dcterms:modified>
  <cp:category/>
  <cp:contentStatus/>
  <dc:language/>
  <cp:version/>
</cp:coreProperties>
</file>