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36FFE">
      <w:pPr>
        <w:jc w:val="both"/>
        <w:rPr>
          <w:rFonts w:ascii="Times New Roman" w:hAnsi="Times New Roman" w:cs="Times New Roman"/>
          <w:b/>
          <w:bCs/>
          <w:sz w:val="48"/>
          <w:szCs w:val="28"/>
        </w:rPr>
      </w:pPr>
      <w:r>
        <w:rPr>
          <w:rFonts w:ascii="Times New Roman" w:hAnsi="Times New Roman" w:cs="Times New Roman"/>
          <w:b/>
          <w:color w:val="212529"/>
          <w:sz w:val="28"/>
          <w:szCs w:val="18"/>
          <w:shd w:val="clear" w:color="auto" w:fill="FFFFFF"/>
        </w:rPr>
        <w:t xml:space="preserve">Epidemiological survey </w:t>
      </w:r>
      <w:r>
        <w:rPr>
          <w:rFonts w:hint="eastAsia" w:ascii="Times New Roman" w:hAnsi="Times New Roman" w:cs="Times New Roman"/>
          <w:b/>
          <w:color w:val="212529"/>
          <w:sz w:val="28"/>
          <w:szCs w:val="18"/>
          <w:shd w:val="clear" w:color="auto" w:fill="FFFFFF"/>
        </w:rPr>
        <w:t>on</w:t>
      </w:r>
      <w:r>
        <w:rPr>
          <w:rFonts w:ascii="Times New Roman" w:hAnsi="Times New Roman" w:cs="Times New Roman"/>
          <w:b/>
          <w:color w:val="212529"/>
          <w:sz w:val="28"/>
          <w:szCs w:val="18"/>
          <w:shd w:val="clear" w:color="auto" w:fill="FFFFFF"/>
        </w:rPr>
        <w:t xml:space="preserve"> </w:t>
      </w:r>
      <w:r>
        <w:rPr>
          <w:rFonts w:hint="eastAsia" w:ascii="Times New Roman" w:hAnsi="Times New Roman" w:cs="Times New Roman"/>
          <w:b/>
          <w:color w:val="212529"/>
          <w:sz w:val="28"/>
          <w:szCs w:val="18"/>
          <w:shd w:val="clear" w:color="auto" w:fill="FFFFFF"/>
        </w:rPr>
        <w:t xml:space="preserve">pet dog </w:t>
      </w:r>
      <w:r>
        <w:rPr>
          <w:rFonts w:ascii="Times New Roman" w:hAnsi="Times New Roman" w:cs="Times New Roman"/>
          <w:b/>
          <w:color w:val="212529"/>
          <w:sz w:val="28"/>
          <w:szCs w:val="18"/>
          <w:shd w:val="clear" w:color="auto" w:fill="FFFFFF"/>
        </w:rPr>
        <w:t>ticks</w:t>
      </w:r>
      <w:r>
        <w:rPr>
          <w:rFonts w:hint="eastAsia" w:ascii="Times New Roman" w:hAnsi="Times New Roman" w:cs="Times New Roman"/>
          <w:b/>
          <w:color w:val="212529"/>
          <w:sz w:val="28"/>
          <w:szCs w:val="18"/>
          <w:shd w:val="clear" w:color="auto" w:fill="FFFFFF"/>
        </w:rPr>
        <w:t xml:space="preserve"> (Rhipicephalus turanicus sensu stricto)</w:t>
      </w:r>
      <w:r>
        <w:rPr>
          <w:rFonts w:ascii="Times New Roman" w:hAnsi="Times New Roman" w:cs="Times New Roman"/>
          <w:b/>
          <w:color w:val="212529"/>
          <w:sz w:val="28"/>
          <w:szCs w:val="18"/>
          <w:shd w:val="clear" w:color="auto" w:fill="FFFFFF"/>
        </w:rPr>
        <w:t xml:space="preserve"> and </w:t>
      </w:r>
      <w:r>
        <w:rPr>
          <w:rFonts w:hint="eastAsia" w:ascii="Times New Roman" w:hAnsi="Times New Roman" w:cs="Times New Roman"/>
          <w:b/>
          <w:color w:val="212529"/>
          <w:sz w:val="28"/>
          <w:szCs w:val="18"/>
          <w:shd w:val="clear" w:color="auto" w:fill="FFFFFF"/>
        </w:rPr>
        <w:t>their blood samples in Korla, nor</w:t>
      </w:r>
      <w:r>
        <w:rPr>
          <w:rFonts w:ascii="Times New Roman" w:hAnsi="Times New Roman" w:cs="Times New Roman"/>
          <w:b/>
          <w:color w:val="212529"/>
          <w:sz w:val="28"/>
          <w:szCs w:val="18"/>
          <w:shd w:val="clear" w:color="auto" w:fill="FFFFFF"/>
        </w:rPr>
        <w:t>th</w:t>
      </w:r>
      <w:r>
        <w:rPr>
          <w:rFonts w:hint="eastAsia" w:ascii="Times New Roman" w:hAnsi="Times New Roman" w:cs="Times New Roman"/>
          <w:b/>
          <w:color w:val="212529"/>
          <w:sz w:val="28"/>
          <w:szCs w:val="18"/>
          <w:shd w:val="clear" w:color="auto" w:fill="FFFFFF"/>
        </w:rPr>
        <w:t>we</w:t>
      </w:r>
      <w:r>
        <w:rPr>
          <w:rFonts w:ascii="Times New Roman" w:hAnsi="Times New Roman" w:cs="Times New Roman"/>
          <w:b/>
          <w:color w:val="212529"/>
          <w:sz w:val="28"/>
          <w:szCs w:val="18"/>
          <w:shd w:val="clear" w:color="auto" w:fill="FFFFFF"/>
        </w:rPr>
        <w:t>stern China</w:t>
      </w:r>
      <w:bookmarkStart w:id="0" w:name="_GoBack"/>
      <w:bookmarkEnd w:id="0"/>
    </w:p>
    <w:p w14:paraId="6C7C6D58">
      <w:pPr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Appendix Table S1. </w:t>
      </w:r>
      <w:r>
        <w:rPr>
          <w:rFonts w:hint="default" w:ascii="Times New Roman" w:hAnsi="Times New Roman" w:cs="Times New Roman"/>
          <w:szCs w:val="21"/>
        </w:rPr>
        <w:t>The PCR equipment was a Mastercycler X50s, Eppendorf, Germany.</w:t>
      </w:r>
    </w:p>
    <w:p w14:paraId="71F1B519">
      <w:pPr>
        <w:rPr>
          <w:rFonts w:hint="default"/>
          <w:lang w:val="en-US" w:eastAsia="zh-CN"/>
        </w:rPr>
      </w:pPr>
    </w:p>
    <w:p w14:paraId="733A8690"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PCR amplification to detect </w:t>
      </w:r>
      <w:r>
        <w:rPr>
          <w:rFonts w:hint="default" w:ascii="Times New Roman" w:hAnsi="Times New Roman" w:cs="Times New Roman"/>
          <w:b/>
          <w:bCs/>
          <w:i/>
          <w:iCs/>
          <w:sz w:val="22"/>
          <w:szCs w:val="22"/>
        </w:rPr>
        <w:t>Rhipicephalus turanicus sensu stricto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based on th</w:t>
      </w:r>
      <w:r>
        <w:rPr>
          <w:rFonts w:hint="default" w:ascii="Times New Roman" w:hAnsi="Times New Roman" w:cs="Times New Roman"/>
          <w:b/>
          <w:bCs/>
          <w:i/>
          <w:iCs/>
          <w:sz w:val="22"/>
          <w:szCs w:val="22"/>
        </w:rPr>
        <w:t xml:space="preserve">e </w:t>
      </w:r>
      <w:r>
        <w:rPr>
          <w:rFonts w:hint="eastAsia" w:ascii="Times New Roman" w:hAnsi="Times New Roman" w:cs="Times New Roman"/>
          <w:b/>
          <w:bCs/>
          <w:i w:val="0"/>
          <w:iCs w:val="0"/>
          <w:sz w:val="22"/>
          <w:szCs w:val="22"/>
          <w:lang w:val="en-US" w:eastAsia="zh-CN"/>
        </w:rPr>
        <w:t>16s rRNA</w:t>
      </w:r>
    </w:p>
    <w:p w14:paraId="2CDA7536"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The PCR amplifications were performed in a 25-μL reaction volume. The reaction mixture contained 0.75 μmol/L of each primer (rrf-O), 250 μM of each dNTP, and 1.0 U of Taq polymerase (TaKaRa Taq Version 2.0, Takara, Dalian, China). </w:t>
      </w:r>
    </w:p>
    <w:p w14:paraId="05C81E78"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460</w:t>
      </w:r>
      <w:r>
        <w:rPr>
          <w:rFonts w:hint="default" w:ascii="Times New Roman" w:hAnsi="Times New Roman" w:cs="Times New Roman"/>
          <w:szCs w:val="21"/>
        </w:rPr>
        <w:t>bp fragment, the cycling conditions consisted of an initial 5-min denaturation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szCs w:val="21"/>
        </w:rPr>
        <w:t>°C, followed by 3</w:t>
      </w:r>
      <w:r>
        <w:rPr>
          <w:rFonts w:hint="eastAsia" w:ascii="Times New Roman" w:hAnsi="Times New Roman" w:cs="Times New Roman"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szCs w:val="21"/>
        </w:rPr>
        <w:t xml:space="preserve"> cycles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szCs w:val="21"/>
        </w:rPr>
        <w:t xml:space="preserve">°C for 30 s, </w:t>
      </w:r>
      <w:r>
        <w:rPr>
          <w:rFonts w:hint="eastAsia" w:ascii="Times New Roman" w:hAnsi="Times New Roman" w:cs="Times New Roman"/>
          <w:szCs w:val="21"/>
          <w:lang w:val="en-US" w:eastAsia="zh-CN"/>
        </w:rPr>
        <w:t>54</w:t>
      </w:r>
      <w:r>
        <w:rPr>
          <w:rFonts w:hint="default" w:ascii="Times New Roman" w:hAnsi="Times New Roman" w:cs="Times New Roman"/>
          <w:szCs w:val="21"/>
        </w:rPr>
        <w:t xml:space="preserve">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30</w:t>
      </w:r>
      <w:r>
        <w:rPr>
          <w:rFonts w:hint="default" w:ascii="Times New Roman" w:hAnsi="Times New Roman" w:cs="Times New Roman"/>
          <w:szCs w:val="21"/>
        </w:rPr>
        <w:t xml:space="preserve">s, and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szCs w:val="21"/>
        </w:rPr>
        <w:t xml:space="preserve">0s, with a final extension at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szCs w:val="21"/>
        </w:rPr>
        <w:t xml:space="preserve"> min.</w:t>
      </w:r>
    </w:p>
    <w:p w14:paraId="7FAEED72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</w:p>
    <w:p w14:paraId="6C9FE83A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. PCR amplification to detect </w:t>
      </w:r>
      <w:r>
        <w:rPr>
          <w:rFonts w:hint="eastAsia" w:ascii="Times New Roman" w:hAnsi="Times New Roman" w:cs="Times New Roman"/>
          <w:b/>
          <w:bCs/>
          <w:i/>
          <w:iCs/>
          <w:sz w:val="22"/>
          <w:szCs w:val="22"/>
          <w:lang w:val="en-US" w:eastAsia="zh-CN"/>
        </w:rPr>
        <w:t>Hepatozoon canis</w:t>
      </w:r>
      <w:r>
        <w:rPr>
          <w:rFonts w:hint="default"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based on the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IS111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gene</w:t>
      </w:r>
    </w:p>
    <w:p w14:paraId="0399DE94"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The PCR amplifications were performed in a 25-μL reaction volume. The reaction mixture contained 0.75 μmol/L of each primer (rrf-O), 250 μM of each dNTP, and 1.0 U of Taq polymerase (TaKaRa Taq Version 2.0, Takara, Dalian, China). </w:t>
      </w:r>
    </w:p>
    <w:p w14:paraId="6F447543"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800</w:t>
      </w:r>
      <w:r>
        <w:rPr>
          <w:rFonts w:hint="default" w:ascii="Times New Roman" w:hAnsi="Times New Roman" w:cs="Times New Roman"/>
          <w:szCs w:val="21"/>
        </w:rPr>
        <w:t>bp fragment, the cycling conditions consisted of an initial 5-min denaturation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°C, followed by </w:t>
      </w:r>
      <w:r>
        <w:rPr>
          <w:rFonts w:hint="eastAsia" w:ascii="Times New Roman" w:hAnsi="Times New Roman" w:cs="Times New Roman"/>
          <w:szCs w:val="21"/>
          <w:lang w:val="en-US" w:eastAsia="zh-CN"/>
        </w:rPr>
        <w:t>35</w:t>
      </w:r>
      <w:r>
        <w:rPr>
          <w:rFonts w:hint="default" w:ascii="Times New Roman" w:hAnsi="Times New Roman" w:cs="Times New Roman"/>
          <w:szCs w:val="21"/>
        </w:rPr>
        <w:t>cycles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szCs w:val="21"/>
        </w:rPr>
        <w:t xml:space="preserve">0 s, </w:t>
      </w:r>
      <w:r>
        <w:rPr>
          <w:rFonts w:hint="eastAsia" w:ascii="Times New Roman" w:hAnsi="Times New Roman" w:cs="Times New Roman"/>
          <w:szCs w:val="21"/>
          <w:lang w:val="en-US" w:eastAsia="zh-CN"/>
        </w:rPr>
        <w:t>58</w:t>
      </w:r>
      <w:r>
        <w:rPr>
          <w:rFonts w:hint="default" w:ascii="Times New Roman" w:hAnsi="Times New Roman" w:cs="Times New Roman"/>
          <w:szCs w:val="21"/>
        </w:rPr>
        <w:t xml:space="preserve">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szCs w:val="21"/>
        </w:rPr>
        <w:t xml:space="preserve">0s, and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szCs w:val="21"/>
        </w:rPr>
        <w:t xml:space="preserve">0s, with a final extension at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 min.</w:t>
      </w:r>
    </w:p>
    <w:p w14:paraId="212BEC95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</w:p>
    <w:p w14:paraId="29B3C103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. PCR amplification to detect </w:t>
      </w:r>
      <w:r>
        <w:rPr>
          <w:rFonts w:hint="eastAsia" w:ascii="Times New Roman" w:hAnsi="Times New Roman" w:cs="Times New Roman"/>
          <w:b/>
          <w:bCs/>
          <w:i/>
          <w:iCs/>
          <w:sz w:val="22"/>
          <w:szCs w:val="22"/>
          <w:lang w:val="en-US" w:eastAsia="zh-CN"/>
        </w:rPr>
        <w:t>Anaplasma bovis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based on the</w:t>
      </w:r>
      <w:r>
        <w:rPr>
          <w:rFonts w:hint="eastAsia" w:ascii="Times New Roman" w:hAnsi="Times New Roman" w:cs="Times New Roman"/>
          <w:b/>
          <w:bCs/>
          <w:i w:val="0"/>
          <w:iCs w:val="0"/>
          <w:sz w:val="22"/>
          <w:szCs w:val="22"/>
          <w:lang w:val="en-US" w:eastAsia="zh-CN"/>
        </w:rPr>
        <w:t>16s rRNA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gene</w:t>
      </w:r>
    </w:p>
    <w:p w14:paraId="5F188D3C"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The PCR amplifications were performed in a 25-μL reaction volume. The reaction mixture contained 0.75 μmol/L of each primer (rrf-O), 250 μM of each dNTP, and 1.0 U of Taq polymerase (TaKaRa Taq Version 2.0, Takara, Dalian, China). </w:t>
      </w:r>
    </w:p>
    <w:p w14:paraId="4DCDB7A5"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450</w:t>
      </w:r>
      <w:r>
        <w:rPr>
          <w:rFonts w:hint="default" w:ascii="Times New Roman" w:hAnsi="Times New Roman" w:cs="Times New Roman"/>
          <w:szCs w:val="21"/>
        </w:rPr>
        <w:t>bp fragment, the cycling conditions consisted of an initial 5-min denaturation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szCs w:val="21"/>
        </w:rPr>
        <w:t xml:space="preserve">°C, followed by </w:t>
      </w:r>
      <w:r>
        <w:rPr>
          <w:rFonts w:hint="eastAsia" w:ascii="Times New Roman" w:hAnsi="Times New Roman" w:cs="Times New Roman"/>
          <w:szCs w:val="21"/>
          <w:lang w:val="en-US" w:eastAsia="zh-CN"/>
        </w:rPr>
        <w:t>40</w:t>
      </w:r>
      <w:r>
        <w:rPr>
          <w:rFonts w:hint="default" w:ascii="Times New Roman" w:hAnsi="Times New Roman" w:cs="Times New Roman"/>
          <w:szCs w:val="21"/>
        </w:rPr>
        <w:t xml:space="preserve"> cycles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szCs w:val="21"/>
        </w:rPr>
        <w:t xml:space="preserve">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45</w:t>
      </w:r>
      <w:r>
        <w:rPr>
          <w:rFonts w:hint="default" w:ascii="Times New Roman" w:hAnsi="Times New Roman" w:cs="Times New Roman"/>
          <w:szCs w:val="21"/>
        </w:rPr>
        <w:t xml:space="preserve"> s, </w:t>
      </w:r>
      <w:r>
        <w:rPr>
          <w:rFonts w:hint="eastAsia" w:ascii="Times New Roman" w:hAnsi="Times New Roman" w:cs="Times New Roman"/>
          <w:szCs w:val="21"/>
          <w:lang w:val="en-US" w:eastAsia="zh-CN"/>
        </w:rPr>
        <w:t>55</w:t>
      </w:r>
      <w:r>
        <w:rPr>
          <w:rFonts w:hint="default" w:ascii="Times New Roman" w:hAnsi="Times New Roman" w:cs="Times New Roman"/>
          <w:szCs w:val="21"/>
        </w:rPr>
        <w:t xml:space="preserve">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0s, and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1 min</w:t>
      </w:r>
      <w:r>
        <w:rPr>
          <w:rFonts w:hint="default" w:ascii="Times New Roman" w:hAnsi="Times New Roman" w:cs="Times New Roman"/>
          <w:szCs w:val="21"/>
        </w:rPr>
        <w:t xml:space="preserve">, with a final extension at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 min.</w:t>
      </w:r>
    </w:p>
    <w:p w14:paraId="1460642E">
      <w:pPr>
        <w:ind w:firstLine="210" w:firstLineChars="100"/>
        <w:rPr>
          <w:rFonts w:hint="default" w:ascii="Times New Roman" w:hAnsi="Times New Roman" w:cs="Times New Roman"/>
          <w:szCs w:val="21"/>
        </w:rPr>
      </w:pPr>
    </w:p>
    <w:p w14:paraId="67BE822A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. PCR amplification to detect </w:t>
      </w:r>
      <w:r>
        <w:rPr>
          <w:rFonts w:hint="eastAsia" w:ascii="Times New Roman" w:hAnsi="Times New Roman" w:cs="Times New Roman"/>
          <w:b/>
          <w:bCs/>
          <w:i/>
          <w:iCs/>
          <w:sz w:val="22"/>
          <w:szCs w:val="22"/>
          <w:lang w:val="en-US" w:eastAsia="zh-CN"/>
        </w:rPr>
        <w:t>Coxiella burnetii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based on the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IS111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gene</w:t>
      </w:r>
    </w:p>
    <w:p w14:paraId="205D75CB"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The PCR amplifications were performed in a 25-μL reaction volume. The reaction mixture contained 0.75 μmol/L of each primer (rrf-O), 250 μM of each dNTP, and 1.0 U of Taq polymerase (TaKaRa Taq Version 2.0, Takara, Dalian, China). </w:t>
      </w:r>
    </w:p>
    <w:p w14:paraId="4D1D8881"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450</w:t>
      </w:r>
      <w:r>
        <w:rPr>
          <w:rFonts w:hint="default" w:ascii="Times New Roman" w:hAnsi="Times New Roman" w:cs="Times New Roman"/>
          <w:szCs w:val="21"/>
        </w:rPr>
        <w:t xml:space="preserve">bp fragment, the cycling conditions consisted of an initial </w:t>
      </w:r>
      <w:r>
        <w:rPr>
          <w:rFonts w:hint="eastAsia" w:ascii="Times New Roman" w:hAnsi="Times New Roman" w:cs="Times New Roman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szCs w:val="21"/>
        </w:rPr>
        <w:t>-min denaturation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°C, followed by </w:t>
      </w:r>
      <w:r>
        <w:rPr>
          <w:rFonts w:hint="eastAsia" w:ascii="Times New Roman" w:hAnsi="Times New Roman" w:cs="Times New Roman"/>
          <w:szCs w:val="21"/>
          <w:lang w:val="en-US" w:eastAsia="zh-CN"/>
        </w:rPr>
        <w:t>35</w:t>
      </w:r>
      <w:r>
        <w:rPr>
          <w:rFonts w:hint="default" w:ascii="Times New Roman" w:hAnsi="Times New Roman" w:cs="Times New Roman"/>
          <w:szCs w:val="21"/>
        </w:rPr>
        <w:t>cycles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15</w:t>
      </w:r>
      <w:r>
        <w:rPr>
          <w:rFonts w:hint="default" w:ascii="Times New Roman" w:hAnsi="Times New Roman" w:cs="Times New Roman"/>
          <w:szCs w:val="21"/>
        </w:rPr>
        <w:t xml:space="preserve"> s, </w:t>
      </w:r>
      <w:r>
        <w:rPr>
          <w:rFonts w:hint="eastAsia" w:ascii="Times New Roman" w:hAnsi="Times New Roman" w:cs="Times New Roman"/>
          <w:szCs w:val="21"/>
          <w:lang w:val="en-US" w:eastAsia="zh-CN"/>
        </w:rPr>
        <w:t>52</w:t>
      </w:r>
      <w:r>
        <w:rPr>
          <w:rFonts w:hint="default" w:ascii="Times New Roman" w:hAnsi="Times New Roman" w:cs="Times New Roman"/>
          <w:szCs w:val="21"/>
        </w:rPr>
        <w:t xml:space="preserve">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s, and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18s </w:t>
      </w:r>
      <w:r>
        <w:rPr>
          <w:rFonts w:hint="default" w:ascii="Times New Roman" w:hAnsi="Times New Roman" w:cs="Times New Roman"/>
          <w:szCs w:val="21"/>
        </w:rPr>
        <w:t xml:space="preserve">, with a final extension at </w:t>
      </w:r>
      <w:r>
        <w:rPr>
          <w:rFonts w:hint="eastAsia" w:ascii="Times New Roman" w:hAnsi="Times New Roman" w:cs="Times New Roman"/>
          <w:szCs w:val="21"/>
          <w:lang w:val="en-US" w:eastAsia="zh-CN"/>
        </w:rPr>
        <w:t>68</w:t>
      </w:r>
      <w:r>
        <w:rPr>
          <w:rFonts w:hint="default" w:ascii="Times New Roman" w:hAnsi="Times New Roman" w:cs="Times New Roman"/>
          <w:szCs w:val="21"/>
        </w:rPr>
        <w:t xml:space="preserve">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 xml:space="preserve"> min.</w:t>
      </w:r>
    </w:p>
    <w:p w14:paraId="2A75D8B2">
      <w:pPr>
        <w:ind w:firstLine="210" w:firstLineChars="100"/>
        <w:rPr>
          <w:rFonts w:hint="default" w:ascii="Times New Roman" w:hAnsi="Times New Roman" w:cs="Times New Roman"/>
          <w:szCs w:val="21"/>
        </w:rPr>
      </w:pPr>
    </w:p>
    <w:p w14:paraId="4B80B0A6">
      <w:pPr>
        <w:jc w:val="both"/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 w14:paraId="12978025">
      <w:pPr>
        <w:jc w:val="both"/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 w14:paraId="6F411C43"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C</w:t>
      </w:r>
      <w:r>
        <w:rPr>
          <w:rFonts w:hint="default" w:ascii="Times New Roman" w:hAnsi="Times New Roman" w:cs="Times New Roman"/>
          <w:sz w:val="28"/>
          <w:szCs w:val="28"/>
        </w:rPr>
        <w:t>haracteristics of amplified fragments and corresponding primer sequences</w:t>
      </w:r>
    </w:p>
    <w:tbl>
      <w:tblPr>
        <w:tblStyle w:val="3"/>
        <w:tblW w:w="13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165"/>
        <w:gridCol w:w="3896"/>
        <w:gridCol w:w="1240"/>
        <w:gridCol w:w="2903"/>
        <w:gridCol w:w="3043"/>
      </w:tblGrid>
      <w:tr w14:paraId="3A9DE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389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center"/>
          </w:tcPr>
          <w:p w14:paraId="33C112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Targeted DNA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center"/>
          </w:tcPr>
          <w:p w14:paraId="26641D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center"/>
          </w:tcPr>
          <w:p w14:paraId="4F9D74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Primer sequence (5’-3)</w:t>
            </w: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center"/>
          </w:tcPr>
          <w:p w14:paraId="048A91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"C:/Users/Administrator/AppData/Local/youdao/dict/Application/8.8.0.0/resultui/html/index.html" \l "/javascript:;"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Fragment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03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center"/>
          </w:tcPr>
          <w:p w14:paraId="01179C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Cycling conditions of PCR assays</w:t>
            </w:r>
          </w:p>
        </w:tc>
        <w:tc>
          <w:tcPr>
            <w:tcW w:w="3043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center"/>
          </w:tcPr>
          <w:p w14:paraId="0DF79B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1" w:firstLineChars="10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Reference</w:t>
            </w:r>
          </w:p>
        </w:tc>
      </w:tr>
      <w:tr w14:paraId="5681B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1389" w:type="dxa"/>
            <w:vMerge w:val="restart"/>
            <w:tcBorders>
              <w:tl2br w:val="nil"/>
              <w:tr2bl w:val="nil"/>
            </w:tcBorders>
            <w:vAlign w:val="center"/>
          </w:tcPr>
          <w:p w14:paraId="11F031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Tick</w:t>
            </w:r>
          </w:p>
        </w:tc>
        <w:tc>
          <w:tcPr>
            <w:tcW w:w="1165" w:type="dxa"/>
            <w:vMerge w:val="restart"/>
            <w:tcBorders>
              <w:tl2br w:val="nil"/>
              <w:tr2bl w:val="nil"/>
            </w:tcBorders>
            <w:vAlign w:val="center"/>
          </w:tcPr>
          <w:p w14:paraId="697F99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16S rRNA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14:paraId="5FBD8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Forward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default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CTGCTCAATGATTTTTTAAATTGCTGTGG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40" w:type="dxa"/>
            <w:vMerge w:val="restart"/>
            <w:tcBorders>
              <w:tl2br w:val="nil"/>
              <w:tr2bl w:val="nil"/>
            </w:tcBorders>
            <w:vAlign w:val="center"/>
          </w:tcPr>
          <w:p w14:paraId="762817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  <w:p w14:paraId="72B40B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460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bp</w:t>
            </w:r>
          </w:p>
          <w:p w14:paraId="7EB38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03" w:type="dxa"/>
            <w:vMerge w:val="restart"/>
            <w:tcBorders>
              <w:tl2br w:val="nil"/>
              <w:tr2bl w:val="nil"/>
            </w:tcBorders>
          </w:tcPr>
          <w:p w14:paraId="4170E6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 min, followed by 3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 cycles at 9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°C for 30 s,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54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°C 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s, and 72°C 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0s, with a final extension at 72°C 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 min.</w:t>
            </w:r>
          </w:p>
          <w:p w14:paraId="1DA466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43" w:type="dxa"/>
            <w:vMerge w:val="restart"/>
            <w:tcBorders>
              <w:tl2br w:val="nil"/>
              <w:tr2bl w:val="nil"/>
            </w:tcBorders>
            <w:vAlign w:val="center"/>
          </w:tcPr>
          <w:p w14:paraId="55A3CE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Chen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et al.,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2014</w:t>
            </w:r>
          </w:p>
          <w:p w14:paraId="651E4A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14:paraId="5D96B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89" w:type="dxa"/>
            <w:vMerge w:val="continue"/>
            <w:tcBorders>
              <w:tl2br w:val="nil"/>
              <w:tr2bl w:val="nil"/>
            </w:tcBorders>
            <w:vAlign w:val="center"/>
          </w:tcPr>
          <w:p w14:paraId="51A259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tcBorders>
              <w:tl2br w:val="nil"/>
              <w:tr2bl w:val="nil"/>
            </w:tcBorders>
            <w:vAlign w:val="center"/>
          </w:tcPr>
          <w:p w14:paraId="430268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14:paraId="596B1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Reverse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CCGGTCTGAACTCAGATCAAGT 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40" w:type="dxa"/>
            <w:vMerge w:val="continue"/>
            <w:tcBorders>
              <w:tl2br w:val="nil"/>
              <w:tr2bl w:val="nil"/>
            </w:tcBorders>
            <w:vAlign w:val="center"/>
          </w:tcPr>
          <w:p w14:paraId="08B7F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03" w:type="dxa"/>
            <w:vMerge w:val="continue"/>
            <w:tcBorders>
              <w:tl2br w:val="nil"/>
              <w:tr2bl w:val="nil"/>
            </w:tcBorders>
          </w:tcPr>
          <w:p w14:paraId="12CAC7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43" w:type="dxa"/>
            <w:vMerge w:val="continue"/>
            <w:tcBorders>
              <w:tl2br w:val="nil"/>
              <w:tr2bl w:val="nil"/>
            </w:tcBorders>
            <w:vAlign w:val="center"/>
          </w:tcPr>
          <w:p w14:paraId="22C03C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14:paraId="06BEB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389" w:type="dxa"/>
            <w:vMerge w:val="restart"/>
            <w:tcBorders>
              <w:tl2br w:val="nil"/>
              <w:tr2bl w:val="nil"/>
            </w:tcBorders>
            <w:vAlign w:val="center"/>
          </w:tcPr>
          <w:p w14:paraId="4864E8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Hepatozoon canis</w:t>
            </w:r>
          </w:p>
        </w:tc>
        <w:tc>
          <w:tcPr>
            <w:tcW w:w="1165" w:type="dxa"/>
            <w:vMerge w:val="restart"/>
            <w:tcBorders>
              <w:tl2br w:val="nil"/>
              <w:tr2bl w:val="nil"/>
            </w:tcBorders>
            <w:vAlign w:val="center"/>
          </w:tcPr>
          <w:p w14:paraId="593A8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18S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 xml:space="preserve"> rRNA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14:paraId="6F356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Forward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ATACATGAGCAAAATCTCAAC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40" w:type="dxa"/>
            <w:vMerge w:val="restart"/>
            <w:tcBorders>
              <w:tl2br w:val="nil"/>
              <w:tr2bl w:val="nil"/>
            </w:tcBorders>
            <w:vAlign w:val="center"/>
          </w:tcPr>
          <w:p w14:paraId="6C1F2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666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bp</w:t>
            </w:r>
          </w:p>
        </w:tc>
        <w:tc>
          <w:tcPr>
            <w:tcW w:w="2903" w:type="dxa"/>
            <w:vMerge w:val="restart"/>
            <w:tcBorders>
              <w:tl2br w:val="nil"/>
              <w:tr2bl w:val="nil"/>
            </w:tcBorders>
          </w:tcPr>
          <w:p w14:paraId="572385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>95°C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 min, followed by 35 cycles at 95°C 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>0s, 5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°C 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0 s, and 72°C 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0 sec, with a final extension at 72°C 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>min.</w:t>
            </w:r>
          </w:p>
        </w:tc>
        <w:tc>
          <w:tcPr>
            <w:tcW w:w="3043" w:type="dxa"/>
            <w:vMerge w:val="restart"/>
            <w:tcBorders>
              <w:tl2br w:val="nil"/>
              <w:tr2bl w:val="nil"/>
            </w:tcBorders>
            <w:vAlign w:val="center"/>
          </w:tcPr>
          <w:p w14:paraId="02720D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/>
              </w:rPr>
              <w:t>Dongsheng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et al.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2023</w:t>
            </w:r>
          </w:p>
        </w:tc>
      </w:tr>
      <w:tr w14:paraId="7D5DD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389" w:type="dxa"/>
            <w:vMerge w:val="continue"/>
            <w:tcBorders>
              <w:tl2br w:val="nil"/>
              <w:tr2bl w:val="nil"/>
            </w:tcBorders>
            <w:vAlign w:val="center"/>
          </w:tcPr>
          <w:p w14:paraId="6C27AB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tcBorders>
              <w:tl2br w:val="nil"/>
              <w:tr2bl w:val="nil"/>
            </w:tcBorders>
            <w:vAlign w:val="center"/>
          </w:tcPr>
          <w:p w14:paraId="11BA1A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14:paraId="56572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Reverse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(CTTATTATTCCATGCTGCAG)</w:t>
            </w:r>
          </w:p>
        </w:tc>
        <w:tc>
          <w:tcPr>
            <w:tcW w:w="1240" w:type="dxa"/>
            <w:vMerge w:val="continue"/>
            <w:tcBorders>
              <w:tl2br w:val="nil"/>
              <w:tr2bl w:val="nil"/>
            </w:tcBorders>
            <w:vAlign w:val="center"/>
          </w:tcPr>
          <w:p w14:paraId="5C1818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03" w:type="dxa"/>
            <w:vMerge w:val="continue"/>
            <w:tcBorders>
              <w:tl2br w:val="nil"/>
              <w:tr2bl w:val="nil"/>
            </w:tcBorders>
          </w:tcPr>
          <w:p w14:paraId="6294C9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43" w:type="dxa"/>
            <w:vMerge w:val="continue"/>
            <w:tcBorders>
              <w:tl2br w:val="nil"/>
              <w:tr2bl w:val="nil"/>
            </w:tcBorders>
            <w:vAlign w:val="center"/>
          </w:tcPr>
          <w:p w14:paraId="441A27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14:paraId="1195E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89" w:type="dxa"/>
            <w:vMerge w:val="restart"/>
            <w:tcBorders>
              <w:tl2br w:val="nil"/>
              <w:tr2bl w:val="nil"/>
            </w:tcBorders>
            <w:vAlign w:val="center"/>
          </w:tcPr>
          <w:p w14:paraId="1228D8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Anaplasma bovis</w:t>
            </w:r>
          </w:p>
        </w:tc>
        <w:tc>
          <w:tcPr>
            <w:tcW w:w="1165" w:type="dxa"/>
            <w:vMerge w:val="restart"/>
            <w:tcBorders>
              <w:tl2br w:val="nil"/>
              <w:tr2bl w:val="nil"/>
            </w:tcBorders>
            <w:vAlign w:val="center"/>
          </w:tcPr>
          <w:p w14:paraId="2E474B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16S rRNA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14:paraId="595440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Forward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TTGAGAGTTTGATCCTGGCTCAGAACG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40" w:type="dxa"/>
            <w:vMerge w:val="restart"/>
            <w:tcBorders>
              <w:tl2br w:val="nil"/>
              <w:tr2bl w:val="nil"/>
            </w:tcBorders>
            <w:vAlign w:val="center"/>
          </w:tcPr>
          <w:p w14:paraId="13F9CB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  <w:p w14:paraId="64792C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</w:pPr>
          </w:p>
          <w:p w14:paraId="08AFAC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450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bp</w:t>
            </w:r>
          </w:p>
        </w:tc>
        <w:tc>
          <w:tcPr>
            <w:tcW w:w="2903" w:type="dxa"/>
            <w:vMerge w:val="restart"/>
            <w:tcBorders>
              <w:tl2br w:val="nil"/>
              <w:tr2bl w:val="nil"/>
            </w:tcBorders>
          </w:tcPr>
          <w:p w14:paraId="0D6948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32D0EC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66D2A8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6E080A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5263D4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388BAE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>for 5 min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, followed by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cycles at 9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°C for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45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s, 5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°C for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0 s, and 72°C for 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>1 min.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, with a final extension at 72°C for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min.</w:t>
            </w:r>
          </w:p>
        </w:tc>
        <w:tc>
          <w:tcPr>
            <w:tcW w:w="3043" w:type="dxa"/>
            <w:vMerge w:val="restart"/>
            <w:tcBorders>
              <w:tl2br w:val="nil"/>
              <w:tr2bl w:val="nil"/>
            </w:tcBorders>
            <w:vAlign w:val="center"/>
          </w:tcPr>
          <w:p w14:paraId="35C71B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 w14:paraId="178EEB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 w14:paraId="0CD409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 w14:paraId="723401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 w14:paraId="6EDE28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/>
              </w:rPr>
              <w:t>Xiao fang-Zhen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et al.,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</w:tr>
      <w:tr w14:paraId="2D2E6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389" w:type="dxa"/>
            <w:vMerge w:val="continue"/>
            <w:tcBorders>
              <w:tl2br w:val="nil"/>
              <w:tr2bl w:val="nil"/>
            </w:tcBorders>
            <w:vAlign w:val="center"/>
          </w:tcPr>
          <w:p w14:paraId="4C5133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tcBorders>
              <w:tl2br w:val="nil"/>
              <w:tr2bl w:val="nil"/>
            </w:tcBorders>
            <w:vAlign w:val="center"/>
          </w:tcPr>
          <w:p w14:paraId="74DE7A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14:paraId="130950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Reverse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CACCTCTACACTAGGAATTCCGCTATC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40" w:type="dxa"/>
            <w:vMerge w:val="continue"/>
            <w:tcBorders>
              <w:tl2br w:val="nil"/>
              <w:tr2bl w:val="nil"/>
            </w:tcBorders>
            <w:vAlign w:val="center"/>
          </w:tcPr>
          <w:p w14:paraId="4B6898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03" w:type="dxa"/>
            <w:vMerge w:val="continue"/>
            <w:tcBorders>
              <w:tl2br w:val="nil"/>
              <w:tr2bl w:val="nil"/>
            </w:tcBorders>
          </w:tcPr>
          <w:p w14:paraId="2F7ABA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43" w:type="dxa"/>
            <w:vMerge w:val="continue"/>
            <w:tcBorders>
              <w:tl2br w:val="nil"/>
              <w:tr2bl w:val="nil"/>
            </w:tcBorders>
            <w:vAlign w:val="center"/>
          </w:tcPr>
          <w:p w14:paraId="5DB0B6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14:paraId="22A22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389" w:type="dxa"/>
            <w:vMerge w:val="continue"/>
            <w:tcBorders>
              <w:tl2br w:val="nil"/>
              <w:tr2bl w:val="nil"/>
            </w:tcBorders>
            <w:vAlign w:val="center"/>
          </w:tcPr>
          <w:p w14:paraId="21321E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tcBorders>
              <w:tl2br w:val="nil"/>
              <w:tr2bl w:val="nil"/>
            </w:tcBorders>
            <w:vAlign w:val="center"/>
          </w:tcPr>
          <w:p w14:paraId="19C6B2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14:paraId="65B270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Forward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TTGAGAGTTTGATCCTGGCTCAGAACG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40" w:type="dxa"/>
            <w:vMerge w:val="continue"/>
            <w:tcBorders>
              <w:tl2br w:val="nil"/>
              <w:tr2bl w:val="nil"/>
            </w:tcBorders>
            <w:vAlign w:val="center"/>
          </w:tcPr>
          <w:p w14:paraId="165950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03" w:type="dxa"/>
            <w:vMerge w:val="continue"/>
            <w:tcBorders>
              <w:tl2br w:val="nil"/>
              <w:tr2bl w:val="nil"/>
            </w:tcBorders>
          </w:tcPr>
          <w:p w14:paraId="072E01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43" w:type="dxa"/>
            <w:vMerge w:val="continue"/>
            <w:tcBorders>
              <w:tl2br w:val="nil"/>
              <w:tr2bl w:val="nil"/>
            </w:tcBorders>
            <w:vAlign w:val="center"/>
          </w:tcPr>
          <w:p w14:paraId="23B390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yellow"/>
                <w:lang w:val="en-US" w:eastAsia="zh-CN"/>
              </w:rPr>
            </w:pPr>
          </w:p>
        </w:tc>
      </w:tr>
      <w:tr w14:paraId="3BA42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389" w:type="dxa"/>
            <w:vMerge w:val="continue"/>
            <w:tcBorders>
              <w:tl2br w:val="nil"/>
              <w:tr2bl w:val="nil"/>
            </w:tcBorders>
            <w:vAlign w:val="center"/>
          </w:tcPr>
          <w:p w14:paraId="0E4CB3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tcBorders>
              <w:tl2br w:val="nil"/>
              <w:tr2bl w:val="nil"/>
            </w:tcBorders>
            <w:vAlign w:val="center"/>
          </w:tcPr>
          <w:p w14:paraId="4D6F7F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14:paraId="39A1AC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Reverse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2 (GTACCGTCATTATCTTCCCTA)</w:t>
            </w:r>
          </w:p>
        </w:tc>
        <w:tc>
          <w:tcPr>
            <w:tcW w:w="1240" w:type="dxa"/>
            <w:vMerge w:val="continue"/>
            <w:tcBorders>
              <w:tl2br w:val="nil"/>
              <w:tr2bl w:val="nil"/>
            </w:tcBorders>
            <w:vAlign w:val="center"/>
          </w:tcPr>
          <w:p w14:paraId="4FE64C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03" w:type="dxa"/>
            <w:vMerge w:val="continue"/>
            <w:tcBorders>
              <w:tl2br w:val="nil"/>
              <w:tr2bl w:val="nil"/>
            </w:tcBorders>
          </w:tcPr>
          <w:p w14:paraId="750F2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43" w:type="dxa"/>
            <w:vMerge w:val="continue"/>
            <w:tcBorders>
              <w:tl2br w:val="nil"/>
              <w:tr2bl w:val="nil"/>
            </w:tcBorders>
            <w:vAlign w:val="center"/>
          </w:tcPr>
          <w:p w14:paraId="25F3F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14:paraId="5359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389" w:type="dxa"/>
            <w:vMerge w:val="restart"/>
            <w:tcBorders>
              <w:tl2br w:val="nil"/>
              <w:tr2bl w:val="nil"/>
            </w:tcBorders>
            <w:vAlign w:val="center"/>
          </w:tcPr>
          <w:p w14:paraId="57D072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Coxiella burnetii</w:t>
            </w:r>
          </w:p>
        </w:tc>
        <w:tc>
          <w:tcPr>
            <w:tcW w:w="1165" w:type="dxa"/>
            <w:vMerge w:val="restart"/>
            <w:tcBorders>
              <w:tl2br w:val="nil"/>
              <w:tr2bl w:val="nil"/>
            </w:tcBorders>
            <w:vAlign w:val="center"/>
          </w:tcPr>
          <w:p w14:paraId="4DDB2B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i w:val="0"/>
                <w:iCs w:val="0"/>
                <w:sz w:val="18"/>
                <w:szCs w:val="18"/>
                <w:lang w:val="en-US" w:eastAsia="zh-CN"/>
              </w:rPr>
              <w:t>IS111</w:t>
            </w: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14:paraId="440B3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Forward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TACTGGGTGTTGATATTGC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0" w:type="dxa"/>
            <w:vMerge w:val="restart"/>
            <w:tcBorders>
              <w:tl2br w:val="nil"/>
              <w:tr2bl w:val="nil"/>
            </w:tcBorders>
            <w:vAlign w:val="center"/>
          </w:tcPr>
          <w:p w14:paraId="763FD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260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2903" w:type="dxa"/>
            <w:vMerge w:val="restart"/>
            <w:tcBorders>
              <w:tl2br w:val="nil"/>
              <w:tr2bl w:val="nil"/>
            </w:tcBorders>
          </w:tcPr>
          <w:p w14:paraId="2A676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  <w:p w14:paraId="2D1CC5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  <w:p w14:paraId="0D5646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  <w:p w14:paraId="5881F0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  <w:p w14:paraId="0A53EC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for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min; 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followed by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35 cycles at 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for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s,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for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5s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, and 72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for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s; and extension at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for 10 min.</w:t>
            </w:r>
          </w:p>
          <w:p w14:paraId="780ECB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  <w:p w14:paraId="2CE7B8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18"/>
                <w:szCs w:val="18"/>
              </w:rPr>
            </w:pPr>
          </w:p>
        </w:tc>
        <w:tc>
          <w:tcPr>
            <w:tcW w:w="3043" w:type="dxa"/>
            <w:vMerge w:val="restart"/>
            <w:tcBorders>
              <w:tl2br w:val="nil"/>
              <w:tr2bl w:val="nil"/>
            </w:tcBorders>
            <w:vAlign w:val="center"/>
          </w:tcPr>
          <w:p w14:paraId="6F8DF0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/>
              </w:rPr>
              <w:t>Fournier and Raoult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et al.,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/>
              </w:rPr>
              <w:t xml:space="preserve"> 2003</w:t>
            </w:r>
          </w:p>
        </w:tc>
      </w:tr>
      <w:tr w14:paraId="7D481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89" w:type="dxa"/>
            <w:vMerge w:val="continue"/>
            <w:tcBorders>
              <w:tl2br w:val="nil"/>
              <w:tr2bl w:val="nil"/>
            </w:tcBorders>
            <w:vAlign w:val="center"/>
          </w:tcPr>
          <w:p w14:paraId="6E2FA1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tcBorders>
              <w:tl2br w:val="nil"/>
              <w:tr2bl w:val="nil"/>
            </w:tcBorders>
            <w:vAlign w:val="center"/>
          </w:tcPr>
          <w:p w14:paraId="1BB77C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14:paraId="235E4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80" w:firstLineChars="100"/>
              <w:jc w:val="both"/>
              <w:textAlignment w:val="top"/>
              <w:rPr>
                <w:rFonts w:hint="default" w:ascii="Roboto" w:hAnsi="Roboto" w:eastAsia="Roboto" w:cs="Roboto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Reverse 1 (CCGTT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TCATCCGCGGTG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0" w:type="dxa"/>
            <w:vMerge w:val="continue"/>
            <w:tcBorders>
              <w:tl2br w:val="nil"/>
              <w:tr2bl w:val="nil"/>
            </w:tcBorders>
            <w:vAlign w:val="center"/>
          </w:tcPr>
          <w:p w14:paraId="4FC7C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/>
                <w:sz w:val="18"/>
                <w:szCs w:val="18"/>
              </w:rPr>
            </w:pPr>
          </w:p>
        </w:tc>
        <w:tc>
          <w:tcPr>
            <w:tcW w:w="2903" w:type="dxa"/>
            <w:vMerge w:val="continue"/>
            <w:tcBorders>
              <w:tl2br w:val="nil"/>
              <w:tr2bl w:val="nil"/>
            </w:tcBorders>
            <w:vAlign w:val="center"/>
          </w:tcPr>
          <w:p w14:paraId="518CBA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3043" w:type="dxa"/>
            <w:vMerge w:val="continue"/>
            <w:tcBorders>
              <w:tl2br w:val="nil"/>
              <w:tr2bl w:val="nil"/>
            </w:tcBorders>
            <w:vAlign w:val="center"/>
          </w:tcPr>
          <w:p w14:paraId="3D81E2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 w14:paraId="6A503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89" w:type="dxa"/>
            <w:vMerge w:val="continue"/>
            <w:tcBorders>
              <w:tl2br w:val="nil"/>
              <w:tr2bl w:val="nil"/>
            </w:tcBorders>
            <w:vAlign w:val="center"/>
          </w:tcPr>
          <w:p w14:paraId="7AFD75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tcBorders>
              <w:tl2br w:val="nil"/>
              <w:tr2bl w:val="nil"/>
            </w:tcBorders>
            <w:vAlign w:val="center"/>
          </w:tcPr>
          <w:p w14:paraId="7B9D25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14:paraId="395AB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Times New Roman" w:hAnsi="Times New Roman" w:eastAsia="Roboto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Forward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GTAAAGTGATCTACACGA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240" w:type="dxa"/>
            <w:vMerge w:val="continue"/>
            <w:tcBorders>
              <w:tl2br w:val="nil"/>
              <w:tr2bl w:val="nil"/>
            </w:tcBorders>
            <w:vAlign w:val="center"/>
          </w:tcPr>
          <w:p w14:paraId="2F67D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/>
                <w:sz w:val="18"/>
                <w:szCs w:val="18"/>
              </w:rPr>
            </w:pPr>
          </w:p>
        </w:tc>
        <w:tc>
          <w:tcPr>
            <w:tcW w:w="2903" w:type="dxa"/>
            <w:vMerge w:val="continue"/>
            <w:tcBorders>
              <w:tl2br w:val="nil"/>
              <w:tr2bl w:val="nil"/>
            </w:tcBorders>
            <w:vAlign w:val="center"/>
          </w:tcPr>
          <w:p w14:paraId="7AA5FB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3043" w:type="dxa"/>
            <w:vMerge w:val="continue"/>
            <w:tcBorders>
              <w:tl2br w:val="nil"/>
              <w:tr2bl w:val="nil"/>
            </w:tcBorders>
            <w:vAlign w:val="center"/>
          </w:tcPr>
          <w:p w14:paraId="68909F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 w14:paraId="7202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89" w:type="dxa"/>
            <w:vMerge w:val="continue"/>
            <w:tcBorders>
              <w:tl2br w:val="nil"/>
              <w:tr2bl w:val="nil"/>
            </w:tcBorders>
            <w:vAlign w:val="center"/>
          </w:tcPr>
          <w:p w14:paraId="415C04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tcBorders>
              <w:tl2br w:val="nil"/>
              <w:tr2bl w:val="nil"/>
            </w:tcBorders>
            <w:vAlign w:val="center"/>
          </w:tcPr>
          <w:p w14:paraId="5F2CA7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3896" w:type="dxa"/>
            <w:tcBorders>
              <w:tl2br w:val="nil"/>
              <w:tr2bl w:val="nil"/>
            </w:tcBorders>
            <w:vAlign w:val="center"/>
          </w:tcPr>
          <w:p w14:paraId="217D8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eastAsia" w:ascii="Roboto" w:hAnsi="Roboto" w:eastAsia="Roboto" w:cs="Roboto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Reverse 2 (TTAACAGCGCTTGAACGT)</w:t>
            </w:r>
          </w:p>
        </w:tc>
        <w:tc>
          <w:tcPr>
            <w:tcW w:w="1240" w:type="dxa"/>
            <w:vMerge w:val="continue"/>
            <w:tcBorders>
              <w:tl2br w:val="nil"/>
              <w:tr2bl w:val="nil"/>
            </w:tcBorders>
            <w:vAlign w:val="center"/>
          </w:tcPr>
          <w:p w14:paraId="0AC126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/>
                <w:sz w:val="18"/>
                <w:szCs w:val="18"/>
              </w:rPr>
            </w:pPr>
          </w:p>
        </w:tc>
        <w:tc>
          <w:tcPr>
            <w:tcW w:w="2903" w:type="dxa"/>
            <w:vMerge w:val="continue"/>
            <w:tcBorders>
              <w:tl2br w:val="nil"/>
              <w:tr2bl w:val="nil"/>
            </w:tcBorders>
            <w:vAlign w:val="center"/>
          </w:tcPr>
          <w:p w14:paraId="002C60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3043" w:type="dxa"/>
            <w:vMerge w:val="continue"/>
            <w:tcBorders>
              <w:tl2br w:val="nil"/>
              <w:tr2bl w:val="nil"/>
            </w:tcBorders>
            <w:vAlign w:val="center"/>
          </w:tcPr>
          <w:p w14:paraId="51B0D1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</w:tr>
    </w:tbl>
    <w:p w14:paraId="360A6373"/>
    <w:p w14:paraId="48623BB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Chen, Z., Li, Y., Ren, Q., Luo, J., Liu, Z., Zhou, X., Liu, G., Luo, J., &amp; Yin, H. (2014). Dermacentor everestianus Hirst, 1926 (Acari: Ixodidae): phylogenetic status inferred from molecular characteristics. Parasitology research, 113(10), 3773–3779. https://doi.org/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"https://doi.org/10.1007/s00436-014-4043-1"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10.1007/s00436-014-4043-1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</w:p>
    <w:p w14:paraId="6548277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hanging="480" w:hangingChars="200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Xiao fang-Zhen, D. y.-Q., Lin dai-Hua,Han teng-Wei, Xu Guo-Ying,Lu-jing,Liu we-Jun (2020). "study of Candidatus Neoehrlichia mikurensis in rodents in Fujian Province and an investigation of the characteristics of its 16S rNA and groEL genes." Journal of Pathogen Biology 15.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6DOI:10.13350/j.cjpb.200410</w:t>
      </w:r>
    </w:p>
    <w:p w14:paraId="0A5557A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Zu, K. W. J. W. H. (2023). "Epidemiological investigation and genetic relationship of canine hepatic cluster in Hainan Island." Journal of Tropical medicine: 163-473.DOI：10.15886/j.cnki.rdswxb.20220114</w:t>
      </w:r>
    </w:p>
    <w:p w14:paraId="1FAECB2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  <w:t>Fournier, P. E., &amp; Raoult, D. (2003). Comparison of PCR and serology assays for early diagnosis of acute Q fever. </w:t>
      </w:r>
      <w:r>
        <w:rPr>
          <w:rFonts w:hint="default" w:ascii="Times New Roman" w:hAnsi="Times New Roman" w:eastAsia="Segoe UI" w:cs="Times New Roman"/>
          <w:i/>
          <w:iCs/>
          <w:caps w:val="0"/>
          <w:color w:val="212121"/>
          <w:spacing w:val="0"/>
          <w:sz w:val="24"/>
          <w:szCs w:val="24"/>
          <w:shd w:val="clear" w:fill="FFFFFF"/>
        </w:rPr>
        <w:t>Journal of clinical microbiology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  <w:t>, </w:t>
      </w:r>
      <w:r>
        <w:rPr>
          <w:rFonts w:hint="default" w:ascii="Times New Roman" w:hAnsi="Times New Roman" w:eastAsia="Segoe UI" w:cs="Times New Roman"/>
          <w:i/>
          <w:iCs/>
          <w:caps w:val="0"/>
          <w:color w:val="212121"/>
          <w:spacing w:val="0"/>
          <w:sz w:val="24"/>
          <w:szCs w:val="24"/>
          <w:shd w:val="clear" w:fill="FFFFFF"/>
        </w:rPr>
        <w:t>41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  <w:t>(11), 5094–5098. https://doi.o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rg/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"https://doi.org/10.1128/JCM.41.11.5094-5098.2003" </w:instrTex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ascii="Times New Roman" w:hAnsi="Times New Roman" w:eastAsia="Segoe UI" w:cs="Times New Roman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10.1128/JCM.41.11.5094-5098.2003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139CF7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hanging="480" w:hangingChars="20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qkvgySTIX-Regular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DY1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utch801BT-Roman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ljqsrSTIX-Italic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9A80EC"/>
    <w:multiLevelType w:val="singleLevel"/>
    <w:tmpl w:val="FA9A80E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NGY4MmEwNTI1NzRmNDNlZDI3MzliMTA1YTdlMTkifQ=="/>
  </w:docVars>
  <w:rsids>
    <w:rsidRoot w:val="2A425302"/>
    <w:rsid w:val="0BBA00E1"/>
    <w:rsid w:val="0FE9270B"/>
    <w:rsid w:val="186565DB"/>
    <w:rsid w:val="2A425302"/>
    <w:rsid w:val="411827BC"/>
    <w:rsid w:val="5050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paragraph" w:customStyle="1" w:styleId="7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"/>
    </w:rPr>
  </w:style>
  <w:style w:type="paragraph" w:customStyle="1" w:styleId="8">
    <w:name w:val="EndNote Bibliography"/>
    <w:basedOn w:val="1"/>
    <w:autoRedefine/>
    <w:qFormat/>
    <w:uiPriority w:val="0"/>
    <w:rPr>
      <w:rFonts w:ascii="Calibri" w:hAnsi="Calibri"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803</Words>
  <Characters>3984</Characters>
  <Lines>0</Lines>
  <Paragraphs>0</Paragraphs>
  <TotalTime>0</TotalTime>
  <ScaleCrop>false</ScaleCrop>
  <LinksUpToDate>false</LinksUpToDate>
  <CharactersWithSpaces>4731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2023-10-16T08:52:00Z</dcterms:created>
  <dc:creator>楠上加楠_i85</dc:creator>
  <cp:lastModifiedBy>～～～</cp:lastModifiedBy>
  <dcterms:modified xsi:type="dcterms:W3CDTF">2024-06-30T09:54:30Z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EAF4B2CC53DF4AF594A8337C9204C6EF_13</vt:lpwstr>
  </property>
</Properties>
</file>