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609D5ABB" w14:textId="77777777" w:rsidR="00B677D6" w:rsidRPr="00591E45" w:rsidRDefault="00B677D6" w:rsidP="00B677D6">
      <w:pPr>
        <w:spacing w:after="8pt" w:line="24pt" w:lineRule="auto"/>
        <w:rPr>
          <w:rFonts w:ascii="Calibri" w:eastAsia="Calibri" w:hAnsi="Calibri" w:cs="Times New Roman"/>
          <w:b/>
          <w:bCs/>
          <w:sz w:val="22"/>
          <w:szCs w:val="22"/>
          <w:lang w:val="en-US"/>
        </w:rPr>
      </w:pPr>
      <w:r w:rsidRPr="00591E45">
        <w:rPr>
          <w:rFonts w:ascii="Calibri" w:eastAsia="Calibri" w:hAnsi="Calibri" w:cs="Times New Roman"/>
          <w:b/>
          <w:bCs/>
          <w:sz w:val="22"/>
          <w:szCs w:val="22"/>
          <w:lang w:val="en-US"/>
        </w:rPr>
        <w:t>Annex</w:t>
      </w:r>
    </w:p>
    <w:p w14:paraId="0FAEAF4C" w14:textId="77777777" w:rsidR="00B677D6" w:rsidRPr="00591E45" w:rsidRDefault="00B677D6" w:rsidP="00B677D6">
      <w:pPr>
        <w:spacing w:before="6pt" w:after="8pt" w:line="24pt" w:lineRule="auto"/>
        <w:jc w:val="both"/>
        <w:rPr>
          <w:rFonts w:ascii="Calibri" w:eastAsia="Calibri" w:hAnsi="Calibri" w:cs="Times New Roman"/>
          <w:b/>
          <w:bCs/>
          <w:sz w:val="22"/>
          <w:szCs w:val="22"/>
          <w:lang w:val="en-US"/>
        </w:rPr>
      </w:pPr>
      <w:r w:rsidRPr="00591E45">
        <w:rPr>
          <w:rFonts w:ascii="Calibri" w:eastAsia="Calibri" w:hAnsi="Calibri" w:cs="Times New Roman"/>
          <w:b/>
          <w:bCs/>
          <w:sz w:val="22"/>
          <w:szCs w:val="22"/>
          <w:lang w:val="en-US"/>
        </w:rPr>
        <w:t xml:space="preserve">Annex </w:t>
      </w:r>
      <w:r>
        <w:rPr>
          <w:rFonts w:ascii="Calibri" w:eastAsia="Calibri" w:hAnsi="Calibri" w:cs="Times New Roman"/>
          <w:b/>
          <w:bCs/>
          <w:sz w:val="22"/>
          <w:szCs w:val="22"/>
          <w:lang w:val="en-US"/>
        </w:rPr>
        <w:t>A</w:t>
      </w:r>
    </w:p>
    <w:p w14:paraId="3B87B7A6" w14:textId="77777777" w:rsidR="00B677D6" w:rsidRPr="00591E45" w:rsidRDefault="00B677D6" w:rsidP="00B677D6">
      <w:pPr>
        <w:spacing w:before="6pt" w:after="8pt" w:line="24pt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en-US" w:eastAsia="de-DE"/>
        </w:rPr>
        <w:sectPr w:rsidR="00B677D6" w:rsidRPr="00591E45" w:rsidSect="00B677D6">
          <w:pgSz w:w="612pt" w:h="792pt"/>
          <w:pgMar w:top="72pt" w:right="72pt" w:bottom="72pt" w:left="72pt" w:header="36pt" w:footer="36pt" w:gutter="0pt"/>
          <w:lnNumType w:countBy="1" w:restart="continuous"/>
          <w:cols w:space="36pt"/>
          <w:docGrid w:linePitch="360"/>
        </w:sectPr>
      </w:pPr>
      <w:r w:rsidRPr="00591E45">
        <w:rPr>
          <w:rFonts w:ascii="Calibri" w:eastAsia="Calibri" w:hAnsi="Calibri" w:cs="Calibri"/>
          <w:b/>
          <w:bCs/>
          <w:sz w:val="22"/>
          <w:szCs w:val="22"/>
          <w:shd w:val="clear" w:color="auto" w:fill="FFFFFF"/>
          <w:lang w:val="en-US"/>
        </w:rPr>
        <w:t xml:space="preserve">Table 3 </w:t>
      </w:r>
      <w:r w:rsidRPr="00591E45">
        <w:rPr>
          <w:rFonts w:ascii="Calibri" w:eastAsia="Calibri" w:hAnsi="Calibri" w:cs="Calibri"/>
          <w:sz w:val="22"/>
          <w:szCs w:val="22"/>
          <w:shd w:val="clear" w:color="auto" w:fill="FFFFFF"/>
          <w:lang w:val="en-US"/>
        </w:rPr>
        <w:t xml:space="preserve">presents the results from scenario analysis I, applying a recurrent cost of USD 3.84 per consultation. </w:t>
      </w:r>
      <w:r w:rsidRPr="00591E45">
        <w:rPr>
          <w:rFonts w:ascii="Calibri" w:eastAsia="Times New Roman" w:hAnsi="Calibri" w:cs="Calibri"/>
          <w:color w:val="000000"/>
          <w:sz w:val="22"/>
          <w:szCs w:val="22"/>
          <w:lang w:val="en-US" w:eastAsia="de-DE"/>
        </w:rPr>
        <w:t xml:space="preserve">The annual costs would be </w:t>
      </w:r>
      <w:r w:rsidRPr="00591E45">
        <w:rPr>
          <w:rFonts w:ascii="Calibri" w:eastAsia="Calibri" w:hAnsi="Calibri" w:cs="Calibri"/>
          <w:sz w:val="22"/>
          <w:szCs w:val="22"/>
          <w:lang w:val="en-US"/>
        </w:rPr>
        <w:t>USD 1,240,278.26</w:t>
      </w:r>
      <w:r w:rsidRPr="00591E45">
        <w:rPr>
          <w:rFonts w:ascii="Calibri" w:eastAsia="Times New Roman" w:hAnsi="Calibri" w:cs="Calibri"/>
          <w:color w:val="000000"/>
          <w:sz w:val="22"/>
          <w:szCs w:val="22"/>
          <w:lang w:val="en-US" w:eastAsia="de-DE"/>
        </w:rPr>
        <w:t xml:space="preserve">, equivalent to 0.33 % of Burkina Faso's healthcare budget in 2019, assuming a target population of 6% and 0.25 curative contacts. Expanding the target population to 20% and the curative contacts to 0.50 would result in a cost of </w:t>
      </w:r>
      <w:r w:rsidRPr="00591E45">
        <w:rPr>
          <w:rFonts w:ascii="Calibri" w:eastAsia="Calibri" w:hAnsi="Calibri" w:cs="Calibri"/>
          <w:sz w:val="22"/>
          <w:szCs w:val="22"/>
          <w:lang w:val="en-US"/>
        </w:rPr>
        <w:t>USD 8,268,521.73</w:t>
      </w:r>
      <w:r w:rsidRPr="00591E45">
        <w:rPr>
          <w:rFonts w:ascii="Calibri" w:eastAsia="Times New Roman" w:hAnsi="Calibri" w:cs="Calibri"/>
          <w:color w:val="000000"/>
          <w:sz w:val="22"/>
          <w:szCs w:val="22"/>
          <w:lang w:val="en-US" w:eastAsia="de-DE"/>
        </w:rPr>
        <w:t>, equivalent to 2.20 % of Burkina Faso's healthcare budget in 2019.</w:t>
      </w:r>
    </w:p>
    <w:p w14:paraId="609D2841" w14:textId="77777777" w:rsidR="00B677D6" w:rsidRPr="00591E45" w:rsidRDefault="00B677D6" w:rsidP="00B677D6">
      <w:pPr>
        <w:widowControl w:val="0"/>
        <w:suppressLineNumbers/>
        <w:suppressAutoHyphens/>
        <w:autoSpaceDN w:val="0"/>
        <w:spacing w:before="6pt"/>
        <w:textAlignment w:val="baseline"/>
        <w:rPr>
          <w:rFonts w:ascii="Calibri" w:eastAsia="Calibri" w:hAnsi="Calibri" w:cs="Calibri"/>
          <w:iCs/>
          <w:sz w:val="22"/>
          <w:szCs w:val="22"/>
          <w:lang w:val="en-US"/>
        </w:rPr>
      </w:pPr>
      <w:r w:rsidRPr="00591E45">
        <w:rPr>
          <w:rFonts w:ascii="Calibri" w:eastAsia="Arial Unicode MS" w:hAnsi="Calibri" w:cs="Calibri"/>
          <w:b/>
          <w:bCs/>
          <w:iCs/>
          <w:kern w:val="3"/>
          <w:sz w:val="22"/>
          <w:szCs w:val="22"/>
          <w:bdr w:val="none" w:sz="0" w:space="0" w:color="auto" w:frame="1"/>
          <w:shd w:val="clear" w:color="auto" w:fill="FFFFFF"/>
          <w:lang w:val="en-US" w:eastAsia="zh-CN" w:bidi="hi-IN"/>
        </w:rPr>
        <w:lastRenderedPageBreak/>
        <w:t>Table 3.</w:t>
      </w:r>
      <w:r w:rsidRPr="00591E45">
        <w:rPr>
          <w:rFonts w:ascii="Calibri" w:eastAsia="Arial Unicode MS" w:hAnsi="Calibri" w:cs="Calibri"/>
          <w:iCs/>
          <w:kern w:val="3"/>
          <w:sz w:val="22"/>
          <w:szCs w:val="22"/>
          <w:bdr w:val="none" w:sz="0" w:space="0" w:color="auto" w:frame="1"/>
          <w:shd w:val="clear" w:color="auto" w:fill="FFFFFF"/>
          <w:lang w:val="en-US" w:eastAsia="zh-CN" w:bidi="hi-IN"/>
        </w:rPr>
        <w:t xml:space="preserve"> </w:t>
      </w:r>
      <w:r w:rsidRPr="00591E45">
        <w:rPr>
          <w:rFonts w:ascii="Calibri" w:eastAsia="Calibri" w:hAnsi="Calibri" w:cs="Calibri"/>
          <w:iCs/>
          <w:sz w:val="22"/>
          <w:szCs w:val="22"/>
          <w:lang w:val="en-US"/>
        </w:rPr>
        <w:t>Scenario analysis I: Cost and budget impact estimates applying different targeting thresholds and population coverage.</w:t>
      </w:r>
    </w:p>
    <w:p w14:paraId="081E345C" w14:textId="77777777" w:rsidR="00B677D6" w:rsidRPr="00591E45" w:rsidRDefault="00B677D6" w:rsidP="00B677D6">
      <w:pPr>
        <w:widowControl w:val="0"/>
        <w:suppressLineNumbers/>
        <w:suppressAutoHyphens/>
        <w:autoSpaceDN w:val="0"/>
        <w:spacing w:before="6pt"/>
        <w:textAlignment w:val="baseline"/>
        <w:rPr>
          <w:rFonts w:ascii="Times New Roman" w:eastAsia="Arial Unicode MS" w:hAnsi="Times New Roman" w:cs="Times New Roman"/>
          <w:iCs/>
          <w:kern w:val="3"/>
          <w:sz w:val="22"/>
          <w:szCs w:val="22"/>
          <w:bdr w:val="none" w:sz="0" w:space="0" w:color="auto" w:frame="1"/>
          <w:shd w:val="clear" w:color="auto" w:fill="FFFFFF"/>
          <w:lang w:val="en-US" w:eastAsia="zh-CN" w:bidi="hi-IN"/>
        </w:rPr>
      </w:pP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2065"/>
        <w:gridCol w:w="2251"/>
        <w:gridCol w:w="1168"/>
        <w:gridCol w:w="2341"/>
        <w:gridCol w:w="1194"/>
        <w:gridCol w:w="2771"/>
        <w:gridCol w:w="1160"/>
      </w:tblGrid>
      <w:tr w:rsidR="00B677D6" w:rsidRPr="00591E45" w14:paraId="6E4A17B1" w14:textId="77777777" w:rsidTr="008F4D4F">
        <w:trPr>
          <w:trHeight w:val="290"/>
        </w:trPr>
        <w:tc>
          <w:tcPr>
            <w:tcW w:w="15.94%" w:type="pct"/>
            <w:shd w:val="clear" w:color="auto" w:fill="AEAAAA"/>
            <w:noWrap/>
            <w:vAlign w:val="bottom"/>
            <w:hideMark/>
          </w:tcPr>
          <w:p w14:paraId="09CB72BC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  <w:p w14:paraId="5CFD4A72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Cost category</w:t>
            </w:r>
          </w:p>
        </w:tc>
        <w:tc>
          <w:tcPr>
            <w:tcW w:w="17.38%" w:type="pct"/>
            <w:shd w:val="clear" w:color="auto" w:fill="AEAAAA"/>
            <w:noWrap/>
            <w:vAlign w:val="bottom"/>
            <w:hideMark/>
          </w:tcPr>
          <w:p w14:paraId="7C1DE16F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 xml:space="preserve">Base case: Targeting threshold 6% of the population:1,290,611 </w:t>
            </w:r>
          </w:p>
        </w:tc>
        <w:tc>
          <w:tcPr>
            <w:tcW w:w="9.02%" w:type="pct"/>
            <w:shd w:val="clear" w:color="auto" w:fill="AEAAAA"/>
            <w:vAlign w:val="bottom"/>
          </w:tcPr>
          <w:p w14:paraId="215E605A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 xml:space="preserve">% of the healthcare budget </w:t>
            </w:r>
          </w:p>
        </w:tc>
        <w:tc>
          <w:tcPr>
            <w:tcW w:w="18.08%" w:type="pct"/>
            <w:shd w:val="clear" w:color="auto" w:fill="AEAAAA"/>
            <w:noWrap/>
            <w:vAlign w:val="bottom"/>
            <w:hideMark/>
          </w:tcPr>
          <w:p w14:paraId="3CA32E71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Medium assumption scenario: Targeting threshold 9% of the population: 1,935,916</w:t>
            </w:r>
          </w:p>
        </w:tc>
        <w:tc>
          <w:tcPr>
            <w:tcW w:w="9.220000000000001%" w:type="pct"/>
            <w:shd w:val="clear" w:color="auto" w:fill="AEAAAA"/>
            <w:vAlign w:val="bottom"/>
          </w:tcPr>
          <w:p w14:paraId="5B398568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 xml:space="preserve">% of the healthcare budget </w:t>
            </w:r>
          </w:p>
        </w:tc>
        <w:tc>
          <w:tcPr>
            <w:tcW w:w="21.4%" w:type="pct"/>
            <w:shd w:val="clear" w:color="auto" w:fill="AEAAAA"/>
            <w:noWrap/>
            <w:vAlign w:val="bottom"/>
            <w:hideMark/>
          </w:tcPr>
          <w:p w14:paraId="48BFD740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 xml:space="preserve">High assumption scenario Targeting threshold 20% of the population: 4,302,036 </w:t>
            </w:r>
          </w:p>
        </w:tc>
        <w:tc>
          <w:tcPr>
            <w:tcW w:w="8.96%" w:type="pct"/>
            <w:shd w:val="clear" w:color="auto" w:fill="AEAAAA"/>
            <w:vAlign w:val="bottom"/>
          </w:tcPr>
          <w:p w14:paraId="02B17E62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 xml:space="preserve">% of the healthcare budget </w:t>
            </w:r>
          </w:p>
        </w:tc>
      </w:tr>
      <w:tr w:rsidR="00B677D6" w:rsidRPr="00591E45" w14:paraId="1212687B" w14:textId="77777777" w:rsidTr="008F4D4F">
        <w:trPr>
          <w:trHeight w:val="290"/>
        </w:trPr>
        <w:tc>
          <w:tcPr>
            <w:tcW w:w="15.94%" w:type="pct"/>
            <w:shd w:val="clear" w:color="auto" w:fill="D0CECE"/>
            <w:noWrap/>
            <w:vAlign w:val="bottom"/>
          </w:tcPr>
          <w:p w14:paraId="2B7BD3F2" w14:textId="77777777" w:rsidR="00B677D6" w:rsidRPr="00591E45" w:rsidRDefault="00B677D6" w:rsidP="008F4D4F">
            <w:pPr>
              <w:spacing w:before="6pt"/>
              <w:jc w:val="both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Utilization 0.25</w:t>
            </w:r>
          </w:p>
        </w:tc>
        <w:tc>
          <w:tcPr>
            <w:tcW w:w="17.38%" w:type="pct"/>
            <w:shd w:val="clear" w:color="auto" w:fill="D0CECE"/>
            <w:noWrap/>
            <w:vAlign w:val="bottom"/>
          </w:tcPr>
          <w:p w14:paraId="487EB205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2%" w:type="pct"/>
            <w:shd w:val="clear" w:color="auto" w:fill="D0CECE"/>
          </w:tcPr>
          <w:p w14:paraId="3F80521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D0CECE"/>
            <w:noWrap/>
            <w:vAlign w:val="bottom"/>
          </w:tcPr>
          <w:p w14:paraId="38DB1CB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220000000000001%" w:type="pct"/>
            <w:shd w:val="clear" w:color="auto" w:fill="D0CECE"/>
          </w:tcPr>
          <w:p w14:paraId="48EA88A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D0CECE"/>
            <w:noWrap/>
            <w:vAlign w:val="bottom"/>
          </w:tcPr>
          <w:p w14:paraId="688A450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8.96%" w:type="pct"/>
            <w:shd w:val="clear" w:color="auto" w:fill="D0CECE"/>
          </w:tcPr>
          <w:p w14:paraId="1B86811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6E76D081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center"/>
            <w:hideMark/>
          </w:tcPr>
          <w:p w14:paraId="673F017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 xml:space="preserve">Consultation costs 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7727F05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109,833.69</w:t>
            </w:r>
          </w:p>
        </w:tc>
        <w:tc>
          <w:tcPr>
            <w:tcW w:w="9.02%" w:type="pct"/>
          </w:tcPr>
          <w:p w14:paraId="523C501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6ED84575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164,750.54</w:t>
            </w:r>
          </w:p>
        </w:tc>
        <w:tc>
          <w:tcPr>
            <w:tcW w:w="9.220000000000001%" w:type="pct"/>
          </w:tcPr>
          <w:p w14:paraId="79ED9CE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2BAA2104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366,112.31</w:t>
            </w:r>
          </w:p>
        </w:tc>
        <w:tc>
          <w:tcPr>
            <w:tcW w:w="8.96%" w:type="pct"/>
          </w:tcPr>
          <w:p w14:paraId="38C1661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6F542100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center"/>
            <w:hideMark/>
          </w:tcPr>
          <w:p w14:paraId="5F29D5A1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Drug costs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62F5699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659,879.01</w:t>
            </w:r>
          </w:p>
        </w:tc>
        <w:tc>
          <w:tcPr>
            <w:tcW w:w="9.02%" w:type="pct"/>
          </w:tcPr>
          <w:p w14:paraId="7BDF9E9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4CD4DD0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989,818.51</w:t>
            </w:r>
          </w:p>
        </w:tc>
        <w:tc>
          <w:tcPr>
            <w:tcW w:w="9.220000000000001%" w:type="pct"/>
          </w:tcPr>
          <w:p w14:paraId="1D312AD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0245624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2,199,596.69</w:t>
            </w:r>
          </w:p>
        </w:tc>
        <w:tc>
          <w:tcPr>
            <w:tcW w:w="8.96%" w:type="pct"/>
          </w:tcPr>
          <w:p w14:paraId="3AD743E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35F865B5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center"/>
            <w:hideMark/>
          </w:tcPr>
          <w:p w14:paraId="0982DD1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Human resources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7C675D31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222,509.91</w:t>
            </w:r>
          </w:p>
        </w:tc>
        <w:tc>
          <w:tcPr>
            <w:tcW w:w="9.02%" w:type="pct"/>
          </w:tcPr>
          <w:p w14:paraId="246F0B5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53133A8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333,764.86</w:t>
            </w:r>
          </w:p>
        </w:tc>
        <w:tc>
          <w:tcPr>
            <w:tcW w:w="9.220000000000001%" w:type="pct"/>
          </w:tcPr>
          <w:p w14:paraId="23BA690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415AF1C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741,699.70</w:t>
            </w:r>
          </w:p>
        </w:tc>
        <w:tc>
          <w:tcPr>
            <w:tcW w:w="8.96%" w:type="pct"/>
          </w:tcPr>
          <w:p w14:paraId="58FB264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669D66F3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bottom"/>
            <w:hideMark/>
          </w:tcPr>
          <w:p w14:paraId="1562AA85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Variable overheads 25%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05347B0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248,055.65</w:t>
            </w:r>
          </w:p>
        </w:tc>
        <w:tc>
          <w:tcPr>
            <w:tcW w:w="9.02%" w:type="pct"/>
          </w:tcPr>
          <w:p w14:paraId="49604C54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0E5D005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372,083.48</w:t>
            </w:r>
          </w:p>
        </w:tc>
        <w:tc>
          <w:tcPr>
            <w:tcW w:w="9.220000000000001%" w:type="pct"/>
          </w:tcPr>
          <w:p w14:paraId="20E3E56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61E540D1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826,852.17</w:t>
            </w:r>
          </w:p>
        </w:tc>
        <w:tc>
          <w:tcPr>
            <w:tcW w:w="8.96%" w:type="pct"/>
          </w:tcPr>
          <w:p w14:paraId="32F470F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721D702E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bottom"/>
            <w:hideMark/>
          </w:tcPr>
          <w:p w14:paraId="3F836838" w14:textId="77777777" w:rsidR="00B677D6" w:rsidRPr="00591E45" w:rsidRDefault="00B677D6" w:rsidP="008F4D4F">
            <w:pPr>
              <w:spacing w:before="6pt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  <w:t>TOTAL RECURRENT COST IN USD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2F42146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1,240,278.26</w:t>
            </w:r>
          </w:p>
        </w:tc>
        <w:tc>
          <w:tcPr>
            <w:tcW w:w="9.02%" w:type="pct"/>
            <w:vAlign w:val="bottom"/>
          </w:tcPr>
          <w:p w14:paraId="1516322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0.33</w:t>
            </w: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0F8FB201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1,860,417.39</w:t>
            </w:r>
          </w:p>
        </w:tc>
        <w:tc>
          <w:tcPr>
            <w:tcW w:w="9.220000000000001%" w:type="pct"/>
            <w:vAlign w:val="bottom"/>
          </w:tcPr>
          <w:p w14:paraId="16AC990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0.50</w:t>
            </w: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76781C2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4,134,260.87</w:t>
            </w:r>
          </w:p>
        </w:tc>
        <w:tc>
          <w:tcPr>
            <w:tcW w:w="8.96%" w:type="pct"/>
            <w:vAlign w:val="bottom"/>
          </w:tcPr>
          <w:p w14:paraId="78DDDAB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1.10</w:t>
            </w:r>
          </w:p>
        </w:tc>
      </w:tr>
      <w:tr w:rsidR="00B677D6" w:rsidRPr="00591E45" w14:paraId="58EDBB32" w14:textId="77777777" w:rsidTr="008F4D4F">
        <w:trPr>
          <w:trHeight w:val="290"/>
        </w:trPr>
        <w:tc>
          <w:tcPr>
            <w:tcW w:w="15.94%" w:type="pct"/>
            <w:shd w:val="clear" w:color="auto" w:fill="D9D9D9"/>
            <w:noWrap/>
            <w:vAlign w:val="bottom"/>
            <w:hideMark/>
          </w:tcPr>
          <w:p w14:paraId="6E6587B9" w14:textId="77777777" w:rsidR="00B677D6" w:rsidRPr="00591E45" w:rsidRDefault="00B677D6" w:rsidP="008F4D4F">
            <w:pPr>
              <w:spacing w:before="6pt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Utilization 0.50</w:t>
            </w:r>
          </w:p>
        </w:tc>
        <w:tc>
          <w:tcPr>
            <w:tcW w:w="17.38%" w:type="pct"/>
            <w:shd w:val="clear" w:color="auto" w:fill="D9D9D9"/>
            <w:noWrap/>
            <w:vAlign w:val="bottom"/>
            <w:hideMark/>
          </w:tcPr>
          <w:p w14:paraId="4814BD84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2%" w:type="pct"/>
            <w:shd w:val="clear" w:color="auto" w:fill="D9D9D9"/>
          </w:tcPr>
          <w:p w14:paraId="5EB74DCA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  <w:tc>
          <w:tcPr>
            <w:tcW w:w="18.08%" w:type="pct"/>
            <w:shd w:val="clear" w:color="auto" w:fill="D9D9D9"/>
            <w:noWrap/>
            <w:vAlign w:val="bottom"/>
            <w:hideMark/>
          </w:tcPr>
          <w:p w14:paraId="39301A3F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220000000000001%" w:type="pct"/>
            <w:shd w:val="clear" w:color="auto" w:fill="D9D9D9"/>
          </w:tcPr>
          <w:p w14:paraId="056BB0E4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  <w:tc>
          <w:tcPr>
            <w:tcW w:w="21.4%" w:type="pct"/>
            <w:shd w:val="clear" w:color="auto" w:fill="D9D9D9"/>
            <w:noWrap/>
            <w:vAlign w:val="bottom"/>
            <w:hideMark/>
          </w:tcPr>
          <w:p w14:paraId="0F6DD1AE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8.96%" w:type="pct"/>
            <w:shd w:val="clear" w:color="auto" w:fill="D9D9D9"/>
          </w:tcPr>
          <w:p w14:paraId="0311B231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</w:tr>
      <w:tr w:rsidR="00B677D6" w:rsidRPr="00591E45" w14:paraId="29BA0786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center"/>
            <w:hideMark/>
          </w:tcPr>
          <w:p w14:paraId="33334C4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 xml:space="preserve">Consultation costs 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520110F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219,667.38</w:t>
            </w:r>
          </w:p>
        </w:tc>
        <w:tc>
          <w:tcPr>
            <w:tcW w:w="9.02%" w:type="pct"/>
          </w:tcPr>
          <w:p w14:paraId="0DF5764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1CC8514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329,501.07</w:t>
            </w:r>
          </w:p>
        </w:tc>
        <w:tc>
          <w:tcPr>
            <w:tcW w:w="9.220000000000001%" w:type="pct"/>
          </w:tcPr>
          <w:p w14:paraId="4BE1BF9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2E7FFEA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732,224.61</w:t>
            </w:r>
          </w:p>
        </w:tc>
        <w:tc>
          <w:tcPr>
            <w:tcW w:w="8.96%" w:type="pct"/>
          </w:tcPr>
          <w:p w14:paraId="7F598E6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5985D678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center"/>
            <w:hideMark/>
          </w:tcPr>
          <w:p w14:paraId="60BF795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Drug costs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2C9FF54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1,319,758.02</w:t>
            </w:r>
          </w:p>
        </w:tc>
        <w:tc>
          <w:tcPr>
            <w:tcW w:w="9.02%" w:type="pct"/>
          </w:tcPr>
          <w:p w14:paraId="0F90538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2EE0E2CB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1,979,637.02</w:t>
            </w:r>
          </w:p>
        </w:tc>
        <w:tc>
          <w:tcPr>
            <w:tcW w:w="9.220000000000001%" w:type="pct"/>
          </w:tcPr>
          <w:p w14:paraId="0469588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58769B52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4,399,193.39</w:t>
            </w:r>
          </w:p>
        </w:tc>
        <w:tc>
          <w:tcPr>
            <w:tcW w:w="8.96%" w:type="pct"/>
          </w:tcPr>
          <w:p w14:paraId="593175E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6E0B7418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center"/>
            <w:hideMark/>
          </w:tcPr>
          <w:p w14:paraId="7E819D7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Human resources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4D8309A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445,019.82</w:t>
            </w:r>
          </w:p>
        </w:tc>
        <w:tc>
          <w:tcPr>
            <w:tcW w:w="9.02%" w:type="pct"/>
          </w:tcPr>
          <w:p w14:paraId="3716AF6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7C52CFE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667,529.73</w:t>
            </w:r>
          </w:p>
        </w:tc>
        <w:tc>
          <w:tcPr>
            <w:tcW w:w="9.220000000000001%" w:type="pct"/>
          </w:tcPr>
          <w:p w14:paraId="100010C5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6D8FFC4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1,483,399.39</w:t>
            </w:r>
          </w:p>
        </w:tc>
        <w:tc>
          <w:tcPr>
            <w:tcW w:w="8.96%" w:type="pct"/>
          </w:tcPr>
          <w:p w14:paraId="47CF12A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207790B5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bottom"/>
            <w:hideMark/>
          </w:tcPr>
          <w:p w14:paraId="4871BE5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Variable overheads 25%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4EA01919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496,111.30</w:t>
            </w:r>
          </w:p>
        </w:tc>
        <w:tc>
          <w:tcPr>
            <w:tcW w:w="9.02%" w:type="pct"/>
          </w:tcPr>
          <w:p w14:paraId="6EEFB9D5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7DB913D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744,166.96</w:t>
            </w:r>
          </w:p>
        </w:tc>
        <w:tc>
          <w:tcPr>
            <w:tcW w:w="9.220000000000001%" w:type="pct"/>
          </w:tcPr>
          <w:p w14:paraId="403B1BD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36A8B165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1,653,704.35</w:t>
            </w:r>
          </w:p>
        </w:tc>
        <w:tc>
          <w:tcPr>
            <w:tcW w:w="8.96%" w:type="pct"/>
          </w:tcPr>
          <w:p w14:paraId="00AA4DC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3E4CE2FE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bottom"/>
            <w:hideMark/>
          </w:tcPr>
          <w:p w14:paraId="25F7446D" w14:textId="77777777" w:rsidR="00B677D6" w:rsidRPr="00591E45" w:rsidRDefault="00B677D6" w:rsidP="008F4D4F">
            <w:pPr>
              <w:spacing w:before="6pt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  <w:t>TOTAL RECURRENT COST IN USD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1A08D251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2,480,556.52</w:t>
            </w:r>
          </w:p>
        </w:tc>
        <w:tc>
          <w:tcPr>
            <w:tcW w:w="9.02%" w:type="pct"/>
            <w:vAlign w:val="bottom"/>
          </w:tcPr>
          <w:p w14:paraId="5F793EE9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0.66</w:t>
            </w: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496F4BCB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3,720,834.78</w:t>
            </w:r>
          </w:p>
        </w:tc>
        <w:tc>
          <w:tcPr>
            <w:tcW w:w="9.220000000000001%" w:type="pct"/>
            <w:vAlign w:val="bottom"/>
          </w:tcPr>
          <w:p w14:paraId="4DBB967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1.00</w:t>
            </w: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30894142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8,268,521.73</w:t>
            </w:r>
          </w:p>
        </w:tc>
        <w:tc>
          <w:tcPr>
            <w:tcW w:w="8.96%" w:type="pct"/>
            <w:vAlign w:val="bottom"/>
          </w:tcPr>
          <w:p w14:paraId="1C994085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2.20</w:t>
            </w:r>
          </w:p>
        </w:tc>
      </w:tr>
      <w:tr w:rsidR="00B677D6" w:rsidRPr="00591E45" w14:paraId="06DC241B" w14:textId="77777777" w:rsidTr="008F4D4F">
        <w:trPr>
          <w:trHeight w:val="290"/>
        </w:trPr>
        <w:tc>
          <w:tcPr>
            <w:tcW w:w="15.94%" w:type="pct"/>
            <w:shd w:val="clear" w:color="auto" w:fill="D9D9D9"/>
            <w:noWrap/>
            <w:vAlign w:val="bottom"/>
            <w:hideMark/>
          </w:tcPr>
          <w:p w14:paraId="26ACF85A" w14:textId="77777777" w:rsidR="00B677D6" w:rsidRPr="00591E45" w:rsidRDefault="00B677D6" w:rsidP="008F4D4F">
            <w:pPr>
              <w:spacing w:before="6pt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Utilization 2.00</w:t>
            </w:r>
          </w:p>
        </w:tc>
        <w:tc>
          <w:tcPr>
            <w:tcW w:w="17.38%" w:type="pct"/>
            <w:shd w:val="clear" w:color="auto" w:fill="D9D9D9"/>
            <w:noWrap/>
            <w:vAlign w:val="bottom"/>
            <w:hideMark/>
          </w:tcPr>
          <w:p w14:paraId="54C05283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2%" w:type="pct"/>
            <w:shd w:val="clear" w:color="auto" w:fill="D9D9D9"/>
          </w:tcPr>
          <w:p w14:paraId="712A3FCE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  <w:tc>
          <w:tcPr>
            <w:tcW w:w="18.08%" w:type="pct"/>
            <w:shd w:val="clear" w:color="auto" w:fill="D9D9D9"/>
            <w:noWrap/>
            <w:vAlign w:val="bottom"/>
            <w:hideMark/>
          </w:tcPr>
          <w:p w14:paraId="7CDEC854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220000000000001%" w:type="pct"/>
            <w:shd w:val="clear" w:color="auto" w:fill="D9D9D9"/>
          </w:tcPr>
          <w:p w14:paraId="09B84085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  <w:tc>
          <w:tcPr>
            <w:tcW w:w="21.4%" w:type="pct"/>
            <w:shd w:val="clear" w:color="auto" w:fill="D9D9D9"/>
            <w:noWrap/>
            <w:vAlign w:val="bottom"/>
            <w:hideMark/>
          </w:tcPr>
          <w:p w14:paraId="7C8FE77C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8.96%" w:type="pct"/>
            <w:shd w:val="clear" w:color="auto" w:fill="D9D9D9"/>
          </w:tcPr>
          <w:p w14:paraId="37B07097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</w:tr>
      <w:tr w:rsidR="00B677D6" w:rsidRPr="00591E45" w14:paraId="087AD02A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center"/>
            <w:hideMark/>
          </w:tcPr>
          <w:p w14:paraId="4661CBB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 xml:space="preserve">Consultation costs 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30D11641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878,669.53</w:t>
            </w:r>
          </w:p>
        </w:tc>
        <w:tc>
          <w:tcPr>
            <w:tcW w:w="9.02%" w:type="pct"/>
          </w:tcPr>
          <w:p w14:paraId="604F8F3B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6736BF8B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1,318,004.30</w:t>
            </w:r>
          </w:p>
        </w:tc>
        <w:tc>
          <w:tcPr>
            <w:tcW w:w="9.220000000000001%" w:type="pct"/>
          </w:tcPr>
          <w:p w14:paraId="3A5F340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715BC609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2,928,898.44</w:t>
            </w:r>
          </w:p>
        </w:tc>
        <w:tc>
          <w:tcPr>
            <w:tcW w:w="8.96%" w:type="pct"/>
          </w:tcPr>
          <w:p w14:paraId="68C92AC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52F228AD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center"/>
            <w:hideMark/>
          </w:tcPr>
          <w:p w14:paraId="6A9093C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Drug costs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47812B4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5,279,032.06</w:t>
            </w:r>
          </w:p>
        </w:tc>
        <w:tc>
          <w:tcPr>
            <w:tcW w:w="9.02%" w:type="pct"/>
          </w:tcPr>
          <w:p w14:paraId="4167212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2C6FE2D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7,918,548.09</w:t>
            </w:r>
          </w:p>
        </w:tc>
        <w:tc>
          <w:tcPr>
            <w:tcW w:w="9.220000000000001%" w:type="pct"/>
          </w:tcPr>
          <w:p w14:paraId="5B5ED7E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608DABC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17,596,773.54</w:t>
            </w:r>
          </w:p>
        </w:tc>
        <w:tc>
          <w:tcPr>
            <w:tcW w:w="8.96%" w:type="pct"/>
          </w:tcPr>
          <w:p w14:paraId="360402F4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4F30C275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center"/>
            <w:hideMark/>
          </w:tcPr>
          <w:p w14:paraId="2F0F4D1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Human resources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790E2A52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1,780,079.27</w:t>
            </w:r>
          </w:p>
        </w:tc>
        <w:tc>
          <w:tcPr>
            <w:tcW w:w="9.02%" w:type="pct"/>
          </w:tcPr>
          <w:p w14:paraId="2F7A955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0CC0B0C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2,670,118.90</w:t>
            </w:r>
          </w:p>
        </w:tc>
        <w:tc>
          <w:tcPr>
            <w:tcW w:w="9.220000000000001%" w:type="pct"/>
          </w:tcPr>
          <w:p w14:paraId="574AB1A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678D90E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5,933,597.56</w:t>
            </w:r>
          </w:p>
        </w:tc>
        <w:tc>
          <w:tcPr>
            <w:tcW w:w="8.96%" w:type="pct"/>
          </w:tcPr>
          <w:p w14:paraId="3CFCF431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7392B0C0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bottom"/>
            <w:hideMark/>
          </w:tcPr>
          <w:p w14:paraId="1CA0E75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Variable overheads 25%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63D87AA1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1,984,445.22</w:t>
            </w:r>
          </w:p>
        </w:tc>
        <w:tc>
          <w:tcPr>
            <w:tcW w:w="9.02%" w:type="pct"/>
          </w:tcPr>
          <w:p w14:paraId="02E553E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32D0572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2,976,667.82</w:t>
            </w:r>
          </w:p>
        </w:tc>
        <w:tc>
          <w:tcPr>
            <w:tcW w:w="9.220000000000001%" w:type="pct"/>
          </w:tcPr>
          <w:p w14:paraId="7DAB45C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2EA114B9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6,614,817.39</w:t>
            </w:r>
          </w:p>
        </w:tc>
        <w:tc>
          <w:tcPr>
            <w:tcW w:w="8.96%" w:type="pct"/>
          </w:tcPr>
          <w:p w14:paraId="74A4DBD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3CF5ADF6" w14:textId="77777777" w:rsidTr="008F4D4F">
        <w:trPr>
          <w:trHeight w:val="290"/>
        </w:trPr>
        <w:tc>
          <w:tcPr>
            <w:tcW w:w="15.94%" w:type="pct"/>
            <w:shd w:val="clear" w:color="auto" w:fill="auto"/>
            <w:noWrap/>
            <w:vAlign w:val="bottom"/>
            <w:hideMark/>
          </w:tcPr>
          <w:p w14:paraId="5D93BA72" w14:textId="77777777" w:rsidR="00B677D6" w:rsidRPr="00591E45" w:rsidRDefault="00B677D6" w:rsidP="008F4D4F">
            <w:pPr>
              <w:spacing w:before="6pt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  <w:t>TOTAL RECURRENT COST IN USD</w:t>
            </w:r>
          </w:p>
        </w:tc>
        <w:tc>
          <w:tcPr>
            <w:tcW w:w="17.38%" w:type="pct"/>
            <w:shd w:val="clear" w:color="auto" w:fill="auto"/>
            <w:noWrap/>
            <w:vAlign w:val="bottom"/>
            <w:hideMark/>
          </w:tcPr>
          <w:p w14:paraId="07649BA2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9,922,226.08</w:t>
            </w:r>
          </w:p>
        </w:tc>
        <w:tc>
          <w:tcPr>
            <w:tcW w:w="9.02%" w:type="pct"/>
            <w:vAlign w:val="bottom"/>
          </w:tcPr>
          <w:p w14:paraId="39B33EC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2.64</w:t>
            </w:r>
          </w:p>
        </w:tc>
        <w:tc>
          <w:tcPr>
            <w:tcW w:w="18.08%" w:type="pct"/>
            <w:shd w:val="clear" w:color="auto" w:fill="auto"/>
            <w:noWrap/>
            <w:vAlign w:val="bottom"/>
            <w:hideMark/>
          </w:tcPr>
          <w:p w14:paraId="2C7B9F6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14,883,339.12</w:t>
            </w:r>
          </w:p>
        </w:tc>
        <w:tc>
          <w:tcPr>
            <w:tcW w:w="9.220000000000001%" w:type="pct"/>
            <w:vAlign w:val="bottom"/>
          </w:tcPr>
          <w:p w14:paraId="1D9FD13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3.96</w:t>
            </w:r>
          </w:p>
        </w:tc>
        <w:tc>
          <w:tcPr>
            <w:tcW w:w="21.4%" w:type="pct"/>
            <w:shd w:val="clear" w:color="auto" w:fill="auto"/>
            <w:noWrap/>
            <w:vAlign w:val="bottom"/>
            <w:hideMark/>
          </w:tcPr>
          <w:p w14:paraId="172B1DA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33,074,086.93</w:t>
            </w:r>
          </w:p>
        </w:tc>
        <w:tc>
          <w:tcPr>
            <w:tcW w:w="8.96%" w:type="pct"/>
            <w:vAlign w:val="bottom"/>
          </w:tcPr>
          <w:p w14:paraId="6C1D593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8.80</w:t>
            </w:r>
          </w:p>
        </w:tc>
      </w:tr>
    </w:tbl>
    <w:p w14:paraId="381F9BBF" w14:textId="77777777" w:rsidR="00B677D6" w:rsidRPr="00591E45" w:rsidRDefault="00B677D6" w:rsidP="00B677D6">
      <w:pPr>
        <w:spacing w:before="6pt" w:after="8pt"/>
        <w:jc w:val="both"/>
        <w:rPr>
          <w:rFonts w:ascii="Times New Roman" w:eastAsia="Calibri" w:hAnsi="Times New Roman" w:cs="Times New Roman"/>
          <w:szCs w:val="22"/>
          <w:shd w:val="clear" w:color="auto" w:fill="FFFFFF"/>
          <w:lang w:val="en-US"/>
        </w:rPr>
        <w:sectPr w:rsidR="00B677D6" w:rsidRPr="00591E45" w:rsidSect="00B677D6">
          <w:type w:val="continuous"/>
          <w:pgSz w:w="792pt" w:h="612pt" w:orient="landscape"/>
          <w:pgMar w:top="72pt" w:right="72pt" w:bottom="72pt" w:left="72pt" w:header="36pt" w:footer="36pt" w:gutter="0pt"/>
          <w:lnNumType w:countBy="1" w:restart="continuous"/>
          <w:cols w:space="36pt"/>
          <w:docGrid w:linePitch="360"/>
        </w:sectPr>
      </w:pPr>
    </w:p>
    <w:p w14:paraId="2FA6BF03" w14:textId="77777777" w:rsidR="00B677D6" w:rsidRPr="00591E45" w:rsidRDefault="00B677D6" w:rsidP="00B677D6">
      <w:pPr>
        <w:spacing w:before="6pt" w:after="8pt" w:line="24pt" w:lineRule="auto"/>
        <w:rPr>
          <w:rFonts w:ascii="Calibri" w:eastAsia="Calibri" w:hAnsi="Calibri" w:cs="Times New Roman"/>
          <w:b/>
          <w:bCs/>
          <w:sz w:val="22"/>
          <w:szCs w:val="22"/>
          <w:shd w:val="clear" w:color="auto" w:fill="FFFFFF"/>
          <w:lang w:val="en-US"/>
        </w:rPr>
      </w:pPr>
      <w:r w:rsidRPr="00591E45">
        <w:rPr>
          <w:rFonts w:ascii="Calibri" w:eastAsia="Calibri" w:hAnsi="Calibri" w:cs="Times New Roman"/>
          <w:b/>
          <w:bCs/>
          <w:sz w:val="22"/>
          <w:szCs w:val="22"/>
          <w:shd w:val="clear" w:color="auto" w:fill="FFFFFF"/>
          <w:lang w:val="en-US"/>
        </w:rPr>
        <w:lastRenderedPageBreak/>
        <w:t>Annex II</w:t>
      </w:r>
    </w:p>
    <w:p w14:paraId="2AFA9AA7" w14:textId="77777777" w:rsidR="00B677D6" w:rsidRPr="00591E45" w:rsidRDefault="00B677D6" w:rsidP="00B677D6">
      <w:pPr>
        <w:spacing w:before="6pt" w:after="8pt" w:line="24pt" w:lineRule="auto"/>
        <w:rPr>
          <w:rFonts w:ascii="Calibri" w:eastAsia="Times New Roman" w:hAnsi="Calibri" w:cs="Times New Roman"/>
          <w:color w:val="000000"/>
          <w:sz w:val="22"/>
          <w:szCs w:val="22"/>
          <w:lang w:val="en-US" w:eastAsia="de-DE"/>
        </w:rPr>
        <w:sectPr w:rsidR="00B677D6" w:rsidRPr="00591E45" w:rsidSect="00B677D6">
          <w:type w:val="continuous"/>
          <w:pgSz w:w="612pt" w:h="792pt"/>
          <w:pgMar w:top="72pt" w:right="72pt" w:bottom="72pt" w:left="72pt" w:header="36pt" w:footer="36pt" w:gutter="0pt"/>
          <w:lnNumType w:countBy="1" w:restart="continuous"/>
          <w:cols w:space="36pt"/>
          <w:docGrid w:linePitch="360"/>
        </w:sectPr>
      </w:pPr>
      <w:r w:rsidRPr="00591E45">
        <w:rPr>
          <w:rFonts w:ascii="Calibri" w:eastAsia="Calibri" w:hAnsi="Calibri" w:cs="Times New Roman"/>
          <w:b/>
          <w:bCs/>
          <w:sz w:val="22"/>
          <w:szCs w:val="22"/>
          <w:shd w:val="clear" w:color="auto" w:fill="FFFFFF"/>
          <w:lang w:val="en-US"/>
        </w:rPr>
        <w:t xml:space="preserve">Table 4 </w:t>
      </w:r>
      <w:r w:rsidRPr="00591E45">
        <w:rPr>
          <w:rFonts w:ascii="Calibri" w:eastAsia="Calibri" w:hAnsi="Calibri" w:cs="Times New Roman"/>
          <w:sz w:val="22"/>
          <w:szCs w:val="22"/>
          <w:shd w:val="clear" w:color="auto" w:fill="FFFFFF"/>
          <w:lang w:val="en-US"/>
        </w:rPr>
        <w:t xml:space="preserve">presents the results from scenario analysis II, applying the highest recurrent cost of USD 5.00 per consultation. </w:t>
      </w:r>
      <w:r w:rsidRPr="00591E45">
        <w:rPr>
          <w:rFonts w:ascii="Calibri" w:eastAsia="Times New Roman" w:hAnsi="Calibri" w:cs="Times New Roman"/>
          <w:color w:val="000000"/>
          <w:sz w:val="22"/>
          <w:szCs w:val="22"/>
          <w:lang w:val="en-US" w:eastAsia="de-DE"/>
        </w:rPr>
        <w:t xml:space="preserve">The annual costs would be </w:t>
      </w:r>
      <w:r w:rsidRPr="00591E45">
        <w:rPr>
          <w:rFonts w:ascii="Calibri" w:eastAsia="Calibri" w:hAnsi="Calibri" w:cs="Times New Roman"/>
          <w:sz w:val="22"/>
          <w:szCs w:val="22"/>
          <w:lang w:val="en-US"/>
        </w:rPr>
        <w:t xml:space="preserve">USD 1,614,197.26 </w:t>
      </w:r>
      <w:r w:rsidRPr="00591E45">
        <w:rPr>
          <w:rFonts w:ascii="Calibri" w:eastAsia="Times New Roman" w:hAnsi="Calibri" w:cs="Times New Roman"/>
          <w:color w:val="000000"/>
          <w:sz w:val="22"/>
          <w:szCs w:val="22"/>
          <w:lang w:val="en-US" w:eastAsia="de-DE"/>
        </w:rPr>
        <w:t xml:space="preserve">at the national level, assuming a target population of 6% and curative contacts per person per year of 0.25. Expanding the target population to 20% and the curative contacts per person per year to 0.50 would result in a cost of </w:t>
      </w:r>
      <w:r w:rsidRPr="00591E45">
        <w:rPr>
          <w:rFonts w:ascii="Calibri" w:eastAsia="Calibri" w:hAnsi="Calibri" w:cs="Times New Roman"/>
          <w:sz w:val="22"/>
          <w:szCs w:val="22"/>
          <w:lang w:val="en-US"/>
        </w:rPr>
        <w:t>USD 10,761,315.10</w:t>
      </w:r>
      <w:r w:rsidRPr="00591E45">
        <w:rPr>
          <w:rFonts w:ascii="Calibri" w:eastAsia="Times New Roman" w:hAnsi="Calibri" w:cs="Times New Roman"/>
          <w:color w:val="000000"/>
          <w:sz w:val="22"/>
          <w:szCs w:val="22"/>
          <w:lang w:val="en-US" w:eastAsia="de-DE"/>
        </w:rPr>
        <w:t>, equivalent to 2.86 % of Burkina Faso's healthcare budget in 2019.</w:t>
      </w:r>
    </w:p>
    <w:p w14:paraId="6B0BB3DC" w14:textId="77777777" w:rsidR="00B677D6" w:rsidRPr="00591E45" w:rsidRDefault="00B677D6" w:rsidP="00B677D6">
      <w:pPr>
        <w:widowControl w:val="0"/>
        <w:suppressLineNumbers/>
        <w:suppressAutoHyphens/>
        <w:autoSpaceDN w:val="0"/>
        <w:spacing w:before="6pt"/>
        <w:textAlignment w:val="baseline"/>
        <w:rPr>
          <w:rFonts w:ascii="Calibri" w:eastAsia="Calibri" w:hAnsi="Calibri" w:cs="Calibri"/>
          <w:iCs/>
          <w:sz w:val="22"/>
          <w:szCs w:val="22"/>
          <w:lang w:val="en-US"/>
        </w:rPr>
      </w:pPr>
      <w:r w:rsidRPr="00591E45">
        <w:rPr>
          <w:rFonts w:ascii="Calibri" w:eastAsia="Arial Unicode MS" w:hAnsi="Calibri" w:cs="Calibri"/>
          <w:b/>
          <w:bCs/>
          <w:iCs/>
          <w:kern w:val="3"/>
          <w:sz w:val="22"/>
          <w:szCs w:val="22"/>
          <w:bdr w:val="none" w:sz="0" w:space="0" w:color="auto" w:frame="1"/>
          <w:shd w:val="clear" w:color="auto" w:fill="FFFFFF"/>
          <w:lang w:val="en-US" w:eastAsia="zh-CN" w:bidi="hi-IN"/>
        </w:rPr>
        <w:lastRenderedPageBreak/>
        <w:t>Table 4.</w:t>
      </w:r>
      <w:r w:rsidRPr="00591E45">
        <w:rPr>
          <w:rFonts w:ascii="Calibri" w:eastAsia="Arial Unicode MS" w:hAnsi="Calibri" w:cs="Calibri"/>
          <w:iCs/>
          <w:kern w:val="3"/>
          <w:sz w:val="22"/>
          <w:szCs w:val="22"/>
          <w:bdr w:val="none" w:sz="0" w:space="0" w:color="auto" w:frame="1"/>
          <w:shd w:val="clear" w:color="auto" w:fill="FFFFFF"/>
          <w:lang w:val="en-US" w:eastAsia="zh-CN" w:bidi="hi-IN"/>
        </w:rPr>
        <w:t xml:space="preserve"> </w:t>
      </w:r>
      <w:r w:rsidRPr="00591E45">
        <w:rPr>
          <w:rFonts w:ascii="Calibri" w:eastAsia="Calibri" w:hAnsi="Calibri" w:cs="Calibri"/>
          <w:iCs/>
          <w:sz w:val="22"/>
          <w:szCs w:val="22"/>
          <w:lang w:val="en-US"/>
        </w:rPr>
        <w:t>Scenario analysis II. Cost and budget impact estimate applying different targeting thresholds and population coverage.</w:t>
      </w:r>
    </w:p>
    <w:tbl>
      <w:tblPr>
        <w:tblW w:w="100.04%" w:type="pct"/>
        <w:tblInd w:w="0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1795"/>
        <w:gridCol w:w="2161"/>
        <w:gridCol w:w="1169"/>
        <w:gridCol w:w="2881"/>
        <w:gridCol w:w="1169"/>
        <w:gridCol w:w="2609"/>
        <w:gridCol w:w="1171"/>
      </w:tblGrid>
      <w:tr w:rsidR="00B677D6" w:rsidRPr="00591E45" w14:paraId="5E7E2400" w14:textId="77777777" w:rsidTr="008F4D4F">
        <w:trPr>
          <w:trHeight w:val="290"/>
        </w:trPr>
        <w:tc>
          <w:tcPr>
            <w:tcW w:w="13.86%" w:type="pct"/>
            <w:shd w:val="clear" w:color="auto" w:fill="AEAAAA"/>
            <w:noWrap/>
            <w:vAlign w:val="bottom"/>
            <w:hideMark/>
          </w:tcPr>
          <w:p w14:paraId="3AFFEBCB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  <w:p w14:paraId="0705A1BE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Cost category</w:t>
            </w:r>
          </w:p>
        </w:tc>
        <w:tc>
          <w:tcPr>
            <w:tcW w:w="16.68%" w:type="pct"/>
            <w:shd w:val="clear" w:color="auto" w:fill="AEAAAA"/>
            <w:noWrap/>
            <w:vAlign w:val="bottom"/>
            <w:hideMark/>
          </w:tcPr>
          <w:p w14:paraId="7E1AA513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 xml:space="preserve">Base case: Targeting threshold 6% of the population:1,290,611 </w:t>
            </w:r>
          </w:p>
        </w:tc>
        <w:tc>
          <w:tcPr>
            <w:tcW w:w="9.02%" w:type="pct"/>
            <w:shd w:val="clear" w:color="auto" w:fill="AEAAAA"/>
            <w:vAlign w:val="bottom"/>
          </w:tcPr>
          <w:p w14:paraId="5F3BCCCD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 xml:space="preserve">% of the healthcare budget </w:t>
            </w:r>
          </w:p>
        </w:tc>
        <w:tc>
          <w:tcPr>
            <w:tcW w:w="22.24%" w:type="pct"/>
            <w:shd w:val="clear" w:color="auto" w:fill="AEAAAA"/>
            <w:noWrap/>
            <w:vAlign w:val="bottom"/>
            <w:hideMark/>
          </w:tcPr>
          <w:p w14:paraId="142CBAE7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Medium assumption scenario: Targeting threshold 9% of the population: 1,935,916</w:t>
            </w:r>
          </w:p>
        </w:tc>
        <w:tc>
          <w:tcPr>
            <w:tcW w:w="9.02%" w:type="pct"/>
            <w:shd w:val="clear" w:color="auto" w:fill="AEAAAA"/>
            <w:vAlign w:val="bottom"/>
          </w:tcPr>
          <w:p w14:paraId="130AEF03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 xml:space="preserve">% of the healthcare budget </w:t>
            </w:r>
          </w:p>
        </w:tc>
        <w:tc>
          <w:tcPr>
            <w:tcW w:w="20.14%" w:type="pct"/>
            <w:shd w:val="clear" w:color="auto" w:fill="AEAAAA"/>
            <w:noWrap/>
            <w:vAlign w:val="bottom"/>
            <w:hideMark/>
          </w:tcPr>
          <w:p w14:paraId="257FF752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 xml:space="preserve">High assumption scenario Targeting threshold 20% of the population: 4,302,036 </w:t>
            </w:r>
          </w:p>
        </w:tc>
        <w:tc>
          <w:tcPr>
            <w:tcW w:w="9.04%" w:type="pct"/>
            <w:shd w:val="clear" w:color="auto" w:fill="AEAAAA"/>
            <w:vAlign w:val="bottom"/>
          </w:tcPr>
          <w:p w14:paraId="393FC53A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 xml:space="preserve">% of the healthcare budget </w:t>
            </w:r>
          </w:p>
        </w:tc>
      </w:tr>
      <w:tr w:rsidR="00B677D6" w:rsidRPr="00591E45" w14:paraId="7518DC1F" w14:textId="77777777" w:rsidTr="008F4D4F">
        <w:trPr>
          <w:trHeight w:val="290"/>
        </w:trPr>
        <w:tc>
          <w:tcPr>
            <w:tcW w:w="13.86%" w:type="pct"/>
            <w:shd w:val="clear" w:color="auto" w:fill="D0CECE"/>
            <w:noWrap/>
            <w:vAlign w:val="bottom"/>
          </w:tcPr>
          <w:p w14:paraId="2837FD5A" w14:textId="77777777" w:rsidR="00B677D6" w:rsidRPr="00591E45" w:rsidRDefault="00B677D6" w:rsidP="008F4D4F">
            <w:pPr>
              <w:spacing w:before="6pt"/>
              <w:jc w:val="both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Utilization 0.25</w:t>
            </w:r>
          </w:p>
        </w:tc>
        <w:tc>
          <w:tcPr>
            <w:tcW w:w="16.68%" w:type="pct"/>
            <w:shd w:val="clear" w:color="auto" w:fill="D0CECE"/>
            <w:noWrap/>
            <w:vAlign w:val="bottom"/>
          </w:tcPr>
          <w:p w14:paraId="06FF280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2%" w:type="pct"/>
            <w:shd w:val="clear" w:color="auto" w:fill="D0CECE"/>
            <w:vAlign w:val="bottom"/>
          </w:tcPr>
          <w:p w14:paraId="05AEA50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D0CECE"/>
            <w:noWrap/>
            <w:vAlign w:val="bottom"/>
          </w:tcPr>
          <w:p w14:paraId="17FEB2C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2%" w:type="pct"/>
            <w:shd w:val="clear" w:color="auto" w:fill="D0CECE"/>
            <w:vAlign w:val="bottom"/>
          </w:tcPr>
          <w:p w14:paraId="211D219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D0CECE"/>
            <w:noWrap/>
            <w:vAlign w:val="bottom"/>
          </w:tcPr>
          <w:p w14:paraId="759F22A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4%" w:type="pct"/>
            <w:shd w:val="clear" w:color="auto" w:fill="D0CECE"/>
            <w:vAlign w:val="bottom"/>
          </w:tcPr>
          <w:p w14:paraId="7502523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1C5A2CE1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center"/>
            <w:hideMark/>
          </w:tcPr>
          <w:p w14:paraId="55C190D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 xml:space="preserve">Consultation costs 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7DDF5502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109,833.69</w:t>
            </w:r>
          </w:p>
        </w:tc>
        <w:tc>
          <w:tcPr>
            <w:tcW w:w="9.02%" w:type="pct"/>
          </w:tcPr>
          <w:p w14:paraId="7BCD2F0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0992F359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164,750.54</w:t>
            </w:r>
          </w:p>
        </w:tc>
        <w:tc>
          <w:tcPr>
            <w:tcW w:w="9.02%" w:type="pct"/>
          </w:tcPr>
          <w:p w14:paraId="658E46E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1E4377F2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366,112.31</w:t>
            </w:r>
          </w:p>
        </w:tc>
        <w:tc>
          <w:tcPr>
            <w:tcW w:w="9.04%" w:type="pct"/>
          </w:tcPr>
          <w:p w14:paraId="1D5D38D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0DF74A3B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center"/>
            <w:hideMark/>
          </w:tcPr>
          <w:p w14:paraId="4A7883F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Drug costs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0C6C48F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959,014.21</w:t>
            </w:r>
          </w:p>
        </w:tc>
        <w:tc>
          <w:tcPr>
            <w:tcW w:w="9.02%" w:type="pct"/>
          </w:tcPr>
          <w:p w14:paraId="3139081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73F78589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1,438,521.32</w:t>
            </w:r>
          </w:p>
        </w:tc>
        <w:tc>
          <w:tcPr>
            <w:tcW w:w="9.02%" w:type="pct"/>
          </w:tcPr>
          <w:p w14:paraId="79CAC14B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72664311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3,196,714.04</w:t>
            </w:r>
          </w:p>
        </w:tc>
        <w:tc>
          <w:tcPr>
            <w:tcW w:w="9.04%" w:type="pct"/>
          </w:tcPr>
          <w:p w14:paraId="5827E7D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40F87F75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center"/>
            <w:hideMark/>
          </w:tcPr>
          <w:p w14:paraId="62E7625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Human resources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61B4AA8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222,509.91</w:t>
            </w:r>
          </w:p>
        </w:tc>
        <w:tc>
          <w:tcPr>
            <w:tcW w:w="9.02%" w:type="pct"/>
          </w:tcPr>
          <w:p w14:paraId="6AFFC23B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70CB378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333,764.86</w:t>
            </w:r>
          </w:p>
        </w:tc>
        <w:tc>
          <w:tcPr>
            <w:tcW w:w="9.02%" w:type="pct"/>
          </w:tcPr>
          <w:p w14:paraId="3F1F58F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30A4EAD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741,699.70</w:t>
            </w:r>
          </w:p>
        </w:tc>
        <w:tc>
          <w:tcPr>
            <w:tcW w:w="9.04%" w:type="pct"/>
          </w:tcPr>
          <w:p w14:paraId="41D26EF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73EB87AA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bottom"/>
            <w:hideMark/>
          </w:tcPr>
          <w:p w14:paraId="183E710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Variable overheads 25%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2E8355B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322,839.45</w:t>
            </w:r>
          </w:p>
        </w:tc>
        <w:tc>
          <w:tcPr>
            <w:tcW w:w="9.02%" w:type="pct"/>
          </w:tcPr>
          <w:p w14:paraId="7F7B1E9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3151AF5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484,259.18</w:t>
            </w:r>
          </w:p>
        </w:tc>
        <w:tc>
          <w:tcPr>
            <w:tcW w:w="9.02%" w:type="pct"/>
          </w:tcPr>
          <w:p w14:paraId="25C1969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0EBC13B4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1,076,131.51</w:t>
            </w:r>
          </w:p>
        </w:tc>
        <w:tc>
          <w:tcPr>
            <w:tcW w:w="9.04%" w:type="pct"/>
          </w:tcPr>
          <w:p w14:paraId="604C8DD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7D4A0620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bottom"/>
            <w:hideMark/>
          </w:tcPr>
          <w:p w14:paraId="2DC074ED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  <w:t>TOTAL RECURRENT COST IN USD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4B527EC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1,614,197.26</w:t>
            </w:r>
          </w:p>
        </w:tc>
        <w:tc>
          <w:tcPr>
            <w:tcW w:w="9.02%" w:type="pct"/>
            <w:vAlign w:val="bottom"/>
          </w:tcPr>
          <w:p w14:paraId="36D6EB4B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u w:val="double"/>
              </w:rPr>
              <w:t>0.43</w:t>
            </w: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6E0D62E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2,421,295.90</w:t>
            </w:r>
          </w:p>
        </w:tc>
        <w:tc>
          <w:tcPr>
            <w:tcW w:w="9.02%" w:type="pct"/>
            <w:vAlign w:val="bottom"/>
          </w:tcPr>
          <w:p w14:paraId="12981CC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0.64</w:t>
            </w: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70949E49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5,380,657.55</w:t>
            </w:r>
          </w:p>
        </w:tc>
        <w:tc>
          <w:tcPr>
            <w:tcW w:w="9.04%" w:type="pct"/>
            <w:vAlign w:val="bottom"/>
          </w:tcPr>
          <w:p w14:paraId="108945D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1.43</w:t>
            </w:r>
          </w:p>
        </w:tc>
      </w:tr>
      <w:tr w:rsidR="00B677D6" w:rsidRPr="00591E45" w14:paraId="651319F1" w14:textId="77777777" w:rsidTr="008F4D4F">
        <w:trPr>
          <w:trHeight w:val="290"/>
        </w:trPr>
        <w:tc>
          <w:tcPr>
            <w:tcW w:w="13.86%" w:type="pct"/>
            <w:shd w:val="clear" w:color="auto" w:fill="D9D9D9"/>
            <w:noWrap/>
            <w:vAlign w:val="bottom"/>
            <w:hideMark/>
          </w:tcPr>
          <w:p w14:paraId="1BD9E779" w14:textId="77777777" w:rsidR="00B677D6" w:rsidRPr="00591E45" w:rsidRDefault="00B677D6" w:rsidP="008F4D4F">
            <w:pPr>
              <w:spacing w:before="6pt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Utilization 0.50</w:t>
            </w:r>
          </w:p>
        </w:tc>
        <w:tc>
          <w:tcPr>
            <w:tcW w:w="16.68%" w:type="pct"/>
            <w:shd w:val="clear" w:color="auto" w:fill="D9D9D9"/>
            <w:noWrap/>
            <w:vAlign w:val="bottom"/>
            <w:hideMark/>
          </w:tcPr>
          <w:p w14:paraId="1191CB86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2%" w:type="pct"/>
            <w:shd w:val="clear" w:color="auto" w:fill="D9D9D9"/>
            <w:vAlign w:val="bottom"/>
          </w:tcPr>
          <w:p w14:paraId="2139A0D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  <w:tc>
          <w:tcPr>
            <w:tcW w:w="22.24%" w:type="pct"/>
            <w:shd w:val="clear" w:color="auto" w:fill="D9D9D9"/>
            <w:noWrap/>
            <w:vAlign w:val="bottom"/>
            <w:hideMark/>
          </w:tcPr>
          <w:p w14:paraId="3ADCCED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2%" w:type="pct"/>
            <w:shd w:val="clear" w:color="auto" w:fill="D9D9D9"/>
            <w:vAlign w:val="bottom"/>
          </w:tcPr>
          <w:p w14:paraId="43F813C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  <w:tc>
          <w:tcPr>
            <w:tcW w:w="20.14%" w:type="pct"/>
            <w:shd w:val="clear" w:color="auto" w:fill="D9D9D9"/>
            <w:noWrap/>
            <w:vAlign w:val="bottom"/>
            <w:hideMark/>
          </w:tcPr>
          <w:p w14:paraId="1F1B94E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4%" w:type="pct"/>
            <w:shd w:val="clear" w:color="auto" w:fill="D9D9D9"/>
            <w:vAlign w:val="bottom"/>
          </w:tcPr>
          <w:p w14:paraId="002D4DE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</w:tr>
      <w:tr w:rsidR="00B677D6" w:rsidRPr="00591E45" w14:paraId="722F3F74" w14:textId="77777777" w:rsidTr="008F4D4F">
        <w:trPr>
          <w:trHeight w:val="332"/>
        </w:trPr>
        <w:tc>
          <w:tcPr>
            <w:tcW w:w="13.86%" w:type="pct"/>
            <w:shd w:val="clear" w:color="auto" w:fill="auto"/>
            <w:noWrap/>
            <w:vAlign w:val="center"/>
            <w:hideMark/>
          </w:tcPr>
          <w:p w14:paraId="28D73022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 xml:space="preserve">Consultation costs 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625E5AB2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219,667.38</w:t>
            </w:r>
          </w:p>
        </w:tc>
        <w:tc>
          <w:tcPr>
            <w:tcW w:w="9.02%" w:type="pct"/>
            <w:vAlign w:val="bottom"/>
          </w:tcPr>
          <w:p w14:paraId="58CA506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647B754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329,501.07</w:t>
            </w:r>
          </w:p>
        </w:tc>
        <w:tc>
          <w:tcPr>
            <w:tcW w:w="9.02%" w:type="pct"/>
            <w:vAlign w:val="bottom"/>
          </w:tcPr>
          <w:p w14:paraId="6F4F1A4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48B00EC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732,224.61</w:t>
            </w:r>
          </w:p>
        </w:tc>
        <w:tc>
          <w:tcPr>
            <w:tcW w:w="9.04%" w:type="pct"/>
            <w:vAlign w:val="bottom"/>
          </w:tcPr>
          <w:p w14:paraId="2534B5CD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15D48978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center"/>
            <w:hideMark/>
          </w:tcPr>
          <w:p w14:paraId="19A23802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Drug costs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7F4B69BB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1,918,028.42</w:t>
            </w:r>
          </w:p>
        </w:tc>
        <w:tc>
          <w:tcPr>
            <w:tcW w:w="9.02%" w:type="pct"/>
            <w:vAlign w:val="bottom"/>
          </w:tcPr>
          <w:p w14:paraId="0B24364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0743FC1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2,877,042.64</w:t>
            </w:r>
          </w:p>
        </w:tc>
        <w:tc>
          <w:tcPr>
            <w:tcW w:w="9.02%" w:type="pct"/>
            <w:vAlign w:val="bottom"/>
          </w:tcPr>
          <w:p w14:paraId="562BE41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6CD9197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6,393,428.08</w:t>
            </w:r>
          </w:p>
        </w:tc>
        <w:tc>
          <w:tcPr>
            <w:tcW w:w="9.04%" w:type="pct"/>
            <w:vAlign w:val="bottom"/>
          </w:tcPr>
          <w:p w14:paraId="5FB3F54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69ADD197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center"/>
            <w:hideMark/>
          </w:tcPr>
          <w:p w14:paraId="15AA85A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Human resources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49D729D2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445,019.82</w:t>
            </w:r>
          </w:p>
        </w:tc>
        <w:tc>
          <w:tcPr>
            <w:tcW w:w="9.02%" w:type="pct"/>
            <w:vAlign w:val="bottom"/>
          </w:tcPr>
          <w:p w14:paraId="5E6C2D5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77132F99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667,529.73</w:t>
            </w:r>
          </w:p>
        </w:tc>
        <w:tc>
          <w:tcPr>
            <w:tcW w:w="9.02%" w:type="pct"/>
            <w:vAlign w:val="bottom"/>
          </w:tcPr>
          <w:p w14:paraId="3616031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05820CD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1,483,399.39</w:t>
            </w:r>
          </w:p>
        </w:tc>
        <w:tc>
          <w:tcPr>
            <w:tcW w:w="9.04%" w:type="pct"/>
            <w:vAlign w:val="bottom"/>
          </w:tcPr>
          <w:p w14:paraId="6933220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4EEA44FD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bottom"/>
            <w:hideMark/>
          </w:tcPr>
          <w:p w14:paraId="4C4E86A4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Variable overheads 25%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7B9013E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645,678.91</w:t>
            </w:r>
          </w:p>
        </w:tc>
        <w:tc>
          <w:tcPr>
            <w:tcW w:w="9.02%" w:type="pct"/>
            <w:vAlign w:val="bottom"/>
          </w:tcPr>
          <w:p w14:paraId="61593679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368BB5F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968,518.36</w:t>
            </w:r>
          </w:p>
        </w:tc>
        <w:tc>
          <w:tcPr>
            <w:tcW w:w="9.02%" w:type="pct"/>
            <w:vAlign w:val="bottom"/>
          </w:tcPr>
          <w:p w14:paraId="28D0C82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6C9B70E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2,152,263.02</w:t>
            </w:r>
          </w:p>
        </w:tc>
        <w:tc>
          <w:tcPr>
            <w:tcW w:w="9.04%" w:type="pct"/>
            <w:vAlign w:val="bottom"/>
          </w:tcPr>
          <w:p w14:paraId="224868D4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75E85377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bottom"/>
            <w:hideMark/>
          </w:tcPr>
          <w:p w14:paraId="0C656BB0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  <w:t>TOTAL RECURRENT COST IN USD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29E1073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3,228,394.53</w:t>
            </w:r>
          </w:p>
        </w:tc>
        <w:tc>
          <w:tcPr>
            <w:tcW w:w="9.02%" w:type="pct"/>
            <w:vAlign w:val="bottom"/>
          </w:tcPr>
          <w:p w14:paraId="38DFBA3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u w:val="double"/>
              </w:rPr>
              <w:t>0.86</w:t>
            </w: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79F821B4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4,842,591.79</w:t>
            </w:r>
          </w:p>
        </w:tc>
        <w:tc>
          <w:tcPr>
            <w:tcW w:w="9.02%" w:type="pct"/>
            <w:vAlign w:val="bottom"/>
          </w:tcPr>
          <w:p w14:paraId="3F31E00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1.29</w:t>
            </w: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776CBDF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10,761,315.10</w:t>
            </w:r>
          </w:p>
        </w:tc>
        <w:tc>
          <w:tcPr>
            <w:tcW w:w="9.04%" w:type="pct"/>
            <w:vAlign w:val="bottom"/>
          </w:tcPr>
          <w:p w14:paraId="21C0A0D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2.86</w:t>
            </w:r>
          </w:p>
        </w:tc>
      </w:tr>
      <w:tr w:rsidR="00B677D6" w:rsidRPr="00591E45" w14:paraId="4A73A3A5" w14:textId="77777777" w:rsidTr="008F4D4F">
        <w:trPr>
          <w:trHeight w:val="290"/>
        </w:trPr>
        <w:tc>
          <w:tcPr>
            <w:tcW w:w="13.86%" w:type="pct"/>
            <w:shd w:val="clear" w:color="auto" w:fill="D9D9D9"/>
            <w:noWrap/>
            <w:vAlign w:val="bottom"/>
            <w:hideMark/>
          </w:tcPr>
          <w:p w14:paraId="6CD6EEDE" w14:textId="77777777" w:rsidR="00B677D6" w:rsidRPr="00591E45" w:rsidRDefault="00B677D6" w:rsidP="008F4D4F">
            <w:pPr>
              <w:spacing w:before="6pt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de-DE"/>
              </w:rPr>
              <w:t>Utilization 2.00</w:t>
            </w:r>
          </w:p>
        </w:tc>
        <w:tc>
          <w:tcPr>
            <w:tcW w:w="16.68%" w:type="pct"/>
            <w:shd w:val="clear" w:color="auto" w:fill="D9D9D9"/>
            <w:noWrap/>
            <w:vAlign w:val="bottom"/>
            <w:hideMark/>
          </w:tcPr>
          <w:p w14:paraId="0C96B78F" w14:textId="77777777" w:rsidR="00B677D6" w:rsidRPr="00591E45" w:rsidRDefault="00B677D6" w:rsidP="008F4D4F">
            <w:pPr>
              <w:spacing w:before="6pt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2%" w:type="pct"/>
            <w:shd w:val="clear" w:color="auto" w:fill="D9D9D9"/>
            <w:vAlign w:val="bottom"/>
          </w:tcPr>
          <w:p w14:paraId="0D0C94A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  <w:tc>
          <w:tcPr>
            <w:tcW w:w="22.24%" w:type="pct"/>
            <w:shd w:val="clear" w:color="auto" w:fill="D9D9D9"/>
            <w:noWrap/>
            <w:vAlign w:val="bottom"/>
            <w:hideMark/>
          </w:tcPr>
          <w:p w14:paraId="36AEE0B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2%" w:type="pct"/>
            <w:shd w:val="clear" w:color="auto" w:fill="D9D9D9"/>
            <w:vAlign w:val="bottom"/>
          </w:tcPr>
          <w:p w14:paraId="6DEFD2D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  <w:tc>
          <w:tcPr>
            <w:tcW w:w="20.14%" w:type="pct"/>
            <w:shd w:val="clear" w:color="auto" w:fill="D9D9D9"/>
            <w:noWrap/>
            <w:vAlign w:val="bottom"/>
            <w:hideMark/>
          </w:tcPr>
          <w:p w14:paraId="2477DCA5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9.04%" w:type="pct"/>
            <w:shd w:val="clear" w:color="auto" w:fill="D9D9D9"/>
            <w:vAlign w:val="bottom"/>
          </w:tcPr>
          <w:p w14:paraId="2558605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e-DE"/>
              </w:rPr>
            </w:pPr>
          </w:p>
        </w:tc>
      </w:tr>
      <w:tr w:rsidR="00B677D6" w:rsidRPr="00591E45" w14:paraId="071D294F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center"/>
            <w:hideMark/>
          </w:tcPr>
          <w:p w14:paraId="5159CED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 xml:space="preserve">Consultation costs 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7D60655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878,669.53</w:t>
            </w:r>
          </w:p>
        </w:tc>
        <w:tc>
          <w:tcPr>
            <w:tcW w:w="9.02%" w:type="pct"/>
            <w:vAlign w:val="bottom"/>
          </w:tcPr>
          <w:p w14:paraId="761CC1F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484B5C8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1,318,004.30</w:t>
            </w:r>
          </w:p>
        </w:tc>
        <w:tc>
          <w:tcPr>
            <w:tcW w:w="9.02%" w:type="pct"/>
            <w:vAlign w:val="bottom"/>
          </w:tcPr>
          <w:p w14:paraId="0E29A1DB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6E32F6D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2,928,898.44</w:t>
            </w:r>
          </w:p>
        </w:tc>
        <w:tc>
          <w:tcPr>
            <w:tcW w:w="9.04%" w:type="pct"/>
            <w:vAlign w:val="bottom"/>
          </w:tcPr>
          <w:p w14:paraId="3435983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664FC369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center"/>
            <w:hideMark/>
          </w:tcPr>
          <w:p w14:paraId="04C67F70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Drug costs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4E13A6F5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7,672,113.69</w:t>
            </w:r>
          </w:p>
        </w:tc>
        <w:tc>
          <w:tcPr>
            <w:tcW w:w="9.02%" w:type="pct"/>
            <w:vAlign w:val="bottom"/>
          </w:tcPr>
          <w:p w14:paraId="62F8D27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7EAF8B7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11,508,170.54</w:t>
            </w:r>
          </w:p>
        </w:tc>
        <w:tc>
          <w:tcPr>
            <w:tcW w:w="9.02%" w:type="pct"/>
            <w:vAlign w:val="bottom"/>
          </w:tcPr>
          <w:p w14:paraId="2F86BC82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5EFAA45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25,573,712.31</w:t>
            </w:r>
          </w:p>
        </w:tc>
        <w:tc>
          <w:tcPr>
            <w:tcW w:w="9.04%" w:type="pct"/>
            <w:vAlign w:val="bottom"/>
          </w:tcPr>
          <w:p w14:paraId="5080552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3E3DCA14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center"/>
            <w:hideMark/>
          </w:tcPr>
          <w:p w14:paraId="1D0871DB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Human resources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6804A8C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1,780,079.27</w:t>
            </w:r>
          </w:p>
        </w:tc>
        <w:tc>
          <w:tcPr>
            <w:tcW w:w="9.02%" w:type="pct"/>
            <w:vAlign w:val="bottom"/>
          </w:tcPr>
          <w:p w14:paraId="15CD0DA1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769099B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2,670,118.90</w:t>
            </w:r>
          </w:p>
        </w:tc>
        <w:tc>
          <w:tcPr>
            <w:tcW w:w="9.02%" w:type="pct"/>
            <w:vAlign w:val="bottom"/>
          </w:tcPr>
          <w:p w14:paraId="24655B6B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5F70E73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5,933,597.56</w:t>
            </w:r>
          </w:p>
        </w:tc>
        <w:tc>
          <w:tcPr>
            <w:tcW w:w="9.04%" w:type="pct"/>
            <w:vAlign w:val="bottom"/>
          </w:tcPr>
          <w:p w14:paraId="096336E6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72A6123B" w14:textId="77777777" w:rsidTr="008F4D4F">
        <w:trPr>
          <w:trHeight w:val="290"/>
        </w:trPr>
        <w:tc>
          <w:tcPr>
            <w:tcW w:w="13.86%" w:type="pct"/>
            <w:shd w:val="clear" w:color="auto" w:fill="auto"/>
            <w:noWrap/>
            <w:vAlign w:val="bottom"/>
            <w:hideMark/>
          </w:tcPr>
          <w:p w14:paraId="637E47C4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  <w:t>Variable overheads 25%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7E94169F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2,582,715.62</w:t>
            </w:r>
          </w:p>
        </w:tc>
        <w:tc>
          <w:tcPr>
            <w:tcW w:w="9.02%" w:type="pct"/>
            <w:vAlign w:val="bottom"/>
          </w:tcPr>
          <w:p w14:paraId="1234CB99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0E736D8C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3,874,073.44</w:t>
            </w:r>
          </w:p>
        </w:tc>
        <w:tc>
          <w:tcPr>
            <w:tcW w:w="9.02%" w:type="pct"/>
            <w:vAlign w:val="bottom"/>
          </w:tcPr>
          <w:p w14:paraId="7D3E59D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5C097FF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sz w:val="18"/>
                <w:szCs w:val="18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sz w:val="18"/>
                <w:szCs w:val="18"/>
              </w:rPr>
              <w:t>USD 8,609,052.08</w:t>
            </w:r>
          </w:p>
        </w:tc>
        <w:tc>
          <w:tcPr>
            <w:tcW w:w="9.04%" w:type="pct"/>
            <w:vAlign w:val="bottom"/>
          </w:tcPr>
          <w:p w14:paraId="737F3877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677D6" w:rsidRPr="00591E45" w14:paraId="6AD7C6B8" w14:textId="77777777" w:rsidTr="008F4D4F">
        <w:trPr>
          <w:trHeight w:val="105"/>
        </w:trPr>
        <w:tc>
          <w:tcPr>
            <w:tcW w:w="13.86%" w:type="pct"/>
            <w:shd w:val="clear" w:color="auto" w:fill="auto"/>
            <w:noWrap/>
            <w:vAlign w:val="bottom"/>
            <w:hideMark/>
          </w:tcPr>
          <w:p w14:paraId="68165BF0" w14:textId="77777777" w:rsidR="00B677D6" w:rsidRPr="00591E45" w:rsidRDefault="00B677D6" w:rsidP="008F4D4F">
            <w:pPr>
              <w:spacing w:before="6pt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  <w:t>TOTAL RECURRENT COST IN USD</w:t>
            </w:r>
          </w:p>
        </w:tc>
        <w:tc>
          <w:tcPr>
            <w:tcW w:w="16.68%" w:type="pct"/>
            <w:shd w:val="clear" w:color="auto" w:fill="auto"/>
            <w:noWrap/>
            <w:vAlign w:val="bottom"/>
            <w:hideMark/>
          </w:tcPr>
          <w:p w14:paraId="3CD205CA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12,913,578.12</w:t>
            </w:r>
          </w:p>
        </w:tc>
        <w:tc>
          <w:tcPr>
            <w:tcW w:w="9.02%" w:type="pct"/>
            <w:vAlign w:val="bottom"/>
          </w:tcPr>
          <w:p w14:paraId="6034FD0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u w:val="double"/>
              </w:rPr>
              <w:t>3.44</w:t>
            </w:r>
          </w:p>
        </w:tc>
        <w:tc>
          <w:tcPr>
            <w:tcW w:w="22.24%" w:type="pct"/>
            <w:shd w:val="clear" w:color="auto" w:fill="auto"/>
            <w:noWrap/>
            <w:vAlign w:val="bottom"/>
            <w:hideMark/>
          </w:tcPr>
          <w:p w14:paraId="6BDC1643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19,370,367.18</w:t>
            </w:r>
          </w:p>
        </w:tc>
        <w:tc>
          <w:tcPr>
            <w:tcW w:w="9.02%" w:type="pct"/>
            <w:vAlign w:val="bottom"/>
          </w:tcPr>
          <w:p w14:paraId="754EF9EE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5.15</w:t>
            </w:r>
          </w:p>
        </w:tc>
        <w:tc>
          <w:tcPr>
            <w:tcW w:w="20.14%" w:type="pct"/>
            <w:shd w:val="clear" w:color="auto" w:fill="auto"/>
            <w:noWrap/>
            <w:vAlign w:val="bottom"/>
            <w:hideMark/>
          </w:tcPr>
          <w:p w14:paraId="71D70762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Times New Roman" w:hAnsi="Calibri" w:cs="Calibri"/>
                <w:b/>
                <w:bCs/>
                <w:sz w:val="18"/>
                <w:szCs w:val="18"/>
                <w:u w:val="double"/>
                <w:lang w:val="en-US" w:eastAsia="de-D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USD 43,045,260.39</w:t>
            </w:r>
          </w:p>
        </w:tc>
        <w:tc>
          <w:tcPr>
            <w:tcW w:w="9.04%" w:type="pct"/>
            <w:vAlign w:val="bottom"/>
          </w:tcPr>
          <w:p w14:paraId="61433868" w14:textId="77777777" w:rsidR="00B677D6" w:rsidRPr="00591E45" w:rsidRDefault="00B677D6" w:rsidP="008F4D4F">
            <w:pPr>
              <w:spacing w:before="6pt"/>
              <w:jc w:val="end"/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</w:pPr>
            <w:r w:rsidRPr="00591E45">
              <w:rPr>
                <w:rFonts w:ascii="Calibri" w:eastAsia="Calibri" w:hAnsi="Calibri" w:cs="Calibri"/>
                <w:b/>
                <w:bCs/>
                <w:sz w:val="18"/>
                <w:szCs w:val="18"/>
                <w:u w:val="double"/>
              </w:rPr>
              <w:t>11.45</w:t>
            </w:r>
          </w:p>
        </w:tc>
      </w:tr>
    </w:tbl>
    <w:p w14:paraId="72EF71FC" w14:textId="77777777" w:rsidR="00B677D6" w:rsidRDefault="00B677D6" w:rsidP="00B677D6"/>
    <w:p w14:paraId="0E813A2B" w14:textId="77777777" w:rsidR="008C374B" w:rsidRDefault="008C374B"/>
    <w:sectPr w:rsidR="008C374B" w:rsidSect="00B677D6">
      <w:type w:val="continuous"/>
      <w:pgSz w:w="792pt" w:h="612pt" w:orient="landscape"/>
      <w:pgMar w:top="72pt" w:right="72pt" w:bottom="72pt" w:left="72pt" w:header="36pt" w:footer="36pt" w:gutter="0pt"/>
      <w:lnNumType w:countBy="1" w:restart="continuous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D6"/>
    <w:rsid w:val="002A5090"/>
    <w:rsid w:val="003F36CB"/>
    <w:rsid w:val="006E1447"/>
    <w:rsid w:val="008C374B"/>
    <w:rsid w:val="00954821"/>
    <w:rsid w:val="00AF416B"/>
    <w:rsid w:val="00B677D6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3E15F1"/>
  <w15:chartTrackingRefBased/>
  <w15:docId w15:val="{3C7C9544-2202-4CD1-BAD8-BEF3AD122E9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7D6"/>
    <w:pPr>
      <w:spacing w:after="0pt" w:line="12pt" w:lineRule="auto"/>
    </w:pPr>
    <w:rPr>
      <w:kern w:val="0"/>
      <w:sz w:val="24"/>
      <w:szCs w:val="24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77D6"/>
    <w:pPr>
      <w:keepNext/>
      <w:keepLines/>
      <w:spacing w:before="18pt" w:after="4pt" w:line="12.95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7D6"/>
    <w:pPr>
      <w:keepNext/>
      <w:keepLines/>
      <w:spacing w:before="8pt" w:after="4pt" w:line="12.95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7D6"/>
    <w:pPr>
      <w:keepNext/>
      <w:keepLines/>
      <w:spacing w:before="8pt" w:after="4pt" w:line="12.95pt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7D6"/>
    <w:pPr>
      <w:keepNext/>
      <w:keepLines/>
      <w:spacing w:before="4pt" w:after="2pt" w:line="12.95pt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7D6"/>
    <w:pPr>
      <w:keepNext/>
      <w:keepLines/>
      <w:spacing w:before="4pt" w:after="2pt" w:line="12.95pt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7D6"/>
    <w:pPr>
      <w:keepNext/>
      <w:keepLines/>
      <w:spacing w:before="2pt" w:line="12.95pt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7D6"/>
    <w:pPr>
      <w:keepNext/>
      <w:keepLines/>
      <w:spacing w:before="2pt" w:line="12.95pt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7D6"/>
    <w:pPr>
      <w:keepNext/>
      <w:keepLines/>
      <w:spacing w:line="12.95pt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7D6"/>
    <w:pPr>
      <w:keepNext/>
      <w:keepLines/>
      <w:spacing w:line="12.95pt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7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7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7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7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7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7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7D6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7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7D6"/>
    <w:pPr>
      <w:numPr>
        <w:ilvl w:val="1"/>
      </w:numPr>
      <w:spacing w:after="8pt" w:line="12.95pt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7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7D6"/>
    <w:pPr>
      <w:spacing w:before="8pt" w:after="8pt" w:line="12.95pt" w:lineRule="auto"/>
      <w:jc w:val="center"/>
    </w:pPr>
    <w:rPr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77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7D6"/>
    <w:pPr>
      <w:spacing w:after="8pt" w:line="12.95pt" w:lineRule="auto"/>
      <w:ind w:start="36pt"/>
      <w:contextualSpacing/>
    </w:pPr>
    <w:rPr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77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7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7D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677D6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4</Pages>
  <Words>639</Words>
  <Characters>3643</Characters>
  <Application>Microsoft Office Word</Application>
  <DocSecurity>0</DocSecurity>
  <Lines>30</Lines>
  <Paragraphs>8</Paragraphs>
  <ScaleCrop>false</ScaleCrop>
  <Company>Springer Nature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2024-08-07T13:13:00Z</dcterms:created>
  <dcterms:modified xsi:type="dcterms:W3CDTF">2024-08-07T13:14:00Z</dcterms:modified>
</cp:coreProperties>
</file>