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1"/>
        <w:gridCol w:w="502"/>
        <w:gridCol w:w="1518"/>
        <w:gridCol w:w="1103"/>
        <w:gridCol w:w="790"/>
        <w:gridCol w:w="1518"/>
        <w:gridCol w:w="1103"/>
        <w:gridCol w:w="665"/>
      </w:tblGrid>
      <w:tr w:rsidR="00A2294E" w:rsidRPr="00A2294E" w14:paraId="5FD6F78B" w14:textId="77777777" w:rsidTr="00ED4B2D">
        <w:tc>
          <w:tcPr>
            <w:tcW w:w="13992" w:type="dxa"/>
            <w:gridSpan w:val="8"/>
          </w:tcPr>
          <w:p w14:paraId="1F0D648B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b/>
                <w:bCs/>
                <w:lang w:val="en-US"/>
              </w:rPr>
              <w:t>Supplemental Table:</w:t>
            </w:r>
            <w:r w:rsidRPr="00A2294E">
              <w:rPr>
                <w:lang w:val="en-US"/>
              </w:rPr>
              <w:t xml:space="preserve"> Cumulative incidence of disease progression to myelofibrosis (MF) or myelodysplastic syndrome/acute myeloid leukemia (MDS/AML) according to hematological response (CHR) and resistance/intolerance to hydroxyurea (HU) in 1080 patients with essential thrombocythemia    </w:t>
            </w:r>
          </w:p>
        </w:tc>
      </w:tr>
      <w:tr w:rsidR="00A2294E" w:rsidRPr="00A2294E" w14:paraId="3CBA0C67" w14:textId="77777777" w:rsidTr="00ED4B2D">
        <w:tc>
          <w:tcPr>
            <w:tcW w:w="2405" w:type="dxa"/>
          </w:tcPr>
          <w:p w14:paraId="54E38189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</w:p>
        </w:tc>
        <w:tc>
          <w:tcPr>
            <w:tcW w:w="1274" w:type="dxa"/>
          </w:tcPr>
          <w:p w14:paraId="36ED5025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</w:p>
        </w:tc>
        <w:tc>
          <w:tcPr>
            <w:tcW w:w="5162" w:type="dxa"/>
            <w:gridSpan w:val="3"/>
          </w:tcPr>
          <w:p w14:paraId="49285A15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MYELOFIBROSIS</w:t>
            </w:r>
          </w:p>
          <w:p w14:paraId="2C14ABC6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</w:p>
        </w:tc>
        <w:tc>
          <w:tcPr>
            <w:tcW w:w="5151" w:type="dxa"/>
            <w:gridSpan w:val="3"/>
          </w:tcPr>
          <w:p w14:paraId="300EA418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MDS/AML</w:t>
            </w:r>
          </w:p>
        </w:tc>
      </w:tr>
      <w:tr w:rsidR="00A2294E" w:rsidRPr="00A2294E" w14:paraId="46D694F3" w14:textId="77777777" w:rsidTr="00ED4B2D">
        <w:tc>
          <w:tcPr>
            <w:tcW w:w="2405" w:type="dxa"/>
            <w:shd w:val="clear" w:color="auto" w:fill="A6A6A6" w:themeFill="background1" w:themeFillShade="A6"/>
          </w:tcPr>
          <w:p w14:paraId="487AA389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</w:p>
        </w:tc>
        <w:tc>
          <w:tcPr>
            <w:tcW w:w="1274" w:type="dxa"/>
            <w:shd w:val="clear" w:color="auto" w:fill="A6A6A6" w:themeFill="background1" w:themeFillShade="A6"/>
          </w:tcPr>
          <w:p w14:paraId="23E089A0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</w:p>
        </w:tc>
        <w:tc>
          <w:tcPr>
            <w:tcW w:w="1867" w:type="dxa"/>
            <w:shd w:val="clear" w:color="auto" w:fill="A6A6A6" w:themeFill="background1" w:themeFillShade="A6"/>
          </w:tcPr>
          <w:p w14:paraId="780C8435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Events/patients</w:t>
            </w:r>
          </w:p>
        </w:tc>
        <w:tc>
          <w:tcPr>
            <w:tcW w:w="1726" w:type="dxa"/>
            <w:shd w:val="clear" w:color="auto" w:fill="A6A6A6" w:themeFill="background1" w:themeFillShade="A6"/>
          </w:tcPr>
          <w:p w14:paraId="1338D13B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10-years probability</w:t>
            </w:r>
          </w:p>
        </w:tc>
        <w:tc>
          <w:tcPr>
            <w:tcW w:w="1569" w:type="dxa"/>
            <w:shd w:val="clear" w:color="auto" w:fill="A6A6A6" w:themeFill="background1" w:themeFillShade="A6"/>
          </w:tcPr>
          <w:p w14:paraId="05BF6E2C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P value</w:t>
            </w:r>
          </w:p>
        </w:tc>
        <w:tc>
          <w:tcPr>
            <w:tcW w:w="1867" w:type="dxa"/>
            <w:shd w:val="clear" w:color="auto" w:fill="A6A6A6" w:themeFill="background1" w:themeFillShade="A6"/>
          </w:tcPr>
          <w:p w14:paraId="1BF24822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Events/patients</w:t>
            </w:r>
          </w:p>
        </w:tc>
        <w:tc>
          <w:tcPr>
            <w:tcW w:w="1726" w:type="dxa"/>
            <w:shd w:val="clear" w:color="auto" w:fill="A6A6A6" w:themeFill="background1" w:themeFillShade="A6"/>
          </w:tcPr>
          <w:p w14:paraId="38C5F208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10-years probability</w:t>
            </w:r>
          </w:p>
        </w:tc>
        <w:tc>
          <w:tcPr>
            <w:tcW w:w="1558" w:type="dxa"/>
            <w:shd w:val="clear" w:color="auto" w:fill="A6A6A6" w:themeFill="background1" w:themeFillShade="A6"/>
          </w:tcPr>
          <w:p w14:paraId="1CE2E0CB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P value</w:t>
            </w:r>
          </w:p>
        </w:tc>
      </w:tr>
      <w:tr w:rsidR="00A2294E" w:rsidRPr="00A2294E" w14:paraId="55A6DD0F" w14:textId="77777777" w:rsidTr="00ED4B2D">
        <w:tc>
          <w:tcPr>
            <w:tcW w:w="2405" w:type="dxa"/>
          </w:tcPr>
          <w:p w14:paraId="311D19E0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 xml:space="preserve">  CHR</w:t>
            </w:r>
          </w:p>
        </w:tc>
        <w:tc>
          <w:tcPr>
            <w:tcW w:w="1274" w:type="dxa"/>
          </w:tcPr>
          <w:p w14:paraId="447679EC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Yes</w:t>
            </w:r>
          </w:p>
          <w:p w14:paraId="10301A85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No</w:t>
            </w:r>
          </w:p>
        </w:tc>
        <w:tc>
          <w:tcPr>
            <w:tcW w:w="1867" w:type="dxa"/>
          </w:tcPr>
          <w:p w14:paraId="2076143E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24/720</w:t>
            </w:r>
          </w:p>
          <w:p w14:paraId="6CF363A4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34/360</w:t>
            </w:r>
          </w:p>
        </w:tc>
        <w:tc>
          <w:tcPr>
            <w:tcW w:w="1726" w:type="dxa"/>
          </w:tcPr>
          <w:p w14:paraId="5042719B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5.5%</w:t>
            </w:r>
          </w:p>
          <w:p w14:paraId="200D17DC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16%</w:t>
            </w:r>
          </w:p>
        </w:tc>
        <w:tc>
          <w:tcPr>
            <w:tcW w:w="1569" w:type="dxa"/>
          </w:tcPr>
          <w:p w14:paraId="31591084" w14:textId="77777777" w:rsidR="00A2294E" w:rsidRPr="00A2294E" w:rsidRDefault="00A2294E" w:rsidP="00ED4B2D">
            <w:pPr>
              <w:spacing w:after="160" w:line="259" w:lineRule="auto"/>
              <w:rPr>
                <w:b/>
                <w:bCs/>
                <w:lang w:val="en-US"/>
              </w:rPr>
            </w:pPr>
            <w:r w:rsidRPr="00A2294E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867" w:type="dxa"/>
          </w:tcPr>
          <w:p w14:paraId="40DB5745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20/720</w:t>
            </w:r>
          </w:p>
          <w:p w14:paraId="39AFB833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13/360</w:t>
            </w:r>
          </w:p>
        </w:tc>
        <w:tc>
          <w:tcPr>
            <w:tcW w:w="1726" w:type="dxa"/>
          </w:tcPr>
          <w:p w14:paraId="253A56F8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3.8%</w:t>
            </w:r>
          </w:p>
          <w:p w14:paraId="4A2724C9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3.7%</w:t>
            </w:r>
          </w:p>
        </w:tc>
        <w:tc>
          <w:tcPr>
            <w:tcW w:w="1558" w:type="dxa"/>
          </w:tcPr>
          <w:p w14:paraId="5ABB11CD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0.4</w:t>
            </w:r>
          </w:p>
        </w:tc>
      </w:tr>
      <w:tr w:rsidR="00A2294E" w:rsidRPr="00A2294E" w14:paraId="134AE103" w14:textId="77777777" w:rsidTr="00ED4B2D">
        <w:tc>
          <w:tcPr>
            <w:tcW w:w="2405" w:type="dxa"/>
          </w:tcPr>
          <w:p w14:paraId="7D7B5E63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Resistance/intolerance to HU (any criteria)</w:t>
            </w:r>
          </w:p>
        </w:tc>
        <w:tc>
          <w:tcPr>
            <w:tcW w:w="1274" w:type="dxa"/>
          </w:tcPr>
          <w:p w14:paraId="00E10949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No</w:t>
            </w:r>
          </w:p>
          <w:p w14:paraId="542DD8CF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Yes</w:t>
            </w:r>
          </w:p>
        </w:tc>
        <w:tc>
          <w:tcPr>
            <w:tcW w:w="1867" w:type="dxa"/>
          </w:tcPr>
          <w:p w14:paraId="7DE36C3E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25/861</w:t>
            </w:r>
          </w:p>
          <w:p w14:paraId="18BC732C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33/219</w:t>
            </w:r>
          </w:p>
        </w:tc>
        <w:tc>
          <w:tcPr>
            <w:tcW w:w="1726" w:type="dxa"/>
          </w:tcPr>
          <w:p w14:paraId="109B2126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5.7%</w:t>
            </w:r>
          </w:p>
          <w:p w14:paraId="2A537131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17.4%</w:t>
            </w:r>
          </w:p>
        </w:tc>
        <w:tc>
          <w:tcPr>
            <w:tcW w:w="1569" w:type="dxa"/>
          </w:tcPr>
          <w:p w14:paraId="5E2A3C17" w14:textId="77777777" w:rsidR="00A2294E" w:rsidRPr="00A2294E" w:rsidRDefault="00A2294E" w:rsidP="00ED4B2D">
            <w:pPr>
              <w:spacing w:after="160" w:line="259" w:lineRule="auto"/>
              <w:rPr>
                <w:b/>
                <w:bCs/>
                <w:lang w:val="en-US"/>
              </w:rPr>
            </w:pPr>
            <w:r w:rsidRPr="00A2294E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867" w:type="dxa"/>
          </w:tcPr>
          <w:p w14:paraId="15502FA6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20/861</w:t>
            </w:r>
          </w:p>
          <w:p w14:paraId="4040BF5B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13/219</w:t>
            </w:r>
          </w:p>
        </w:tc>
        <w:tc>
          <w:tcPr>
            <w:tcW w:w="1726" w:type="dxa"/>
          </w:tcPr>
          <w:p w14:paraId="0EF9EDEA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2.5%</w:t>
            </w:r>
          </w:p>
          <w:p w14:paraId="2528D40B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6.7%</w:t>
            </w:r>
          </w:p>
        </w:tc>
        <w:tc>
          <w:tcPr>
            <w:tcW w:w="1558" w:type="dxa"/>
          </w:tcPr>
          <w:p w14:paraId="2A5B8004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0.2</w:t>
            </w:r>
          </w:p>
        </w:tc>
      </w:tr>
      <w:tr w:rsidR="00A2294E" w:rsidRPr="00A2294E" w14:paraId="6B4F0DF1" w14:textId="77777777" w:rsidTr="00ED4B2D">
        <w:tc>
          <w:tcPr>
            <w:tcW w:w="2405" w:type="dxa"/>
          </w:tcPr>
          <w:p w14:paraId="3AA6F579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Persistent thrombocytosis</w:t>
            </w:r>
          </w:p>
        </w:tc>
        <w:tc>
          <w:tcPr>
            <w:tcW w:w="1274" w:type="dxa"/>
          </w:tcPr>
          <w:p w14:paraId="32240471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No</w:t>
            </w:r>
          </w:p>
          <w:p w14:paraId="2ACB2297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Yes</w:t>
            </w:r>
          </w:p>
        </w:tc>
        <w:tc>
          <w:tcPr>
            <w:tcW w:w="1867" w:type="dxa"/>
          </w:tcPr>
          <w:p w14:paraId="4DFAD5E5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54/1048</w:t>
            </w:r>
          </w:p>
          <w:p w14:paraId="2AEC8045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4/30</w:t>
            </w:r>
          </w:p>
        </w:tc>
        <w:tc>
          <w:tcPr>
            <w:tcW w:w="1726" w:type="dxa"/>
          </w:tcPr>
          <w:p w14:paraId="4E0194E2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8.7%</w:t>
            </w:r>
          </w:p>
          <w:p w14:paraId="2DB97653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14.6%</w:t>
            </w:r>
          </w:p>
        </w:tc>
        <w:tc>
          <w:tcPr>
            <w:tcW w:w="1569" w:type="dxa"/>
          </w:tcPr>
          <w:p w14:paraId="3EFD07EC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0.2</w:t>
            </w:r>
          </w:p>
        </w:tc>
        <w:tc>
          <w:tcPr>
            <w:tcW w:w="1867" w:type="dxa"/>
          </w:tcPr>
          <w:p w14:paraId="0C25C44D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32/1048</w:t>
            </w:r>
          </w:p>
          <w:p w14:paraId="1FE8701A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1/30</w:t>
            </w:r>
          </w:p>
        </w:tc>
        <w:tc>
          <w:tcPr>
            <w:tcW w:w="1726" w:type="dxa"/>
          </w:tcPr>
          <w:p w14:paraId="33215CC7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3.5%</w:t>
            </w:r>
          </w:p>
          <w:p w14:paraId="21F11523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8.3%</w:t>
            </w:r>
          </w:p>
        </w:tc>
        <w:tc>
          <w:tcPr>
            <w:tcW w:w="1558" w:type="dxa"/>
          </w:tcPr>
          <w:p w14:paraId="38C4A732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0.8</w:t>
            </w:r>
          </w:p>
        </w:tc>
      </w:tr>
      <w:tr w:rsidR="00A2294E" w:rsidRPr="00A2294E" w14:paraId="4F42C944" w14:textId="77777777" w:rsidTr="00ED4B2D">
        <w:tc>
          <w:tcPr>
            <w:tcW w:w="2405" w:type="dxa"/>
          </w:tcPr>
          <w:p w14:paraId="52D6BC27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Cytopenia</w:t>
            </w:r>
          </w:p>
        </w:tc>
        <w:tc>
          <w:tcPr>
            <w:tcW w:w="1274" w:type="dxa"/>
          </w:tcPr>
          <w:p w14:paraId="12FD09B3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No</w:t>
            </w:r>
          </w:p>
          <w:p w14:paraId="1069D03A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Yes</w:t>
            </w:r>
          </w:p>
        </w:tc>
        <w:tc>
          <w:tcPr>
            <w:tcW w:w="1867" w:type="dxa"/>
          </w:tcPr>
          <w:p w14:paraId="4665FD63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36/998</w:t>
            </w:r>
          </w:p>
          <w:p w14:paraId="51B6A145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22/80</w:t>
            </w:r>
          </w:p>
        </w:tc>
        <w:tc>
          <w:tcPr>
            <w:tcW w:w="1726" w:type="dxa"/>
          </w:tcPr>
          <w:p w14:paraId="6655B9E4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7%</w:t>
            </w:r>
          </w:p>
          <w:p w14:paraId="01C95A44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29.7%</w:t>
            </w:r>
          </w:p>
        </w:tc>
        <w:tc>
          <w:tcPr>
            <w:tcW w:w="1569" w:type="dxa"/>
          </w:tcPr>
          <w:p w14:paraId="24988E8A" w14:textId="77777777" w:rsidR="00A2294E" w:rsidRPr="00A2294E" w:rsidRDefault="00A2294E" w:rsidP="00ED4B2D">
            <w:pPr>
              <w:spacing w:after="160" w:line="259" w:lineRule="auto"/>
              <w:rPr>
                <w:b/>
                <w:bCs/>
                <w:lang w:val="en-US"/>
              </w:rPr>
            </w:pPr>
            <w:r w:rsidRPr="00A2294E">
              <w:rPr>
                <w:b/>
                <w:bCs/>
                <w:lang w:val="en-US"/>
              </w:rPr>
              <w:t>&lt;0.001</w:t>
            </w:r>
          </w:p>
        </w:tc>
        <w:tc>
          <w:tcPr>
            <w:tcW w:w="1867" w:type="dxa"/>
          </w:tcPr>
          <w:p w14:paraId="0BA10194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25/998</w:t>
            </w:r>
          </w:p>
          <w:p w14:paraId="3AC65326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8/80</w:t>
            </w:r>
          </w:p>
        </w:tc>
        <w:tc>
          <w:tcPr>
            <w:tcW w:w="1726" w:type="dxa"/>
          </w:tcPr>
          <w:p w14:paraId="65709E1D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3%</w:t>
            </w:r>
          </w:p>
          <w:p w14:paraId="2C6E990D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11%</w:t>
            </w:r>
          </w:p>
        </w:tc>
        <w:tc>
          <w:tcPr>
            <w:tcW w:w="1558" w:type="dxa"/>
          </w:tcPr>
          <w:p w14:paraId="29F24B62" w14:textId="77777777" w:rsidR="00A2294E" w:rsidRPr="00A2294E" w:rsidRDefault="00A2294E" w:rsidP="00ED4B2D">
            <w:pPr>
              <w:spacing w:after="160" w:line="259" w:lineRule="auto"/>
              <w:rPr>
                <w:b/>
                <w:bCs/>
                <w:lang w:val="en-US"/>
              </w:rPr>
            </w:pPr>
            <w:r w:rsidRPr="00A2294E">
              <w:rPr>
                <w:b/>
                <w:bCs/>
                <w:lang w:val="en-US"/>
              </w:rPr>
              <w:t>0.01</w:t>
            </w:r>
          </w:p>
        </w:tc>
      </w:tr>
      <w:tr w:rsidR="00A2294E" w:rsidRPr="00A2294E" w14:paraId="25FB765E" w14:textId="77777777" w:rsidTr="00ED4B2D">
        <w:tc>
          <w:tcPr>
            <w:tcW w:w="2405" w:type="dxa"/>
          </w:tcPr>
          <w:p w14:paraId="5030074D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Leg ulcers</w:t>
            </w:r>
          </w:p>
        </w:tc>
        <w:tc>
          <w:tcPr>
            <w:tcW w:w="1274" w:type="dxa"/>
          </w:tcPr>
          <w:p w14:paraId="5D94E764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No</w:t>
            </w:r>
          </w:p>
          <w:p w14:paraId="347DE00A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Yes</w:t>
            </w:r>
          </w:p>
        </w:tc>
        <w:tc>
          <w:tcPr>
            <w:tcW w:w="1867" w:type="dxa"/>
          </w:tcPr>
          <w:p w14:paraId="5C08AB02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47/1016</w:t>
            </w:r>
          </w:p>
          <w:p w14:paraId="53956197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11/62</w:t>
            </w:r>
          </w:p>
        </w:tc>
        <w:tc>
          <w:tcPr>
            <w:tcW w:w="1726" w:type="dxa"/>
          </w:tcPr>
          <w:p w14:paraId="24CDACFB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8.2%</w:t>
            </w:r>
          </w:p>
          <w:p w14:paraId="0171EBD5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16.1%</w:t>
            </w:r>
          </w:p>
        </w:tc>
        <w:tc>
          <w:tcPr>
            <w:tcW w:w="1569" w:type="dxa"/>
          </w:tcPr>
          <w:p w14:paraId="0A710B45" w14:textId="77777777" w:rsidR="00A2294E" w:rsidRPr="00A2294E" w:rsidRDefault="00A2294E" w:rsidP="00ED4B2D">
            <w:pPr>
              <w:spacing w:after="160" w:line="259" w:lineRule="auto"/>
              <w:rPr>
                <w:b/>
                <w:bCs/>
                <w:lang w:val="en-US"/>
              </w:rPr>
            </w:pPr>
            <w:r w:rsidRPr="00A2294E">
              <w:rPr>
                <w:b/>
                <w:bCs/>
                <w:lang w:val="en-US"/>
              </w:rPr>
              <w:t>0.03</w:t>
            </w:r>
          </w:p>
        </w:tc>
        <w:tc>
          <w:tcPr>
            <w:tcW w:w="1867" w:type="dxa"/>
          </w:tcPr>
          <w:p w14:paraId="2DCA1515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30/1016</w:t>
            </w:r>
          </w:p>
          <w:p w14:paraId="3C97A2C1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3/62</w:t>
            </w:r>
          </w:p>
        </w:tc>
        <w:tc>
          <w:tcPr>
            <w:tcW w:w="1726" w:type="dxa"/>
          </w:tcPr>
          <w:p w14:paraId="204B9953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3.6%</w:t>
            </w:r>
          </w:p>
          <w:p w14:paraId="0F45C0CC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6%</w:t>
            </w:r>
          </w:p>
        </w:tc>
        <w:tc>
          <w:tcPr>
            <w:tcW w:w="1558" w:type="dxa"/>
          </w:tcPr>
          <w:p w14:paraId="02021C11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0.8</w:t>
            </w:r>
          </w:p>
        </w:tc>
      </w:tr>
      <w:tr w:rsidR="00A2294E" w:rsidRPr="00A2294E" w14:paraId="3BED8454" w14:textId="77777777" w:rsidTr="00ED4B2D">
        <w:tc>
          <w:tcPr>
            <w:tcW w:w="2405" w:type="dxa"/>
          </w:tcPr>
          <w:p w14:paraId="3AF8C4D9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Unacceptable mucocutaneous toxicity</w:t>
            </w:r>
          </w:p>
        </w:tc>
        <w:tc>
          <w:tcPr>
            <w:tcW w:w="1274" w:type="dxa"/>
          </w:tcPr>
          <w:p w14:paraId="74A49B5C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No</w:t>
            </w:r>
          </w:p>
          <w:p w14:paraId="69E91327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Yes</w:t>
            </w:r>
          </w:p>
        </w:tc>
        <w:tc>
          <w:tcPr>
            <w:tcW w:w="1867" w:type="dxa"/>
          </w:tcPr>
          <w:p w14:paraId="2D90AD64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56/1025</w:t>
            </w:r>
          </w:p>
          <w:p w14:paraId="22589039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2/53</w:t>
            </w:r>
          </w:p>
        </w:tc>
        <w:tc>
          <w:tcPr>
            <w:tcW w:w="1726" w:type="dxa"/>
          </w:tcPr>
          <w:p w14:paraId="3AA1ABB5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9.2%</w:t>
            </w:r>
          </w:p>
          <w:p w14:paraId="6744FFCA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5.3%</w:t>
            </w:r>
          </w:p>
        </w:tc>
        <w:tc>
          <w:tcPr>
            <w:tcW w:w="1569" w:type="dxa"/>
          </w:tcPr>
          <w:p w14:paraId="5D15DBB2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0.4</w:t>
            </w:r>
          </w:p>
        </w:tc>
        <w:tc>
          <w:tcPr>
            <w:tcW w:w="1867" w:type="dxa"/>
          </w:tcPr>
          <w:p w14:paraId="2A9A2A69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33/1025</w:t>
            </w:r>
          </w:p>
          <w:p w14:paraId="7759C373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0/53</w:t>
            </w:r>
          </w:p>
        </w:tc>
        <w:tc>
          <w:tcPr>
            <w:tcW w:w="1726" w:type="dxa"/>
          </w:tcPr>
          <w:p w14:paraId="49AC13A7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4%</w:t>
            </w:r>
          </w:p>
          <w:p w14:paraId="697AD7B0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-</w:t>
            </w:r>
          </w:p>
        </w:tc>
        <w:tc>
          <w:tcPr>
            <w:tcW w:w="1558" w:type="dxa"/>
          </w:tcPr>
          <w:p w14:paraId="28B17BF7" w14:textId="77777777" w:rsidR="00A2294E" w:rsidRPr="00A2294E" w:rsidRDefault="00A2294E" w:rsidP="00ED4B2D">
            <w:pPr>
              <w:spacing w:after="160" w:line="259" w:lineRule="auto"/>
              <w:rPr>
                <w:lang w:val="en-US"/>
              </w:rPr>
            </w:pPr>
            <w:r w:rsidRPr="00A2294E">
              <w:rPr>
                <w:lang w:val="en-US"/>
              </w:rPr>
              <w:t>0.2</w:t>
            </w:r>
          </w:p>
        </w:tc>
      </w:tr>
    </w:tbl>
    <w:p w14:paraId="47F2D64C" w14:textId="77777777" w:rsidR="009002C6" w:rsidRPr="00A2294E" w:rsidRDefault="009002C6"/>
    <w:sectPr w:rsidR="009002C6" w:rsidRPr="00A2294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94E"/>
    <w:rsid w:val="00316D26"/>
    <w:rsid w:val="005F1E85"/>
    <w:rsid w:val="009002C6"/>
    <w:rsid w:val="00A22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A0BACE"/>
  <w15:chartTrackingRefBased/>
  <w15:docId w15:val="{27971479-D1A2-44CC-96EC-B0B75E700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294E"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29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29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29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29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29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29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29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29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29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29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29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29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29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29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29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29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29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29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29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A229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29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A229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294E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A229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294E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A229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29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29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294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2294E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783</Characters>
  <Application>Microsoft Office Word</Application>
  <DocSecurity>0</DocSecurity>
  <Lines>6</Lines>
  <Paragraphs>1</Paragraphs>
  <ScaleCrop>false</ScaleCrop>
  <Company>Springer Nature</Company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2024-08-14T19:34:00Z</dcterms:created>
  <dcterms:modified xsi:type="dcterms:W3CDTF">2024-08-14T19:34:00Z</dcterms:modified>
</cp:coreProperties>
</file>