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C41388" w:rsidRPr="00721346" w:rsidRDefault="00C41388" w:rsidP="0080510D">
      <w:pPr>
        <w:rPr>
          <w:rFonts w:eastAsiaTheme="minorEastAsia" w:cs="Times New Roman"/>
          <w:sz w:val="24"/>
          <w:szCs w:val="24"/>
        </w:rPr>
      </w:pPr>
      <w:r w:rsidRPr="00721346">
        <w:rPr>
          <w:rFonts w:cs="Times New Roman"/>
          <w:sz w:val="24"/>
          <w:szCs w:val="24"/>
        </w:rPr>
        <w:t xml:space="preserve">Supplementary </w:t>
      </w:r>
      <w:r w:rsidRPr="00721346">
        <w:rPr>
          <w:rFonts w:eastAsiaTheme="minorEastAsia" w:cs="Times New Roman"/>
          <w:sz w:val="24"/>
          <w:szCs w:val="24"/>
        </w:rPr>
        <w:t>Information</w:t>
      </w:r>
      <w:r w:rsidR="0080510D" w:rsidRPr="00721346">
        <w:rPr>
          <w:rFonts w:eastAsiaTheme="minorEastAsia" w:cs="Times New Roman"/>
          <w:sz w:val="24"/>
          <w:szCs w:val="24"/>
        </w:rPr>
        <w:t xml:space="preserve"> for</w:t>
      </w:r>
    </w:p>
    <w:p w:rsidR="0080510D" w:rsidRPr="00721346" w:rsidRDefault="0080510D" w:rsidP="0080510D">
      <w:pPr>
        <w:rPr>
          <w:rFonts w:eastAsiaTheme="minorEastAsia" w:cs="Times New Roman"/>
          <w:sz w:val="24"/>
          <w:szCs w:val="24"/>
        </w:rPr>
      </w:pPr>
    </w:p>
    <w:p w:rsidR="0080510D" w:rsidRPr="00721346" w:rsidRDefault="0080510D" w:rsidP="0080510D">
      <w:pPr>
        <w:rPr>
          <w:rFonts w:eastAsiaTheme="minorEastAsia" w:cs="Times New Roman"/>
          <w:sz w:val="24"/>
          <w:szCs w:val="24"/>
        </w:rPr>
      </w:pPr>
    </w:p>
    <w:p w:rsidR="0080510D" w:rsidRPr="00721346" w:rsidRDefault="0080510D" w:rsidP="0080510D">
      <w:pPr>
        <w:spacing w:line="288" w:lineRule="auto"/>
        <w:jc w:val="center"/>
        <w:rPr>
          <w:rFonts w:cs="Times New Roman"/>
          <w:b/>
          <w:bCs/>
          <w:sz w:val="24"/>
          <w:szCs w:val="24"/>
        </w:rPr>
      </w:pPr>
      <w:r w:rsidRPr="00721346">
        <w:rPr>
          <w:rFonts w:cs="Times New Roman"/>
          <w:b/>
          <w:bCs/>
          <w:sz w:val="24"/>
          <w:szCs w:val="24"/>
        </w:rPr>
        <w:t>Direct bonding and debonding of 2D semiconductors</w:t>
      </w:r>
    </w:p>
    <w:p w:rsidR="0080510D" w:rsidRPr="00721346" w:rsidRDefault="0080510D" w:rsidP="0080510D">
      <w:pPr>
        <w:spacing w:line="288" w:lineRule="auto"/>
        <w:jc w:val="both"/>
        <w:rPr>
          <w:rStyle w:val="NoneA"/>
          <w:rFonts w:cs="Times New Roman"/>
          <w:sz w:val="24"/>
          <w:szCs w:val="24"/>
        </w:rPr>
      </w:pPr>
    </w:p>
    <w:p w:rsidR="0080510D" w:rsidRPr="00721346" w:rsidRDefault="0080510D" w:rsidP="0080510D">
      <w:pPr>
        <w:pStyle w:val="Authors"/>
        <w:spacing w:before="0" w:after="0" w:line="288" w:lineRule="auto"/>
        <w:jc w:val="both"/>
      </w:pPr>
      <w:bookmarkStart w:id="0" w:name="_Hlk157080080"/>
      <w:r w:rsidRPr="00721346">
        <w:rPr>
          <w:rStyle w:val="NoneA"/>
        </w:rPr>
        <w:t>Jieying Liu</w:t>
      </w:r>
      <w:r w:rsidRPr="00721346">
        <w:rPr>
          <w:vertAlign w:val="superscript"/>
        </w:rPr>
        <w:t>1,2</w:t>
      </w:r>
      <w:r w:rsidRPr="00721346">
        <w:rPr>
          <w:rStyle w:val="NoneA"/>
        </w:rPr>
        <w:t>†, Jiaojiao Zhao</w:t>
      </w:r>
      <w:r w:rsidRPr="00721346">
        <w:rPr>
          <w:vertAlign w:val="superscript"/>
        </w:rPr>
        <w:t>1,2,3</w:t>
      </w:r>
      <w:r w:rsidRPr="00721346">
        <w:rPr>
          <w:rStyle w:val="NoneA"/>
        </w:rPr>
        <w:t>†, Lu Li</w:t>
      </w:r>
      <w:r w:rsidRPr="00721346">
        <w:rPr>
          <w:vertAlign w:val="superscript"/>
        </w:rPr>
        <w:t>2,3</w:t>
      </w:r>
      <w:r w:rsidRPr="00721346">
        <w:rPr>
          <w:rStyle w:val="NoneA"/>
        </w:rPr>
        <w:t>, Zheng Wei</w:t>
      </w:r>
      <w:r w:rsidRPr="00721346">
        <w:rPr>
          <w:vertAlign w:val="superscript"/>
        </w:rPr>
        <w:t>2</w:t>
      </w:r>
      <w:r w:rsidRPr="00721346">
        <w:rPr>
          <w:rStyle w:val="NoneA"/>
        </w:rPr>
        <w:t>, Jiawei Li</w:t>
      </w:r>
      <w:r w:rsidRPr="00721346">
        <w:rPr>
          <w:vertAlign w:val="superscript"/>
        </w:rPr>
        <w:t>2</w:t>
      </w:r>
      <w:r w:rsidRPr="00721346">
        <w:rPr>
          <w:rStyle w:val="NoneA"/>
        </w:rPr>
        <w:t>, Qinqin Wang</w:t>
      </w:r>
      <w:r w:rsidRPr="00721346">
        <w:rPr>
          <w:vertAlign w:val="superscript"/>
        </w:rPr>
        <w:t>2</w:t>
      </w:r>
      <w:r w:rsidRPr="00721346">
        <w:rPr>
          <w:rStyle w:val="NoneA"/>
        </w:rPr>
        <w:t>, Hua Yu</w:t>
      </w:r>
      <w:r w:rsidRPr="00721346">
        <w:rPr>
          <w:vertAlign w:val="superscript"/>
        </w:rPr>
        <w:t>1</w:t>
      </w:r>
      <w:r w:rsidRPr="00721346">
        <w:rPr>
          <w:rStyle w:val="NoneA"/>
        </w:rPr>
        <w:t>, Lanying Zhou</w:t>
      </w:r>
      <w:r w:rsidRPr="00721346">
        <w:rPr>
          <w:vertAlign w:val="superscript"/>
        </w:rPr>
        <w:t>1</w:t>
      </w:r>
      <w:r w:rsidRPr="00721346">
        <w:rPr>
          <w:rStyle w:val="NoneA"/>
        </w:rPr>
        <w:t>, Tong Li</w:t>
      </w:r>
      <w:r w:rsidRPr="00721346">
        <w:rPr>
          <w:vertAlign w:val="superscript"/>
        </w:rPr>
        <w:t>1</w:t>
      </w:r>
      <w:r w:rsidRPr="00721346">
        <w:rPr>
          <w:rStyle w:val="NoneA"/>
        </w:rPr>
        <w:t>, Fanfan Wu</w:t>
      </w:r>
      <w:r w:rsidRPr="00721346">
        <w:rPr>
          <w:vertAlign w:val="superscript"/>
        </w:rPr>
        <w:t>2,3</w:t>
      </w:r>
      <w:r w:rsidRPr="00721346">
        <w:rPr>
          <w:rStyle w:val="NoneA"/>
        </w:rPr>
        <w:t>, Mingtong Zhu</w:t>
      </w:r>
      <w:r w:rsidRPr="00721346">
        <w:rPr>
          <w:vertAlign w:val="superscript"/>
        </w:rPr>
        <w:t>2</w:t>
      </w:r>
      <w:r w:rsidRPr="00721346">
        <w:rPr>
          <w:rStyle w:val="NoneA"/>
        </w:rPr>
        <w:t>, Huacong Sun</w:t>
      </w:r>
      <w:r w:rsidRPr="00721346">
        <w:rPr>
          <w:vertAlign w:val="superscript"/>
        </w:rPr>
        <w:t>2</w:t>
      </w:r>
      <w:r w:rsidRPr="00721346">
        <w:rPr>
          <w:rStyle w:val="NoneA"/>
        </w:rPr>
        <w:t>, Yutong Chen</w:t>
      </w:r>
      <w:r w:rsidRPr="00721346">
        <w:rPr>
          <w:vertAlign w:val="superscript"/>
        </w:rPr>
        <w:t>1</w:t>
      </w:r>
      <w:r w:rsidRPr="00721346">
        <w:rPr>
          <w:rStyle w:val="NoneA"/>
        </w:rPr>
        <w:t>, Yun Li</w:t>
      </w:r>
      <w:r w:rsidRPr="00721346">
        <w:rPr>
          <w:vertAlign w:val="superscript"/>
        </w:rPr>
        <w:t>1</w:t>
      </w:r>
      <w:r w:rsidRPr="00721346">
        <w:rPr>
          <w:rStyle w:val="NoneA"/>
        </w:rPr>
        <w:t>, Songge Zhang</w:t>
      </w:r>
      <w:r w:rsidRPr="00721346">
        <w:rPr>
          <w:vertAlign w:val="superscript"/>
        </w:rPr>
        <w:t>1</w:t>
      </w:r>
      <w:r w:rsidRPr="00721346">
        <w:rPr>
          <w:rStyle w:val="NoneA"/>
        </w:rPr>
        <w:t>, Jinpeng Tian</w:t>
      </w:r>
      <w:r w:rsidRPr="00721346">
        <w:rPr>
          <w:vertAlign w:val="superscript"/>
        </w:rPr>
        <w:t>2</w:t>
      </w:r>
      <w:r w:rsidRPr="00721346">
        <w:rPr>
          <w:rStyle w:val="NoneA"/>
        </w:rPr>
        <w:t>, Xuedong Bai</w:t>
      </w:r>
      <w:r w:rsidRPr="00721346">
        <w:rPr>
          <w:vertAlign w:val="superscript"/>
        </w:rPr>
        <w:t>2</w:t>
      </w:r>
      <w:r w:rsidRPr="00721346">
        <w:rPr>
          <w:rStyle w:val="NoneA"/>
        </w:rPr>
        <w:t>, Nianpeng Lu</w:t>
      </w:r>
      <w:r w:rsidRPr="00721346">
        <w:rPr>
          <w:vertAlign w:val="superscript"/>
        </w:rPr>
        <w:t>2</w:t>
      </w:r>
      <w:r w:rsidRPr="00721346">
        <w:rPr>
          <w:rStyle w:val="NoneA"/>
        </w:rPr>
        <w:t>, Zexian Cao</w:t>
      </w:r>
      <w:r w:rsidRPr="00721346">
        <w:rPr>
          <w:vertAlign w:val="superscript"/>
        </w:rPr>
        <w:t>2</w:t>
      </w:r>
      <w:r w:rsidRPr="00721346">
        <w:rPr>
          <w:rStyle w:val="NoneA"/>
        </w:rPr>
        <w:t>, Shenghuang Lin</w:t>
      </w:r>
      <w:r w:rsidRPr="00721346">
        <w:rPr>
          <w:vertAlign w:val="superscript"/>
        </w:rPr>
        <w:t>1</w:t>
      </w:r>
      <w:r w:rsidRPr="00721346">
        <w:rPr>
          <w:rStyle w:val="NoneA"/>
        </w:rPr>
        <w:t>, Shuopei Wang</w:t>
      </w:r>
      <w:r w:rsidRPr="00721346">
        <w:rPr>
          <w:vertAlign w:val="superscript"/>
        </w:rPr>
        <w:t>1</w:t>
      </w:r>
      <w:r w:rsidRPr="00721346">
        <w:rPr>
          <w:rStyle w:val="NoneA"/>
        </w:rPr>
        <w:t>, Luojun Du</w:t>
      </w:r>
      <w:r w:rsidRPr="00721346">
        <w:rPr>
          <w:vertAlign w:val="superscript"/>
        </w:rPr>
        <w:t>2,3</w:t>
      </w:r>
      <w:r w:rsidRPr="00721346">
        <w:rPr>
          <w:rStyle w:val="NoneA"/>
        </w:rPr>
        <w:t>, Wei Yang</w:t>
      </w:r>
      <w:r w:rsidRPr="00721346">
        <w:rPr>
          <w:vertAlign w:val="superscript"/>
        </w:rPr>
        <w:t>2,3</w:t>
      </w:r>
      <w:r w:rsidRPr="00721346">
        <w:rPr>
          <w:rStyle w:val="NoneA"/>
        </w:rPr>
        <w:t>, Dongxia Shi</w:t>
      </w:r>
      <w:r w:rsidRPr="00721346">
        <w:rPr>
          <w:vertAlign w:val="superscript"/>
        </w:rPr>
        <w:t>2,3</w:t>
      </w:r>
      <w:r w:rsidRPr="00721346">
        <w:rPr>
          <w:rStyle w:val="NoneA"/>
        </w:rPr>
        <w:t>, Na Li</w:t>
      </w:r>
      <w:r w:rsidRPr="00721346">
        <w:rPr>
          <w:vertAlign w:val="superscript"/>
        </w:rPr>
        <w:t>1</w:t>
      </w:r>
      <w:r w:rsidRPr="00721346">
        <w:rPr>
          <w:rStyle w:val="NoneA"/>
        </w:rPr>
        <w:t xml:space="preserve"> &amp; Guangyu Zhang</w:t>
      </w:r>
      <w:r w:rsidRPr="00721346">
        <w:rPr>
          <w:vertAlign w:val="superscript"/>
        </w:rPr>
        <w:t>1,2,3</w:t>
      </w:r>
      <w:r w:rsidRPr="00721346">
        <w:rPr>
          <w:rStyle w:val="NoneA"/>
        </w:rPr>
        <w:t>*</w:t>
      </w:r>
      <w:bookmarkEnd w:id="0"/>
    </w:p>
    <w:p w:rsidR="0080510D" w:rsidRPr="00721346" w:rsidRDefault="0080510D" w:rsidP="0080510D">
      <w:pPr>
        <w:pStyle w:val="Authors"/>
        <w:spacing w:before="0" w:after="0" w:line="288" w:lineRule="auto"/>
        <w:jc w:val="both"/>
      </w:pPr>
    </w:p>
    <w:p w:rsidR="0080510D" w:rsidRPr="00721346" w:rsidRDefault="0080510D" w:rsidP="0080510D">
      <w:pPr>
        <w:spacing w:line="288" w:lineRule="auto"/>
        <w:jc w:val="both"/>
        <w:rPr>
          <w:rFonts w:cs="Times New Roman"/>
          <w:sz w:val="24"/>
          <w:szCs w:val="24"/>
        </w:rPr>
      </w:pPr>
      <w:r w:rsidRPr="00721346">
        <w:rPr>
          <w:rFonts w:cs="Times New Roman"/>
          <w:sz w:val="24"/>
          <w:szCs w:val="24"/>
          <w:vertAlign w:val="superscript"/>
        </w:rPr>
        <w:t xml:space="preserve">1 </w:t>
      </w:r>
      <w:r w:rsidRPr="00721346">
        <w:rPr>
          <w:rFonts w:cs="Times New Roman"/>
          <w:sz w:val="24"/>
          <w:szCs w:val="24"/>
        </w:rPr>
        <w:t>Songshan Lake Materials Laboratory; Dongguan, Guangdong 523808, China.</w:t>
      </w:r>
    </w:p>
    <w:p w:rsidR="0080510D" w:rsidRPr="00721346" w:rsidRDefault="0080510D" w:rsidP="0080510D">
      <w:pPr>
        <w:spacing w:line="288" w:lineRule="auto"/>
        <w:jc w:val="both"/>
        <w:rPr>
          <w:rFonts w:cs="Times New Roman"/>
          <w:sz w:val="24"/>
          <w:szCs w:val="24"/>
        </w:rPr>
      </w:pPr>
      <w:r w:rsidRPr="00721346">
        <w:rPr>
          <w:rFonts w:cs="Times New Roman"/>
          <w:sz w:val="24"/>
          <w:szCs w:val="24"/>
          <w:vertAlign w:val="superscript"/>
        </w:rPr>
        <w:t xml:space="preserve">2 </w:t>
      </w:r>
      <w:r w:rsidRPr="00721346">
        <w:rPr>
          <w:rFonts w:cs="Times New Roman"/>
          <w:sz w:val="24"/>
          <w:szCs w:val="24"/>
        </w:rPr>
        <w:t>Beijing National Laboratory for Condensed Matter Physics and Institute of Physics, Chinese Academy of Sciences; Beijing 100190, China.</w:t>
      </w:r>
    </w:p>
    <w:p w:rsidR="0080510D" w:rsidRPr="00721346" w:rsidRDefault="0080510D" w:rsidP="0080510D">
      <w:pPr>
        <w:spacing w:line="288" w:lineRule="auto"/>
        <w:jc w:val="both"/>
        <w:rPr>
          <w:rFonts w:cs="Times New Roman"/>
          <w:sz w:val="24"/>
          <w:szCs w:val="24"/>
        </w:rPr>
      </w:pPr>
      <w:r w:rsidRPr="00721346">
        <w:rPr>
          <w:rFonts w:cs="Times New Roman"/>
          <w:sz w:val="24"/>
          <w:szCs w:val="24"/>
          <w:vertAlign w:val="superscript"/>
        </w:rPr>
        <w:t xml:space="preserve">3 </w:t>
      </w:r>
      <w:r w:rsidRPr="00721346">
        <w:rPr>
          <w:rFonts w:cs="Times New Roman"/>
          <w:sz w:val="24"/>
          <w:szCs w:val="24"/>
        </w:rPr>
        <w:t>School of Physical Sciences, University of Chinese Academy of Sciences; Beijing 100190, China.</w:t>
      </w:r>
    </w:p>
    <w:p w:rsidR="0080510D" w:rsidRPr="00721346" w:rsidRDefault="0080510D" w:rsidP="0080510D">
      <w:pPr>
        <w:pStyle w:val="Paragraph"/>
        <w:spacing w:before="0" w:line="288" w:lineRule="auto"/>
        <w:ind w:firstLine="0"/>
        <w:jc w:val="both"/>
        <w:rPr>
          <w:rFonts w:cs="Times New Roman"/>
        </w:rPr>
      </w:pPr>
      <w:r w:rsidRPr="00721346">
        <w:rPr>
          <w:rStyle w:val="NoneA"/>
          <w:rFonts w:cs="Times New Roman"/>
        </w:rPr>
        <w:t>†These authors contributed equally to this work</w:t>
      </w:r>
    </w:p>
    <w:p w:rsidR="0080510D" w:rsidRPr="00721346" w:rsidRDefault="0080510D" w:rsidP="0080510D">
      <w:pPr>
        <w:pStyle w:val="Paragraph"/>
        <w:spacing w:before="0" w:line="288" w:lineRule="auto"/>
        <w:ind w:firstLine="0"/>
        <w:jc w:val="both"/>
        <w:rPr>
          <w:rFonts w:cs="Times New Roman"/>
        </w:rPr>
      </w:pPr>
      <w:r w:rsidRPr="00721346">
        <w:rPr>
          <w:rFonts w:cs="Times New Roman"/>
        </w:rPr>
        <w:t>*Corresponding author. Email: gyzhang@iphy.ac.cn OR gyzhang@sslab.org.cn</w:t>
      </w:r>
    </w:p>
    <w:p w:rsidR="0080510D" w:rsidRPr="00721346" w:rsidRDefault="0080510D">
      <w:pPr>
        <w:pBdr>
          <w:top w:val="none" w:sz="0" w:space="0" w:color="auto"/>
          <w:left w:val="none" w:sz="0" w:space="0" w:color="auto"/>
          <w:bottom w:val="none" w:sz="0" w:space="0" w:color="auto"/>
          <w:right w:val="none" w:sz="0" w:space="0" w:color="auto"/>
          <w:between w:val="none" w:sz="0" w:space="0" w:color="auto"/>
          <w:bar w:val="none" w:sz="0" w:color="auto"/>
        </w:pBdr>
        <w:rPr>
          <w:rFonts w:eastAsiaTheme="minorEastAsia" w:cs="Times New Roman"/>
          <w:b/>
          <w:bCs/>
          <w:sz w:val="24"/>
          <w:szCs w:val="24"/>
        </w:rPr>
      </w:pPr>
      <w:r w:rsidRPr="00721346">
        <w:rPr>
          <w:rFonts w:eastAsiaTheme="minorEastAsia" w:cs="Times New Roman"/>
          <w:b/>
          <w:bCs/>
          <w:sz w:val="24"/>
          <w:szCs w:val="24"/>
        </w:rPr>
        <w:br w:type="page"/>
      </w:r>
    </w:p>
    <w:p w:rsidR="00070409" w:rsidRPr="00721346" w:rsidRDefault="00C15CE4" w:rsidP="00C41388">
      <w:pPr>
        <w:pStyle w:val="SMSubheading"/>
        <w:spacing w:before="120" w:line="288" w:lineRule="auto"/>
        <w:rPr>
          <w:rFonts w:eastAsiaTheme="minorEastAsia" w:cs="Times New Roman"/>
          <w:b/>
          <w:bCs/>
          <w:u w:val="none"/>
        </w:rPr>
      </w:pPr>
      <w:r w:rsidRPr="00721346">
        <w:rPr>
          <w:rFonts w:eastAsiaTheme="minorEastAsia" w:cs="Times New Roman"/>
          <w:b/>
          <w:bCs/>
          <w:u w:val="none"/>
        </w:rPr>
        <w:lastRenderedPageBreak/>
        <w:t xml:space="preserve">Supplementary Note </w:t>
      </w:r>
      <w:r w:rsidR="00070409" w:rsidRPr="00721346">
        <w:rPr>
          <w:rFonts w:eastAsiaTheme="minorEastAsia" w:cs="Times New Roman"/>
          <w:b/>
          <w:bCs/>
          <w:u w:val="none"/>
        </w:rPr>
        <w:t>1. Pick-up of epitaxial MoS</w:t>
      </w:r>
      <w:r w:rsidR="00070409" w:rsidRPr="00721346">
        <w:rPr>
          <w:rFonts w:eastAsiaTheme="minorEastAsia" w:cs="Times New Roman"/>
          <w:b/>
          <w:bCs/>
          <w:u w:val="none"/>
          <w:vertAlign w:val="subscript"/>
        </w:rPr>
        <w:t>2</w:t>
      </w:r>
      <w:r w:rsidR="00070409" w:rsidRPr="00721346">
        <w:rPr>
          <w:rFonts w:eastAsiaTheme="minorEastAsia" w:cs="Times New Roman"/>
          <w:b/>
          <w:bCs/>
          <w:u w:val="none"/>
        </w:rPr>
        <w:t xml:space="preserve"> assisted by PMMA</w:t>
      </w:r>
    </w:p>
    <w:p w:rsidR="007E0201" w:rsidRPr="00721346" w:rsidRDefault="007E0201" w:rsidP="00C41388">
      <w:pPr>
        <w:pStyle w:val="SMSubheading"/>
        <w:spacing w:before="120" w:line="288" w:lineRule="auto"/>
        <w:rPr>
          <w:rFonts w:eastAsiaTheme="minorEastAsia" w:cs="Times New Roman"/>
          <w:u w:val="none"/>
        </w:rPr>
      </w:pPr>
      <w:r w:rsidRPr="00721346">
        <w:rPr>
          <w:rFonts w:eastAsiaTheme="minorEastAsia" w:cs="Times New Roman"/>
          <w:u w:val="none"/>
        </w:rPr>
        <w:t>The dry transfer method assisted by PMMA</w:t>
      </w:r>
      <w:r w:rsidR="001D3314" w:rsidRPr="00721346">
        <w:rPr>
          <w:rFonts w:eastAsiaTheme="minorEastAsia" w:cs="Times New Roman"/>
          <w:u w:val="none"/>
          <w:vertAlign w:val="superscript"/>
        </w:rPr>
        <w:t>1</w:t>
      </w:r>
      <w:r w:rsidR="00081F2D" w:rsidRPr="00721346">
        <w:rPr>
          <w:rFonts w:eastAsiaTheme="minorEastAsia" w:cs="Times New Roman"/>
          <w:u w:val="none"/>
          <w:vertAlign w:val="superscript"/>
        </w:rPr>
        <w:t>8</w:t>
      </w:r>
      <w:r w:rsidRPr="00721346">
        <w:rPr>
          <w:rFonts w:eastAsiaTheme="minorEastAsia" w:cs="Times New Roman"/>
          <w:u w:val="none"/>
        </w:rPr>
        <w:t xml:space="preserve"> </w:t>
      </w:r>
      <w:r w:rsidR="001D3314" w:rsidRPr="00721346">
        <w:rPr>
          <w:rFonts w:eastAsiaTheme="minorEastAsia" w:cs="Times New Roman"/>
          <w:u w:val="none"/>
        </w:rPr>
        <w:t>requires a</w:t>
      </w:r>
      <w:r w:rsidRPr="00721346">
        <w:rPr>
          <w:rFonts w:eastAsiaTheme="minorEastAsia" w:cs="Times New Roman"/>
          <w:u w:val="none"/>
        </w:rPr>
        <w:t xml:space="preserve"> low</w:t>
      </w:r>
      <w:r w:rsidR="001D3314" w:rsidRPr="00721346">
        <w:rPr>
          <w:rFonts w:eastAsiaTheme="minorEastAsia" w:cs="Times New Roman"/>
          <w:u w:val="none"/>
        </w:rPr>
        <w:t>er</w:t>
      </w:r>
      <w:r w:rsidRPr="00721346">
        <w:rPr>
          <w:rFonts w:eastAsiaTheme="minorEastAsia" w:cs="Times New Roman"/>
          <w:u w:val="none"/>
        </w:rPr>
        <w:t xml:space="preserve"> adhesion between 2D materials and substrate</w:t>
      </w:r>
      <w:r w:rsidR="001D3314" w:rsidRPr="00721346">
        <w:rPr>
          <w:rFonts w:eastAsiaTheme="minorEastAsia" w:cs="Times New Roman"/>
          <w:u w:val="none"/>
        </w:rPr>
        <w:t xml:space="preserve"> than that between 2D materials and PMMA</w:t>
      </w:r>
      <w:r w:rsidRPr="00721346">
        <w:rPr>
          <w:rFonts w:eastAsiaTheme="minorEastAsia" w:cs="Times New Roman"/>
          <w:u w:val="none"/>
        </w:rPr>
        <w:t>. When we appl</w:t>
      </w:r>
      <w:r w:rsidR="001D3314" w:rsidRPr="00721346">
        <w:rPr>
          <w:rFonts w:eastAsiaTheme="minorEastAsia" w:cs="Times New Roman"/>
          <w:u w:val="none"/>
        </w:rPr>
        <w:t>y</w:t>
      </w:r>
      <w:r w:rsidRPr="00721346">
        <w:rPr>
          <w:rFonts w:eastAsiaTheme="minorEastAsia" w:cs="Times New Roman"/>
          <w:u w:val="none"/>
        </w:rPr>
        <w:t xml:space="preserve"> this method on epitaxially grown MoS</w:t>
      </w:r>
      <w:r w:rsidRPr="00721346">
        <w:rPr>
          <w:rFonts w:eastAsiaTheme="minorEastAsia" w:cs="Times New Roman"/>
          <w:u w:val="none"/>
          <w:vertAlign w:val="subscript"/>
        </w:rPr>
        <w:t>2</w:t>
      </w:r>
      <w:r w:rsidRPr="00721346">
        <w:rPr>
          <w:rFonts w:eastAsiaTheme="minorEastAsia" w:cs="Times New Roman"/>
          <w:u w:val="none"/>
        </w:rPr>
        <w:t xml:space="preserve"> on sapphire</w:t>
      </w:r>
      <w:r w:rsidR="001D3314" w:rsidRPr="00721346">
        <w:rPr>
          <w:rFonts w:eastAsiaTheme="minorEastAsia" w:cs="Times New Roman"/>
          <w:u w:val="none"/>
        </w:rPr>
        <w:t xml:space="preserve"> with strong adhesion</w:t>
      </w:r>
      <w:r w:rsidRPr="00721346">
        <w:rPr>
          <w:rFonts w:eastAsiaTheme="minorEastAsia" w:cs="Times New Roman"/>
          <w:u w:val="none"/>
        </w:rPr>
        <w:t>, the transfer is failed and as-obtained films is fragmented as shown in Fig. S1.</w:t>
      </w:r>
    </w:p>
    <w:p w:rsidR="00070409" w:rsidRPr="00721346" w:rsidRDefault="009F2D26" w:rsidP="007E0201">
      <w:pPr>
        <w:pStyle w:val="SMSubheading"/>
        <w:spacing w:before="120" w:line="288" w:lineRule="auto"/>
        <w:jc w:val="center"/>
        <w:rPr>
          <w:rFonts w:eastAsiaTheme="minorEastAsia" w:cs="Times New Roman"/>
          <w:b/>
          <w:bCs/>
          <w:u w:val="none"/>
        </w:rPr>
      </w:pPr>
      <w:r w:rsidRPr="009F2D26">
        <w:rPr>
          <w:noProof/>
          <w:u w:val="none"/>
        </w:rPr>
        <w:drawing>
          <wp:inline distT="0" distB="0" distL="0" distR="0">
            <wp:extent cx="3600000" cy="1563181"/>
            <wp:effectExtent l="0" t="0" r="635" b="0"/>
            <wp:docPr id="696269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hqprint">
                      <a:extLst>
                        <a:ext uri="{28A0092B-C50C-407E-A947-70E740481C1C}">
                          <a14:useLocalDpi xmlns:a14="http://schemas.microsoft.com/office/drawing/2010/main" val="0"/>
                        </a:ext>
                      </a:extLst>
                    </a:blip>
                    <a:srcRect/>
                    <a:stretch>
                      <a:fillRect/>
                    </a:stretch>
                  </pic:blipFill>
                  <pic:spPr bwMode="auto">
                    <a:xfrm>
                      <a:off x="0" y="0"/>
                      <a:ext cx="3600000" cy="1563181"/>
                    </a:xfrm>
                    <a:prstGeom prst="rect">
                      <a:avLst/>
                    </a:prstGeom>
                    <a:noFill/>
                    <a:ln>
                      <a:noFill/>
                    </a:ln>
                  </pic:spPr>
                </pic:pic>
              </a:graphicData>
            </a:graphic>
          </wp:inline>
        </w:drawing>
      </w:r>
    </w:p>
    <w:p w:rsidR="00070409" w:rsidRPr="00721346" w:rsidRDefault="00070409" w:rsidP="00070409">
      <w:pPr>
        <w:pStyle w:val="SMText"/>
        <w:spacing w:line="288" w:lineRule="auto"/>
        <w:ind w:firstLine="0"/>
        <w:rPr>
          <w:rStyle w:val="NoneA"/>
          <w:rFonts w:eastAsiaTheme="minorEastAsia" w:cs="Times New Roman"/>
        </w:rPr>
      </w:pPr>
      <w:r w:rsidRPr="00721346">
        <w:rPr>
          <w:rStyle w:val="a3"/>
          <w:rFonts w:eastAsiaTheme="minorEastAsia" w:cs="Times New Roman"/>
        </w:rPr>
        <w:t>Figure S</w:t>
      </w:r>
      <w:r w:rsidRPr="00721346">
        <w:rPr>
          <w:rStyle w:val="a3"/>
          <w:rFonts w:cs="Times New Roman"/>
        </w:rPr>
        <w:t xml:space="preserve">1 </w:t>
      </w:r>
      <w:r w:rsidRPr="00721346">
        <w:rPr>
          <w:rStyle w:val="a3"/>
          <w:rFonts w:eastAsiaTheme="minorEastAsia" w:cs="Times New Roman"/>
        </w:rPr>
        <w:t>PMMA-assisted pick-up of epitaxial MoS</w:t>
      </w:r>
      <w:r w:rsidRPr="00721346">
        <w:rPr>
          <w:rStyle w:val="a3"/>
          <w:rFonts w:eastAsiaTheme="minorEastAsia" w:cs="Times New Roman"/>
          <w:vertAlign w:val="subscript"/>
        </w:rPr>
        <w:t>2</w:t>
      </w:r>
      <w:r w:rsidRPr="00721346">
        <w:rPr>
          <w:rStyle w:val="NoneA"/>
          <w:rFonts w:eastAsiaTheme="minorEastAsia" w:cs="Times New Roman"/>
          <w:b/>
          <w:bCs/>
        </w:rPr>
        <w:t xml:space="preserve"> grown on sapphire. a, </w:t>
      </w:r>
      <w:r w:rsidRPr="00721346">
        <w:rPr>
          <w:rStyle w:val="NoneA"/>
          <w:rFonts w:eastAsiaTheme="minorEastAsia" w:cs="Times New Roman"/>
        </w:rPr>
        <w:t>Optical micrograph of MoS</w:t>
      </w:r>
      <w:r w:rsidRPr="00721346">
        <w:rPr>
          <w:rStyle w:val="NoneA"/>
          <w:rFonts w:eastAsiaTheme="minorEastAsia" w:cs="Times New Roman"/>
          <w:vertAlign w:val="subscript"/>
        </w:rPr>
        <w:t>2</w:t>
      </w:r>
      <w:r w:rsidRPr="00721346">
        <w:rPr>
          <w:rStyle w:val="NoneA"/>
          <w:rFonts w:eastAsiaTheme="minorEastAsia" w:cs="Times New Roman"/>
        </w:rPr>
        <w:t xml:space="preserve">/sapphire after PMMA-assisted peeling, </w:t>
      </w:r>
      <w:r w:rsidR="007E0201" w:rsidRPr="00721346">
        <w:rPr>
          <w:rStyle w:val="NoneA"/>
          <w:rFonts w:eastAsiaTheme="minorEastAsia" w:cs="Times New Roman"/>
        </w:rPr>
        <w:t xml:space="preserve">vast </w:t>
      </w:r>
      <w:r w:rsidRPr="00721346">
        <w:rPr>
          <w:rStyle w:val="NoneA"/>
          <w:rFonts w:eastAsiaTheme="minorEastAsia" w:cs="Times New Roman"/>
        </w:rPr>
        <w:t xml:space="preserve">bright area </w:t>
      </w:r>
      <w:r w:rsidR="007E0201" w:rsidRPr="00721346">
        <w:rPr>
          <w:rStyle w:val="NoneA"/>
          <w:rFonts w:eastAsiaTheme="minorEastAsia" w:cs="Times New Roman"/>
        </w:rPr>
        <w:t>is</w:t>
      </w:r>
      <w:r w:rsidRPr="00721346">
        <w:rPr>
          <w:rStyle w:val="NoneA"/>
          <w:rFonts w:eastAsiaTheme="minorEastAsia" w:cs="Times New Roman"/>
        </w:rPr>
        <w:t xml:space="preserve"> MoS</w:t>
      </w:r>
      <w:r w:rsidRPr="00721346">
        <w:rPr>
          <w:rStyle w:val="NoneA"/>
          <w:rFonts w:eastAsiaTheme="minorEastAsia" w:cs="Times New Roman"/>
          <w:vertAlign w:val="subscript"/>
        </w:rPr>
        <w:t>2</w:t>
      </w:r>
      <w:r w:rsidRPr="00721346">
        <w:rPr>
          <w:rStyle w:val="NoneA"/>
          <w:rFonts w:eastAsiaTheme="minorEastAsia" w:cs="Times New Roman"/>
        </w:rPr>
        <w:t xml:space="preserve"> films </w:t>
      </w:r>
      <w:r w:rsidR="007E0201" w:rsidRPr="00721346">
        <w:rPr>
          <w:rStyle w:val="NoneA"/>
          <w:rFonts w:eastAsiaTheme="minorEastAsia" w:cs="Times New Roman"/>
        </w:rPr>
        <w:t>left behind after peeling.</w:t>
      </w:r>
      <w:r w:rsidRPr="00721346">
        <w:rPr>
          <w:rStyle w:val="NoneA"/>
          <w:rFonts w:eastAsiaTheme="minorEastAsia" w:cs="Times New Roman"/>
        </w:rPr>
        <w:t xml:space="preserve"> </w:t>
      </w:r>
      <w:r w:rsidR="007E0201" w:rsidRPr="00721346">
        <w:rPr>
          <w:rStyle w:val="NoneA"/>
          <w:rFonts w:eastAsiaTheme="minorEastAsia" w:cs="Times New Roman"/>
          <w:b/>
          <w:bCs/>
        </w:rPr>
        <w:t xml:space="preserve">b, </w:t>
      </w:r>
      <w:r w:rsidR="007E0201" w:rsidRPr="00721346">
        <w:rPr>
          <w:rStyle w:val="NoneA"/>
          <w:rFonts w:eastAsiaTheme="minorEastAsia" w:cs="Times New Roman"/>
        </w:rPr>
        <w:t>Optical micrograph of MoS</w:t>
      </w:r>
      <w:r w:rsidR="007E0201" w:rsidRPr="00721346">
        <w:rPr>
          <w:rStyle w:val="NoneA"/>
          <w:rFonts w:eastAsiaTheme="minorEastAsia" w:cs="Times New Roman"/>
          <w:vertAlign w:val="subscript"/>
        </w:rPr>
        <w:t>2</w:t>
      </w:r>
      <w:r w:rsidR="007E0201" w:rsidRPr="00721346">
        <w:rPr>
          <w:rStyle w:val="NoneA"/>
          <w:rFonts w:eastAsiaTheme="minorEastAsia" w:cs="Times New Roman"/>
        </w:rPr>
        <w:t xml:space="preserve">/PMMA after PMMA-assisted peeling, bright area </w:t>
      </w:r>
      <w:r w:rsidR="001D3314" w:rsidRPr="00721346">
        <w:rPr>
          <w:rStyle w:val="NoneA"/>
          <w:rFonts w:eastAsiaTheme="minorEastAsia" w:cs="Times New Roman"/>
        </w:rPr>
        <w:t>is</w:t>
      </w:r>
      <w:r w:rsidR="007E0201" w:rsidRPr="00721346">
        <w:rPr>
          <w:rStyle w:val="NoneA"/>
          <w:rFonts w:eastAsiaTheme="minorEastAsia" w:cs="Times New Roman"/>
        </w:rPr>
        <w:t xml:space="preserve"> fragmented MoS</w:t>
      </w:r>
      <w:r w:rsidR="007E0201" w:rsidRPr="00721346">
        <w:rPr>
          <w:rStyle w:val="NoneA"/>
          <w:rFonts w:eastAsiaTheme="minorEastAsia" w:cs="Times New Roman"/>
          <w:vertAlign w:val="subscript"/>
        </w:rPr>
        <w:t>2</w:t>
      </w:r>
      <w:r w:rsidR="007E0201" w:rsidRPr="00721346">
        <w:rPr>
          <w:rStyle w:val="NoneA"/>
          <w:rFonts w:eastAsiaTheme="minorEastAsia" w:cs="Times New Roman"/>
        </w:rPr>
        <w:t xml:space="preserve"> films transferred onto PMMA.</w:t>
      </w:r>
    </w:p>
    <w:p w:rsidR="00070409" w:rsidRPr="00721346" w:rsidRDefault="00070409" w:rsidP="00C41388">
      <w:pPr>
        <w:pStyle w:val="SMSubheading"/>
        <w:spacing w:before="120" w:line="288" w:lineRule="auto"/>
        <w:rPr>
          <w:rFonts w:eastAsiaTheme="minorEastAsia" w:cs="Times New Roman"/>
          <w:b/>
          <w:bCs/>
          <w:u w:val="none"/>
        </w:rPr>
      </w:pPr>
    </w:p>
    <w:p w:rsidR="00C41388" w:rsidRPr="00721346" w:rsidRDefault="00C15CE4" w:rsidP="00C41388">
      <w:pPr>
        <w:pStyle w:val="SMSubheading"/>
        <w:spacing w:before="120" w:line="288" w:lineRule="auto"/>
        <w:rPr>
          <w:rFonts w:cs="Times New Roman"/>
          <w:b/>
          <w:bCs/>
          <w:u w:val="none"/>
        </w:rPr>
      </w:pPr>
      <w:r w:rsidRPr="00721346">
        <w:rPr>
          <w:rFonts w:eastAsiaTheme="minorEastAsia" w:cs="Times New Roman"/>
          <w:b/>
          <w:bCs/>
          <w:u w:val="none"/>
        </w:rPr>
        <w:t xml:space="preserve">Supplementary Note </w:t>
      </w:r>
      <w:r w:rsidR="00070409" w:rsidRPr="00721346">
        <w:rPr>
          <w:rFonts w:eastAsiaTheme="minorEastAsia" w:cs="Times New Roman"/>
          <w:b/>
          <w:bCs/>
          <w:u w:val="none"/>
        </w:rPr>
        <w:t>2</w:t>
      </w:r>
      <w:r w:rsidR="00C41388" w:rsidRPr="00721346">
        <w:rPr>
          <w:rFonts w:eastAsiaTheme="minorEastAsia" w:cs="Times New Roman"/>
          <w:b/>
          <w:bCs/>
          <w:u w:val="none"/>
        </w:rPr>
        <w:t xml:space="preserve">. </w:t>
      </w:r>
      <w:r w:rsidR="00C41388" w:rsidRPr="00721346">
        <w:rPr>
          <w:rFonts w:cs="Times New Roman"/>
          <w:b/>
          <w:bCs/>
          <w:u w:val="none"/>
        </w:rPr>
        <w:t>Debonding process</w:t>
      </w:r>
    </w:p>
    <w:p w:rsidR="00C41388" w:rsidRPr="00721346" w:rsidRDefault="00C41388" w:rsidP="00C41388">
      <w:pPr>
        <w:pStyle w:val="SMText"/>
        <w:spacing w:line="288" w:lineRule="auto"/>
        <w:jc w:val="both"/>
        <w:rPr>
          <w:rStyle w:val="NoneA"/>
          <w:rFonts w:cs="Times New Roman"/>
        </w:rPr>
      </w:pPr>
      <w:r w:rsidRPr="00721346">
        <w:rPr>
          <w:rStyle w:val="NoneA"/>
          <w:rFonts w:cs="Times New Roman"/>
        </w:rPr>
        <w:t>During debonding, the stress exerted on films is affected by critical energy release rate (</w:t>
      </w:r>
      <w:r w:rsidRPr="00721346">
        <w:rPr>
          <w:rFonts w:cs="Times New Roman"/>
          <w:i/>
          <w:iCs/>
        </w:rPr>
        <w:t>G</w:t>
      </w:r>
      <w:r w:rsidRPr="00721346">
        <w:rPr>
          <w:rFonts w:cs="Times New Roman"/>
          <w:i/>
          <w:iCs/>
          <w:vertAlign w:val="subscript"/>
        </w:rPr>
        <w:t>c</w:t>
      </w:r>
      <w:r w:rsidRPr="00721346">
        <w:rPr>
          <w:rStyle w:val="NoneA"/>
          <w:rFonts w:cs="Times New Roman"/>
        </w:rPr>
        <w:t xml:space="preserve">) of the cracked interface. In interface fracture mechanics, </w:t>
      </w:r>
      <w:r w:rsidRPr="00721346">
        <w:rPr>
          <w:rFonts w:cs="Times New Roman"/>
          <w:i/>
          <w:iCs/>
        </w:rPr>
        <w:t>G</w:t>
      </w:r>
      <w:r w:rsidRPr="00721346">
        <w:rPr>
          <w:rFonts w:cs="Times New Roman"/>
          <w:i/>
          <w:iCs/>
          <w:vertAlign w:val="subscript"/>
        </w:rPr>
        <w:t>c</w:t>
      </w:r>
      <w:r w:rsidRPr="00721346">
        <w:rPr>
          <w:rStyle w:val="NoneA"/>
          <w:rFonts w:cs="Times New Roman"/>
        </w:rPr>
        <w:t xml:space="preserve"> is influenced by mode-mixity, debonding loading rate, and temperature. Mode-mixity phase angle is: </w:t>
      </w:r>
      <w:r w:rsidRPr="00721346">
        <w:rPr>
          <w:rFonts w:cs="Times New Roman"/>
          <w:i/>
          <w:iCs/>
        </w:rPr>
        <w:t>ψ =</w:t>
      </w:r>
      <m:oMath>
        <m:func>
          <m:funcPr>
            <m:ctrlPr>
              <w:rPr>
                <w:rFonts w:ascii="Cambria Math" w:hAnsi="Cambria Math" w:cs="Times New Roman"/>
                <w:i/>
              </w:rPr>
            </m:ctrlPr>
          </m:funcPr>
          <m:fName>
            <m:sSup>
              <m:sSupPr>
                <m:ctrlPr>
                  <w:rPr>
                    <w:rFonts w:ascii="Cambria Math" w:hAnsi="Cambria Math" w:cs="Times New Roman"/>
                  </w:rPr>
                </m:ctrlPr>
              </m:sSupPr>
              <m:e>
                <m:r>
                  <w:rPr>
                    <w:rFonts w:ascii="Cambria Math" w:hAnsi="Cambria Math" w:cs="Times New Roman"/>
                  </w:rPr>
                  <m:t>tan</m:t>
                </m:r>
              </m:e>
              <m:sup>
                <m:r>
                  <w:rPr>
                    <w:rFonts w:ascii="Cambria Math" w:hAnsi="Cambria Math" w:cs="Times New Roman"/>
                  </w:rPr>
                  <m:t>-1</m:t>
                </m:r>
              </m:sup>
            </m:sSup>
          </m:fName>
          <m:e>
            <m:r>
              <w:rPr>
                <w:rFonts w:ascii="Cambria Math" w:hAnsi="Cambria Math" w:cs="Times New Roman"/>
              </w:rPr>
              <m:t>(</m:t>
            </m:r>
            <m:rad>
              <m:radPr>
                <m:degHide m:val="1"/>
                <m:ctrlPr>
                  <w:rPr>
                    <w:rFonts w:ascii="Cambria Math" w:hAnsi="Cambria Math" w:cs="Times New Roman"/>
                    <w:i/>
                  </w:rPr>
                </m:ctrlPr>
              </m:radPr>
              <m:deg/>
              <m:e>
                <m:f>
                  <m:fPr>
                    <m:ctrlPr>
                      <w:rPr>
                        <w:rFonts w:ascii="Cambria Math" w:hAnsi="Cambria Math" w:cs="Times New Roman"/>
                        <w:i/>
                      </w:rPr>
                    </m:ctrlPr>
                  </m:fPr>
                  <m:num>
                    <m:sSub>
                      <m:sSubPr>
                        <m:ctrlPr>
                          <w:rPr>
                            <w:rFonts w:ascii="Cambria Math" w:hAnsi="Cambria Math" w:cs="Times New Roman"/>
                          </w:rPr>
                        </m:ctrlPr>
                      </m:sSubPr>
                      <m:e>
                        <m:r>
                          <w:rPr>
                            <w:rFonts w:ascii="Cambria Math" w:hAnsi="Cambria Math" w:cs="Times New Roman"/>
                          </w:rPr>
                          <m:t>σ</m:t>
                        </m:r>
                      </m:e>
                      <m:sub>
                        <m:r>
                          <w:rPr>
                            <w:rFonts w:ascii="Cambria Math" w:hAnsi="Cambria Math" w:cs="Times New Roman"/>
                          </w:rPr>
                          <m:t>s</m:t>
                        </m:r>
                      </m:sub>
                    </m:sSub>
                  </m:num>
                  <m:den>
                    <m:sSub>
                      <m:sSubPr>
                        <m:ctrlPr>
                          <w:rPr>
                            <w:rFonts w:ascii="Cambria Math" w:hAnsi="Cambria Math" w:cs="Times New Roman"/>
                          </w:rPr>
                        </m:ctrlPr>
                      </m:sSubPr>
                      <m:e>
                        <m:r>
                          <w:rPr>
                            <w:rFonts w:ascii="Cambria Math" w:hAnsi="Cambria Math" w:cs="Times New Roman"/>
                          </w:rPr>
                          <m:t>σ</m:t>
                        </m:r>
                      </m:e>
                      <m:sub>
                        <m:r>
                          <w:rPr>
                            <w:rFonts w:ascii="Cambria Math" w:hAnsi="Cambria Math" w:cs="Times New Roman"/>
                          </w:rPr>
                          <m:t>n</m:t>
                        </m:r>
                      </m:sub>
                    </m:sSub>
                  </m:den>
                </m:f>
              </m:e>
            </m:rad>
            <m:r>
              <w:rPr>
                <w:rFonts w:ascii="Cambria Math" w:hAnsi="Cambria Math" w:cs="Times New Roman"/>
              </w:rPr>
              <m:t>)</m:t>
            </m:r>
          </m:e>
        </m:func>
      </m:oMath>
      <w:r w:rsidRPr="00721346">
        <w:rPr>
          <w:rStyle w:val="NoneA"/>
          <w:rFonts w:cs="Times New Roman"/>
        </w:rPr>
        <w:t xml:space="preserve">, where </w:t>
      </w:r>
      <w:r w:rsidRPr="00721346">
        <w:rPr>
          <w:rFonts w:cs="Times New Roman"/>
          <w:i/>
          <w:iCs/>
        </w:rPr>
        <w:t>σ</w:t>
      </w:r>
      <w:r w:rsidRPr="00721346">
        <w:rPr>
          <w:rFonts w:cs="Times New Roman"/>
          <w:i/>
          <w:iCs/>
          <w:vertAlign w:val="subscript"/>
        </w:rPr>
        <w:t>n</w:t>
      </w:r>
      <w:r w:rsidRPr="00721346">
        <w:rPr>
          <w:rStyle w:val="NoneA"/>
          <w:rFonts w:cs="Times New Roman"/>
        </w:rPr>
        <w:t xml:space="preserve"> (</w:t>
      </w:r>
      <w:r w:rsidRPr="00721346">
        <w:rPr>
          <w:rFonts w:cs="Times New Roman"/>
          <w:i/>
          <w:iCs/>
        </w:rPr>
        <w:t>σ</w:t>
      </w:r>
      <w:r w:rsidRPr="00721346">
        <w:rPr>
          <w:rFonts w:cs="Times New Roman"/>
          <w:i/>
          <w:iCs/>
          <w:vertAlign w:val="subscript"/>
        </w:rPr>
        <w:t>s</w:t>
      </w:r>
      <w:r w:rsidRPr="00721346">
        <w:rPr>
          <w:rStyle w:val="NoneA"/>
          <w:rFonts w:cs="Times New Roman"/>
        </w:rPr>
        <w:t xml:space="preserve">) is the normal (shear) component of traction. </w:t>
      </w:r>
      <w:r w:rsidRPr="00721346">
        <w:rPr>
          <w:rFonts w:cs="Times New Roman"/>
          <w:i/>
          <w:iCs/>
        </w:rPr>
        <w:t>ψ</w:t>
      </w:r>
      <w:r w:rsidRPr="00721346">
        <w:rPr>
          <w:rStyle w:val="NoneA"/>
          <w:rFonts w:cs="Times New Roman"/>
        </w:rPr>
        <w:t xml:space="preserve"> = 0° and 90° corresponds to pure mode-I (</w:t>
      </w:r>
      <w:r w:rsidRPr="00721346">
        <w:rPr>
          <w:rFonts w:cs="Times New Roman"/>
          <w:i/>
          <w:iCs/>
        </w:rPr>
        <w:t>σ</w:t>
      </w:r>
      <w:r w:rsidRPr="00721346">
        <w:rPr>
          <w:rFonts w:cs="Times New Roman"/>
          <w:i/>
          <w:iCs/>
          <w:vertAlign w:val="subscript"/>
        </w:rPr>
        <w:t>s</w:t>
      </w:r>
      <w:r w:rsidRPr="00721346">
        <w:rPr>
          <w:rStyle w:val="NoneA"/>
          <w:rFonts w:cs="Times New Roman"/>
        </w:rPr>
        <w:t xml:space="preserve"> = 0) and mode-Ⅱ (</w:t>
      </w:r>
      <w:r w:rsidRPr="00721346">
        <w:rPr>
          <w:rFonts w:cs="Times New Roman"/>
          <w:i/>
          <w:iCs/>
        </w:rPr>
        <w:t>σ</w:t>
      </w:r>
      <w:r w:rsidRPr="00721346">
        <w:rPr>
          <w:rFonts w:cs="Times New Roman"/>
          <w:i/>
          <w:iCs/>
          <w:vertAlign w:val="subscript"/>
        </w:rPr>
        <w:t xml:space="preserve">n </w:t>
      </w:r>
      <w:r w:rsidRPr="00721346">
        <w:rPr>
          <w:rStyle w:val="NoneA"/>
          <w:rFonts w:cs="Times New Roman"/>
        </w:rPr>
        <w:t xml:space="preserve">= 0) fracture, respectively. During crack propagation, </w:t>
      </w:r>
      <w:r w:rsidRPr="00721346">
        <w:rPr>
          <w:rFonts w:cs="Times New Roman"/>
          <w:i/>
          <w:iCs/>
        </w:rPr>
        <w:t>G</w:t>
      </w:r>
      <w:r w:rsidRPr="00721346">
        <w:rPr>
          <w:rFonts w:cs="Times New Roman"/>
          <w:i/>
          <w:iCs/>
          <w:vertAlign w:val="subscript"/>
        </w:rPr>
        <w:t>c</w:t>
      </w:r>
      <w:r w:rsidRPr="00721346">
        <w:rPr>
          <w:rStyle w:val="NoneA"/>
          <w:rFonts w:cs="Times New Roman"/>
        </w:rPr>
        <w:t xml:space="preserve"> increases monotonously with the growth of mode-mix phase angle</w:t>
      </w:r>
      <w:r w:rsidR="00081F2D" w:rsidRPr="00721346">
        <w:rPr>
          <w:rFonts w:eastAsiaTheme="minorEastAsia" w:cs="Times New Roman"/>
          <w:vertAlign w:val="superscript"/>
        </w:rPr>
        <w:t>28</w:t>
      </w:r>
      <w:r w:rsidR="00081F2D" w:rsidRPr="00721346">
        <w:rPr>
          <w:rFonts w:cs="Times New Roman"/>
          <w:vertAlign w:val="superscript"/>
        </w:rPr>
        <w:t>–</w:t>
      </w:r>
      <w:r w:rsidR="00081F2D" w:rsidRPr="00721346">
        <w:rPr>
          <w:rFonts w:eastAsiaTheme="minorEastAsia" w:cs="Times New Roman"/>
          <w:vertAlign w:val="superscript"/>
        </w:rPr>
        <w:t>30</w:t>
      </w:r>
      <w:r w:rsidRPr="00721346">
        <w:rPr>
          <w:rStyle w:val="NoneA"/>
          <w:rFonts w:cs="Times New Roman"/>
        </w:rPr>
        <w:t>. The double cantilever beam (DCB) mode I fracture applied in our debonding process (Movie S1), which have been used for the large area dry transfer of graphene and bismuth films</w:t>
      </w:r>
      <w:r w:rsidRPr="00721346">
        <w:rPr>
          <w:rFonts w:cs="Times New Roman"/>
        </w:rPr>
        <w:fldChar w:fldCharType="begin"/>
      </w:r>
      <w:r w:rsidRPr="00721346">
        <w:rPr>
          <w:rFonts w:cs="Times New Roman"/>
        </w:rPr>
        <w:instrText xml:space="preserve"> ADDIN ZOTERO_ITEM CSL_CITATION {"citationID":"gvWbgw3r","properties":{"formattedCitation":"\\super 27,28\\nosupersub{}","plainCitation":"27,28","noteIndex":0},"citationItems":[{"id":2567,"uris":["http://zotero.org/users/8969609/items/SH4A8NCG"],"itemData":{"id":2567,"type":"article-journal","abstract":"A very fast, dry transfer process based on mechanical delamination successfully eﬀected the transfer of large-area, CVD grown graphene on copper foil to silicon. This has been achieved by bonding silicon backing layers to both sides of the graphene-coated copper foil with epoxy and applying a suitably high separation rate to the backing layers. At the highest separation rate considered (254.0 μm/s), monolayer graphene was completely transferred from the copper foil to the target silicon substrate. On the other hand, the lowest rate (25.4 μm/s) caused the epoxy to be completely separated from the graphene. Fracture mechanics analyses were used to determine the adhesion energy between graphene and its seed copper foil (6.0 J/m2) and between graphene and the epoxy (3.4 J/m2) at the respective loading rates. Control experiments for the epoxy/silicon interface established a rate dependent adhesion, which supports the hypothesis that the adhesion of the graphene/epoxy interface was higher than that of the graphene/copper interface at the higher separation rate, thereby providing a controllable mechanism for selective transfer of graphene in future nanofabrication systems such as roll-to-roll transfer.","container-title":"ACS Nano","DOI":"10.1021/nn505178g","ISSN":"1936-0851, 1936-086X","issue":"2","journalAbbreviation":"ACS Nano","language":"en","page":"1325-1335","source":"DOI.org (Crossref)","title":"Selective Mechanical Transfer of Graphene from Seed Copper Foil Using Rate Effects","volume":"9","author":[{"family":"Na","given":"Seung Ryul"},{"family":"Suk","given":"Ji Won"},{"family":"Tao","given":"Li"},{"family":"Akinwande","given":"Deji"},{"family":"Ruoff","given":"Rodney S."},{"family":"Huang","given":"Rui"},{"family":"Liechti","given":"Kenneth M."}],"issued":{"date-parts":[["2015",2,24]]}}},{"id":1386,"uris":["http://zotero.org/users/8969609/items/IRCYEG4L"],"itemData":{"id":1386,"type":"article-journal","abstract":"We report the ﬁrst direct dry transfer of a singlecrystalline thin ﬁlm grown by molecular beam epitaxy. A double cantilever beam fracture technique was used to transfer epitaxial bismuth thin ﬁlms grown on silicon (111) to silicon strips coated with epoxy. The transferred bismuth ﬁlms retained electrical, optical, and structural properties comparable to the asgrown epitaxial ﬁlms. Additionally, we isolated the bismuth thin ﬁlms on freestanding ﬂexible cured-epoxy post-transfer. The adhesion energy at the bismuth/silicon interface was measured to be </w:instrText>
      </w:r>
      <w:r w:rsidRPr="00721346">
        <w:rPr>
          <w:rFonts w:ascii="Cambria Math" w:hAnsi="Cambria Math" w:cs="Cambria Math"/>
        </w:rPr>
        <w:instrText>∼</w:instrText>
      </w:r>
      <w:r w:rsidRPr="00721346">
        <w:rPr>
          <w:rFonts w:cs="Times New Roman"/>
        </w:rPr>
        <w:instrText xml:space="preserve">1 J/m2, comparable to that of exfoliated and wet transferred graphene. This low adhesion energy and ease of transfer is unexpected for an epitaxially grown ﬁlm and may enable the study of bismuth’s unique electronic and spintronic properties on arbitrary substrates. Moreover, this method suggests a route to integrate other group-V epitaxial ﬁlms (i.e., phosphorus) with arbitrary substrates, as well as potentially to isolate bismuthene, the atomic thin-ﬁlm limit of bismuth.","container-title":"Nano Lett.","issue":"11","language":"en","page":"6931-6938","source":"Zotero","title":"Large-Area Dry Transfer of Single-Crystalline Epitaxial Bismuth Thin Films","volume":"16","author":[{"family":"Walker","given":"Emily S"},{"family":"Na","given":"Seung Ryul"},{"family":"Jung","given":"Daehwan"},{"family":"March","given":"Stephen D"},{"family":"Kim","given":"Joon-Seok"},{"family":"Trivedi","given":"Tanuj"},{"family":"Li","given":"Wei"},{"family":"Tao","given":"Li"},{"family":"Lee","given":"Minjoo L"},{"family":"Liechti","given":"Kenneth M"},{"family":"Akinwande","given":"Deji"},{"family":"Bank","given":"Seth R"}],"issued":{"date-parts":[["2016"]]}}}],"schema":"https://github.com/citation-style-language/schema/raw/master/csl-citation.json"} </w:instrText>
      </w:r>
      <w:r w:rsidRPr="00721346">
        <w:rPr>
          <w:rFonts w:cs="Times New Roman"/>
        </w:rPr>
        <w:fldChar w:fldCharType="separate"/>
      </w:r>
      <w:r w:rsidRPr="00721346">
        <w:rPr>
          <w:rFonts w:cs="Times New Roman"/>
          <w:vertAlign w:val="superscript"/>
        </w:rPr>
        <w:t>2</w:t>
      </w:r>
      <w:r w:rsidR="00081F2D" w:rsidRPr="00721346">
        <w:rPr>
          <w:rFonts w:eastAsiaTheme="minorEastAsia" w:cs="Times New Roman"/>
          <w:vertAlign w:val="superscript"/>
        </w:rPr>
        <w:t>4</w:t>
      </w:r>
      <w:r w:rsidRPr="00721346">
        <w:rPr>
          <w:rFonts w:cs="Times New Roman"/>
          <w:vertAlign w:val="superscript"/>
        </w:rPr>
        <w:t>,2</w:t>
      </w:r>
      <w:r w:rsidRPr="00721346">
        <w:rPr>
          <w:rFonts w:cs="Times New Roman"/>
        </w:rPr>
        <w:fldChar w:fldCharType="end"/>
      </w:r>
      <w:r w:rsidR="00081F2D" w:rsidRPr="00721346">
        <w:rPr>
          <w:rFonts w:eastAsiaTheme="minorEastAsia" w:cs="Times New Roman"/>
          <w:vertAlign w:val="superscript"/>
        </w:rPr>
        <w:t>5</w:t>
      </w:r>
      <w:r w:rsidRPr="00721346">
        <w:rPr>
          <w:rStyle w:val="NoneA"/>
          <w:rFonts w:cs="Times New Roman"/>
        </w:rPr>
        <w:t xml:space="preserve">, can effectively reduce </w:t>
      </w:r>
      <w:r w:rsidRPr="00721346">
        <w:rPr>
          <w:rFonts w:cs="Times New Roman"/>
          <w:i/>
          <w:iCs/>
        </w:rPr>
        <w:t>G</w:t>
      </w:r>
      <w:r w:rsidRPr="00721346">
        <w:rPr>
          <w:rFonts w:cs="Times New Roman"/>
          <w:i/>
          <w:iCs/>
          <w:vertAlign w:val="subscript"/>
        </w:rPr>
        <w:t>c</w:t>
      </w:r>
      <w:r w:rsidRPr="00721346">
        <w:rPr>
          <w:rStyle w:val="NoneA"/>
          <w:rFonts w:cs="Times New Roman"/>
        </w:rPr>
        <w:t xml:space="preserve"> and shear stress during delamination.</w:t>
      </w:r>
    </w:p>
    <w:p w:rsidR="007E0201" w:rsidRPr="00721346" w:rsidRDefault="00C41388" w:rsidP="007E0201">
      <w:pPr>
        <w:pStyle w:val="SMText"/>
        <w:spacing w:line="288" w:lineRule="auto"/>
        <w:jc w:val="both"/>
        <w:rPr>
          <w:rStyle w:val="NoneA"/>
          <w:rFonts w:eastAsiaTheme="minorEastAsia" w:cs="Times New Roman"/>
        </w:rPr>
      </w:pPr>
      <w:r w:rsidRPr="00721346">
        <w:rPr>
          <w:rStyle w:val="NoneA"/>
          <w:rFonts w:cs="Times New Roman"/>
        </w:rPr>
        <w:t xml:space="preserve">In DCB fracture, the fracture toughness is influenced by displacement loading rate, low loading rate (~2 μm/s) leads to smaller strain energy release rate </w:t>
      </w:r>
      <w:r w:rsidRPr="00721346">
        <w:rPr>
          <w:rFonts w:cs="Times New Roman"/>
          <w:i/>
          <w:iCs/>
        </w:rPr>
        <w:t>G</w:t>
      </w:r>
      <w:r w:rsidRPr="00721346">
        <w:rPr>
          <w:rStyle w:val="NoneA"/>
          <w:rFonts w:cs="Times New Roman"/>
        </w:rPr>
        <w:t>, which ensures a stable crack propagation and a lower level of shear stress</w:t>
      </w:r>
      <w:r w:rsidRPr="00721346">
        <w:rPr>
          <w:rFonts w:cs="Times New Roman"/>
        </w:rPr>
        <w:fldChar w:fldCharType="begin"/>
      </w:r>
      <w:r w:rsidRPr="00721346">
        <w:rPr>
          <w:rFonts w:cs="Times New Roman"/>
        </w:rPr>
        <w:instrText xml:space="preserve"> ADDIN ZOTERO_ITEM CSL_CITATION {"citationID":"DFHflsUZ","properties":{"formattedCitation":"\\super 34,35\\nosupersub{}","plainCitation":"34,35","noteIndex":0},"citationItems":[{"id":1178,"uris":["http://zotero.org/users/8969609/items/8FZ8MXKB"],"itemData":{"id":1178,"type":"article-journal","abstract":"Adhesives are widely used in the automotive industry as they can be used to manufacture lightweight multimaterial structures with improved strength-to-weight ratio, contributing to lower energy consumption and emissions. In this industry, it is also crucial to ensure passengers’ safety and, thus, mechanical behavior of the complete automotive structure should be tested for impact conditions, including the adhesive joints within it. This work presents the development of a finite element, which models the mechanical behavior of adhesives and takes into account the strain rate dependent property variation, in mode I. The trends for the property variation were set based on an experimental study of two adhesives under three different loading conditions: quasi-static, intermediate speed, and impact. The strength was determined using bulk tensile tests and toughness using double cantilever beam, respectively. Both adhesives studied have shown an increase in ultimate stress and critical energy release rate with increasing strain rate. The property variation was then implemented on a finite element, which revealed a good agreement with the experimental results.","container-title":"Proceedings of the Institution of Mechanical Engineers, Part L: Journal of Materials: Design and Applications","DOI":"10.1177/1464420720904026","ISSN":"1464-4207, 2041-3076","issue":"4","journalAbbreviation":"Proc. Inst. Mech. Eng. L: J. Mater.: Des. Appl.","language":"en","page":"610-621","source":"DOI.org (Crossref)","title":"A strain rate dependent cohesive zone element for mode I modeling of the fracture behavior of adhesives","volume":"234","author":[{"family":"Borges","given":"Csp"},{"family":"Nunes","given":"Pdp"},{"family":"Akhavan-Safar","given":"A"},{"family":"Marques","given":"Eas"},{"family":"Carbas","given":"Rjc"},{"family":"Alfonso","given":"L"},{"family":"Silva","given":"Lfm"}],"issued":{"date-parts":[["2020",4]]}}},{"id":1412,"uris":["http://zotero.org/users/8969609/items/C5TXDNSK"],"itemData":{"id":1412,"type":"article-journal","abstract":"The rate dependence in the thin-ﬁlm delamination process has been widely studied to develop advanced transfer technologies, such as selective mechanical transfer and kinetically controlled transfer printing. However, so far there has been no consideration of crack deﬂection in transfer processes, although the fracture behavior at an interface depends on the deﬂection of a crack. Here, we demonstrate the role of crack deﬂection on rate dependent mechanical transfer of synthesized multilayer graphene. We used double cantilever beam fracture mechanics testing to investigate the crack deﬂection in an adhesive-multilayer graphene-donor substrate sandwiched structure. The experimental results show that transfer yield of multilayer graphene increases as a higher loading rate is applied, and the mechanism is attributed to the degree of crack deﬂection. The high loading rate mitigates the elastic modulus mismatch between the adhesive and the donor substrate due to the viscoelasticity of the adhesive. Mitigation of the elastic modulus mismatch reduces crack deﬂection and consequently increases transfer yield. The suggested mechanism is veriﬁed by ﬁnite element analysis. Moreover, the rate eﬀect is adopted for a selective mechanical transfer process for transparent electronics. We believe this study provides a new insight on understanding the underlying physics of the rate dependence.","container-title":"ACS Applied Nano Materials","DOI":"10.1021/acsanm.9b00014","ISSN":"2574-0970, 2574-0970","issue":"4","journalAbbreviation":"ACS Appl. Nano Mater.","language":"en","page":"1980-1985","source":"DOI.org (Crossref)","title":"Role of Crack Deflection on Rate Dependent Mechanical Transfer of Multilayer Graphene and Its Application to Transparent Electrodes","volume":"2","author":[{"family":"Kang","given":"Sumin"},{"family":"Yoon","given":"Taeshik"},{"family":"Kim","given":"Seunghwan"},{"family":"Kim","given":"Taek-Soo"}],"issued":{"date-parts":[["2019",4,26]]}}}],"schema":"https://github.com/citation-style-language/schema/raw/master/csl-citation.json"} </w:instrText>
      </w:r>
      <w:r w:rsidRPr="00721346">
        <w:rPr>
          <w:rFonts w:cs="Times New Roman"/>
        </w:rPr>
        <w:fldChar w:fldCharType="separate"/>
      </w:r>
      <w:r w:rsidR="00081F2D" w:rsidRPr="00721346">
        <w:rPr>
          <w:rFonts w:eastAsiaTheme="minorEastAsia" w:cs="Times New Roman"/>
          <w:vertAlign w:val="superscript"/>
        </w:rPr>
        <w:t>31</w:t>
      </w:r>
      <w:r w:rsidRPr="00721346">
        <w:rPr>
          <w:rFonts w:cs="Times New Roman"/>
          <w:vertAlign w:val="superscript"/>
        </w:rPr>
        <w:t>,</w:t>
      </w:r>
      <w:r w:rsidR="00081F2D" w:rsidRPr="00721346">
        <w:rPr>
          <w:rFonts w:eastAsiaTheme="minorEastAsia" w:cs="Times New Roman"/>
          <w:vertAlign w:val="superscript"/>
        </w:rPr>
        <w:t>32</w:t>
      </w:r>
      <w:r w:rsidRPr="00721346">
        <w:rPr>
          <w:rFonts w:cs="Times New Roman"/>
        </w:rPr>
        <w:fldChar w:fldCharType="end"/>
      </w:r>
      <w:r w:rsidRPr="00721346">
        <w:rPr>
          <w:rStyle w:val="NoneA"/>
          <w:rFonts w:cs="Times New Roman"/>
        </w:rPr>
        <w:t xml:space="preserve">. In contrast, the wafer delaminated under rapid exfoliation shows countless cracks caused by unstable crack propagation and high shear stress (Fig. </w:t>
      </w:r>
      <w:r w:rsidRPr="00721346">
        <w:rPr>
          <w:rStyle w:val="NoneA"/>
          <w:rFonts w:eastAsiaTheme="minorEastAsia" w:cs="Times New Roman"/>
        </w:rPr>
        <w:t>S</w:t>
      </w:r>
      <w:r w:rsidR="00267C35" w:rsidRPr="00721346">
        <w:rPr>
          <w:rStyle w:val="NoneA"/>
          <w:rFonts w:eastAsiaTheme="minorEastAsia" w:cs="Times New Roman"/>
        </w:rPr>
        <w:t>2</w:t>
      </w:r>
      <w:r w:rsidRPr="00721346">
        <w:rPr>
          <w:rStyle w:val="NoneA"/>
          <w:rFonts w:cs="Times New Roman"/>
        </w:rPr>
        <w:t xml:space="preserve">). The exfoliating temperature also dramatically influences </w:t>
      </w:r>
      <w:r w:rsidRPr="00721346">
        <w:rPr>
          <w:rFonts w:cs="Times New Roman"/>
          <w:i/>
          <w:iCs/>
        </w:rPr>
        <w:t>G</w:t>
      </w:r>
      <w:r w:rsidRPr="00721346">
        <w:rPr>
          <w:rFonts w:cs="Times New Roman"/>
          <w:i/>
          <w:iCs/>
          <w:vertAlign w:val="subscript"/>
        </w:rPr>
        <w:t>c</w:t>
      </w:r>
      <w:r w:rsidRPr="00721346">
        <w:rPr>
          <w:rStyle w:val="NoneA"/>
          <w:rFonts w:cs="Times New Roman"/>
        </w:rPr>
        <w:t xml:space="preserve">. Debonding under low temperature (room temperature) increases </w:t>
      </w:r>
      <w:r w:rsidRPr="00721346">
        <w:rPr>
          <w:rFonts w:cs="Times New Roman"/>
          <w:i/>
          <w:iCs/>
        </w:rPr>
        <w:t>G</w:t>
      </w:r>
      <w:r w:rsidRPr="00721346">
        <w:rPr>
          <w:rFonts w:cs="Times New Roman"/>
          <w:i/>
          <w:iCs/>
          <w:vertAlign w:val="subscript"/>
        </w:rPr>
        <w:t>c</w:t>
      </w:r>
      <w:r w:rsidRPr="00721346">
        <w:rPr>
          <w:rStyle w:val="NoneA"/>
          <w:rFonts w:cs="Times New Roman"/>
        </w:rPr>
        <w:t xml:space="preserve">, leading to higher </w:t>
      </w:r>
      <w:r w:rsidRPr="00721346">
        <w:rPr>
          <w:rFonts w:cs="Times New Roman"/>
          <w:i/>
          <w:iCs/>
        </w:rPr>
        <w:t>G</w:t>
      </w:r>
      <w:r w:rsidRPr="00721346">
        <w:rPr>
          <w:rStyle w:val="NoneA"/>
          <w:rFonts w:cs="Times New Roman"/>
        </w:rPr>
        <w:t xml:space="preserve">, causing unstable crack propagation. As shown in Fig. </w:t>
      </w:r>
      <w:r w:rsidRPr="00721346">
        <w:rPr>
          <w:rStyle w:val="NoneA"/>
          <w:rFonts w:eastAsiaTheme="minorEastAsia" w:cs="Times New Roman"/>
        </w:rPr>
        <w:t>S</w:t>
      </w:r>
      <w:r w:rsidR="00267C35" w:rsidRPr="00721346">
        <w:rPr>
          <w:rStyle w:val="NoneA"/>
          <w:rFonts w:eastAsiaTheme="minorEastAsia" w:cs="Times New Roman"/>
        </w:rPr>
        <w:t>3</w:t>
      </w:r>
      <w:r w:rsidRPr="00721346">
        <w:rPr>
          <w:rStyle w:val="NoneA"/>
          <w:rFonts w:cs="Times New Roman"/>
        </w:rPr>
        <w:t>, bilayer MoS</w:t>
      </w:r>
      <w:r w:rsidRPr="00721346">
        <w:rPr>
          <w:rFonts w:cs="Times New Roman"/>
          <w:vertAlign w:val="subscript"/>
        </w:rPr>
        <w:t xml:space="preserve">2 </w:t>
      </w:r>
      <w:r w:rsidRPr="00721346">
        <w:rPr>
          <w:rStyle w:val="NoneA"/>
          <w:rFonts w:cs="Times New Roman"/>
        </w:rPr>
        <w:t>wafer obtained by exfoliating under room temperature shows many cracks (crack kinks occurred during unstable crack propagation), while bilayer MoS</w:t>
      </w:r>
      <w:r w:rsidRPr="00721346">
        <w:rPr>
          <w:rFonts w:cs="Times New Roman"/>
          <w:vertAlign w:val="subscript"/>
        </w:rPr>
        <w:t xml:space="preserve">2 </w:t>
      </w:r>
      <w:r w:rsidRPr="00721346">
        <w:rPr>
          <w:rStyle w:val="NoneA"/>
          <w:rFonts w:cs="Times New Roman"/>
        </w:rPr>
        <w:t>wafer obtained by debonding under 90 ℃ doesn’t (</w:t>
      </w:r>
      <w:r w:rsidR="00BA26CE" w:rsidRPr="00721346">
        <w:rPr>
          <w:rStyle w:val="NoneA"/>
          <w:rFonts w:eastAsiaTheme="minorEastAsia" w:cs="Times New Roman"/>
        </w:rPr>
        <w:t>Fig</w:t>
      </w:r>
      <w:r w:rsidRPr="00721346">
        <w:rPr>
          <w:rStyle w:val="NoneA"/>
          <w:rFonts w:cs="Times New Roman"/>
        </w:rPr>
        <w:t xml:space="preserve">. </w:t>
      </w:r>
      <w:r w:rsidR="00BA26CE" w:rsidRPr="00721346">
        <w:rPr>
          <w:rStyle w:val="NoneA"/>
          <w:rFonts w:eastAsiaTheme="minorEastAsia" w:cs="Times New Roman"/>
        </w:rPr>
        <w:t>1e</w:t>
      </w:r>
      <w:r w:rsidRPr="00721346">
        <w:rPr>
          <w:rStyle w:val="NoneA"/>
          <w:rFonts w:cs="Times New Roman"/>
        </w:rPr>
        <w:t xml:space="preserve">, right). This is probably </w:t>
      </w:r>
      <w:r w:rsidRPr="00721346">
        <w:rPr>
          <w:rStyle w:val="NoneA"/>
          <w:rFonts w:cs="Times New Roman"/>
        </w:rPr>
        <w:lastRenderedPageBreak/>
        <w:t>because higher temperature induces thermal strain and thermal ripple effect</w:t>
      </w:r>
      <w:r w:rsidRPr="00721346">
        <w:rPr>
          <w:rFonts w:cs="Times New Roman"/>
        </w:rPr>
        <w:fldChar w:fldCharType="begin"/>
      </w:r>
      <w:r w:rsidRPr="00721346">
        <w:rPr>
          <w:rFonts w:cs="Times New Roman"/>
        </w:rPr>
        <w:instrText xml:space="preserve"> ADDIN ZOTERO_ITEM CSL_CITATION {"citationID":"fun9B7kN","properties":{"formattedCitation":"\\super 44\\uc0\\u8211{}46\\nosupersub{}","plainCitation":"44–46","noteIndex":0},"citationItems":[{"id":2236,"uris":["http://zotero.org/users/8969609/items/JQV2GD9C"],"itemData":{"id":2236,"type":"article-journal","abstract":"The adhesion of a soft membrane plays a central role for the functionality of many biological and engineering systems, from cell adhesion to advanced materials. In this work, we demonstrated via a combination of statistical mechanics analysis and molecular dynamics (MD) simulations that the adhesion of a membrane-buffered interface could be significantly modulated due to thermally induced surface corrugations in the membrane. Not expected from classical mechanics theories, the adhesion strength is highly temperature-sensitive and reduces linearly with increasing temperature. Through statistical mechanics analysis, the dependence of adhesion on temperature is found to result from thermally induced ripples which facilitate long-range adhesion between the soft membrane like graphene sheets or lipid bilayers with the substrate. The results from MD simulations agree well with the statistical mechanics analysis. Such surprising findings may pave the way to understand temperature-sensitive kinetics in many biological systems where the interaction of cell membranes with extra-cellular environments is pivotal.","container-title":"Journal of the Mechanics and Physics of Solids","DOI":"https://doi.org/10.1016/j.jmps.2019.103697","ISSN":"0022-5096","page":"103697","title":"The linear-dependence of adhesion strength and adhesion range on temperature in soft membranes","volume":"132","author":[{"family":"Chang","given":"Zhenghua"},{"family":"Yang","given":"Ronggui"},{"family":"Wei","given":"Yujie"}],"issued":{"date-parts":[["2019"]]}}},{"id":2221,"uris":["http://zotero.org/users/8969609/items/BTDVEMPU"],"itemData":{"id":2221,"type":"article-journal","container-title":"Physical Review B","DOI":"10.1103/PhysRevB.86.041408","ISSN":"1098-0121, 1550-235X","issue":"4","journalAbbreviation":"Phys. Rev. B","language":"en","page":"041408","source":"DOI.org (Crossref)","title":"Thermal rippling behavior of graphane","volume":"86","author":[{"family":"Costamagna","given":"S."},{"family":"Neek-Amal","given":"M."},{"family":"Los","given":"J. H."},{"family":"Peeters","given":"F. M."}],"issued":{"date-parts":[["2012",7,23]]}}},{"id":2613,"uris":["http://zotero.org/users/8969609/items/9TVZTJVJ"],"itemData":{"id":2613,"type":"article-journal","container-title":"Nature","DOI":"10.1038/nature05545","ISSN":"0028-0836, 1476-4687","issue":"7131","journalAbbreviation":"Nature","language":"en","page":"60-63","source":"DOI.org (Crossref)","title":"The structure of suspended graphene sheets","volume":"446","author":[{"family":"Meyer","given":"Jannik C."},{"family":"Geim","given":"A. K."},{"family":"Katsnelson","given":"M. I."},{"family":"Novoselov","given":"K. S."},{"family":"Booth","given":"T. J."},{"family":"Roth","given":"S."}],"issued":{"date-parts":[["2007",3]]}}}],"schema":"https://github.com/citation-style-language/schema/raw/master/csl-citation.json"} </w:instrText>
      </w:r>
      <w:r w:rsidRPr="00721346">
        <w:rPr>
          <w:rFonts w:cs="Times New Roman"/>
        </w:rPr>
        <w:fldChar w:fldCharType="separate"/>
      </w:r>
      <w:r w:rsidR="001D3314" w:rsidRPr="00721346">
        <w:rPr>
          <w:rFonts w:eastAsiaTheme="minorEastAsia" w:cs="Times New Roman"/>
          <w:vertAlign w:val="superscript"/>
        </w:rPr>
        <w:t>4</w:t>
      </w:r>
      <w:r w:rsidR="00081F2D" w:rsidRPr="00721346">
        <w:rPr>
          <w:rFonts w:eastAsiaTheme="minorEastAsia" w:cs="Times New Roman"/>
          <w:vertAlign w:val="superscript"/>
        </w:rPr>
        <w:t>2</w:t>
      </w:r>
      <w:r w:rsidRPr="00721346">
        <w:rPr>
          <w:rFonts w:cs="Times New Roman"/>
          <w:vertAlign w:val="superscript"/>
        </w:rPr>
        <w:t>–</w:t>
      </w:r>
      <w:r w:rsidR="00081F2D" w:rsidRPr="00721346">
        <w:rPr>
          <w:rFonts w:eastAsiaTheme="minorEastAsia" w:cs="Times New Roman"/>
          <w:vertAlign w:val="superscript"/>
        </w:rPr>
        <w:t>4</w:t>
      </w:r>
      <w:r w:rsidR="00267C35" w:rsidRPr="00721346">
        <w:rPr>
          <w:rFonts w:eastAsiaTheme="minorEastAsia" w:cs="Times New Roman"/>
          <w:vertAlign w:val="superscript"/>
        </w:rPr>
        <w:t>4</w:t>
      </w:r>
      <w:r w:rsidRPr="00721346">
        <w:rPr>
          <w:rFonts w:cs="Times New Roman"/>
        </w:rPr>
        <w:fldChar w:fldCharType="end"/>
      </w:r>
      <w:r w:rsidRPr="00721346" w:rsidDel="001858DF">
        <w:rPr>
          <w:rStyle w:val="NoneA"/>
          <w:rFonts w:cs="Times New Roman"/>
        </w:rPr>
        <w:t xml:space="preserve"> </w:t>
      </w:r>
      <w:r w:rsidRPr="00721346">
        <w:rPr>
          <w:rStyle w:val="NoneA"/>
          <w:rFonts w:cs="Times New Roman"/>
        </w:rPr>
        <w:t xml:space="preserve">which in turn leads to reduction of </w:t>
      </w:r>
      <w:r w:rsidRPr="00721346">
        <w:rPr>
          <w:rFonts w:cs="Times New Roman"/>
          <w:i/>
          <w:iCs/>
        </w:rPr>
        <w:t>f</w:t>
      </w:r>
      <w:r w:rsidRPr="00721346">
        <w:rPr>
          <w:rFonts w:cs="Times New Roman"/>
          <w:i/>
          <w:iCs/>
          <w:vertAlign w:val="subscript"/>
        </w:rPr>
        <w:t>adhesion</w:t>
      </w:r>
      <w:r w:rsidRPr="00721346">
        <w:rPr>
          <w:rStyle w:val="NoneA"/>
          <w:rFonts w:cs="Times New Roman"/>
        </w:rPr>
        <w:t>.</w:t>
      </w:r>
    </w:p>
    <w:p w:rsidR="00C41388" w:rsidRPr="00721346" w:rsidRDefault="009F2D26" w:rsidP="007E0201">
      <w:pPr>
        <w:pStyle w:val="SMText"/>
        <w:spacing w:line="288" w:lineRule="auto"/>
        <w:ind w:firstLine="0"/>
        <w:jc w:val="center"/>
        <w:rPr>
          <w:rStyle w:val="NoneA"/>
          <w:rFonts w:cs="Times New Roman"/>
        </w:rPr>
      </w:pPr>
      <w:r>
        <w:rPr>
          <w:noProof/>
        </w:rPr>
        <w:drawing>
          <wp:inline distT="0" distB="0" distL="0" distR="0">
            <wp:extent cx="5270500" cy="1424305"/>
            <wp:effectExtent l="0" t="0" r="6350" b="4445"/>
            <wp:docPr id="92916521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hqprint">
                      <a:extLst>
                        <a:ext uri="{28A0092B-C50C-407E-A947-70E740481C1C}">
                          <a14:useLocalDpi xmlns:a14="http://schemas.microsoft.com/office/drawing/2010/main" val="0"/>
                        </a:ext>
                      </a:extLst>
                    </a:blip>
                    <a:srcRect/>
                    <a:stretch>
                      <a:fillRect/>
                    </a:stretch>
                  </pic:blipFill>
                  <pic:spPr bwMode="auto">
                    <a:xfrm>
                      <a:off x="0" y="0"/>
                      <a:ext cx="5270500" cy="1424305"/>
                    </a:xfrm>
                    <a:prstGeom prst="rect">
                      <a:avLst/>
                    </a:prstGeom>
                    <a:noFill/>
                    <a:ln>
                      <a:noFill/>
                    </a:ln>
                  </pic:spPr>
                </pic:pic>
              </a:graphicData>
            </a:graphic>
          </wp:inline>
        </w:drawing>
      </w:r>
    </w:p>
    <w:p w:rsidR="00C41388" w:rsidRPr="00721346" w:rsidRDefault="00C41388" w:rsidP="00C41388">
      <w:pPr>
        <w:pStyle w:val="SMText"/>
        <w:spacing w:line="288" w:lineRule="auto"/>
        <w:ind w:firstLine="0"/>
        <w:rPr>
          <w:rStyle w:val="NoneA"/>
          <w:rFonts w:eastAsiaTheme="minorEastAsia" w:cs="Times New Roman"/>
        </w:rPr>
      </w:pPr>
      <w:r w:rsidRPr="00721346">
        <w:rPr>
          <w:rStyle w:val="a3"/>
          <w:rFonts w:eastAsiaTheme="minorEastAsia" w:cs="Times New Roman"/>
        </w:rPr>
        <w:t>Figure S</w:t>
      </w:r>
      <w:bookmarkStart w:id="1" w:name="_Hlk156462793"/>
      <w:r w:rsidR="007E0201" w:rsidRPr="00721346">
        <w:rPr>
          <w:rStyle w:val="a3"/>
          <w:rFonts w:eastAsiaTheme="minorEastAsia" w:cs="Times New Roman"/>
        </w:rPr>
        <w:t>2</w:t>
      </w:r>
      <w:r w:rsidRPr="00721346">
        <w:rPr>
          <w:rStyle w:val="a3"/>
          <w:rFonts w:cs="Times New Roman"/>
        </w:rPr>
        <w:t xml:space="preserve"> Optical micrographs of bilayer MoS</w:t>
      </w:r>
      <w:r w:rsidRPr="00721346">
        <w:rPr>
          <w:rFonts w:cs="Times New Roman"/>
          <w:b/>
          <w:bCs/>
          <w:vertAlign w:val="subscript"/>
        </w:rPr>
        <w:t>2</w:t>
      </w:r>
      <w:r w:rsidRPr="00721346">
        <w:rPr>
          <w:rStyle w:val="a3"/>
          <w:rFonts w:cs="Times New Roman"/>
        </w:rPr>
        <w:t xml:space="preserve"> wafer obtained by bonding and debonding</w:t>
      </w:r>
      <w:r w:rsidRPr="00721346">
        <w:rPr>
          <w:rStyle w:val="NoneA"/>
          <w:rFonts w:cs="Times New Roman"/>
        </w:rPr>
        <w:t>, in which debonding is performed under 90 ℃ with high displacement loading rate (~ 50 μm/s).</w:t>
      </w:r>
      <w:bookmarkEnd w:id="1"/>
    </w:p>
    <w:p w:rsidR="00267C35" w:rsidRPr="00721346" w:rsidRDefault="00267C35" w:rsidP="00C41388">
      <w:pPr>
        <w:pStyle w:val="SMText"/>
        <w:spacing w:line="288" w:lineRule="auto"/>
        <w:ind w:firstLine="0"/>
        <w:rPr>
          <w:rStyle w:val="NoneA"/>
          <w:rFonts w:eastAsiaTheme="minorEastAsia" w:cs="Times New Roman"/>
        </w:rPr>
      </w:pPr>
    </w:p>
    <w:p w:rsidR="00C41388" w:rsidRPr="00721346" w:rsidRDefault="009F2D26" w:rsidP="00C41388">
      <w:pPr>
        <w:spacing w:line="288" w:lineRule="auto"/>
        <w:jc w:val="center"/>
        <w:rPr>
          <w:rStyle w:val="NoneA"/>
          <w:rFonts w:cs="Times New Roman"/>
          <w:sz w:val="24"/>
          <w:szCs w:val="24"/>
        </w:rPr>
      </w:pPr>
      <w:r>
        <w:rPr>
          <w:noProof/>
        </w:rPr>
        <w:drawing>
          <wp:inline distT="0" distB="0" distL="0" distR="0">
            <wp:extent cx="4320000" cy="2196954"/>
            <wp:effectExtent l="0" t="0" r="4445" b="0"/>
            <wp:docPr id="74487967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0000" cy="2196954"/>
                    </a:xfrm>
                    <a:prstGeom prst="rect">
                      <a:avLst/>
                    </a:prstGeom>
                    <a:noFill/>
                    <a:ln>
                      <a:noFill/>
                    </a:ln>
                  </pic:spPr>
                </pic:pic>
              </a:graphicData>
            </a:graphic>
          </wp:inline>
        </w:drawing>
      </w:r>
    </w:p>
    <w:p w:rsidR="00C41388" w:rsidRPr="00721346" w:rsidRDefault="00C41388" w:rsidP="00C41388">
      <w:pPr>
        <w:pStyle w:val="SMcaption"/>
        <w:spacing w:line="288" w:lineRule="auto"/>
        <w:rPr>
          <w:rStyle w:val="NoneA"/>
        </w:rPr>
      </w:pPr>
      <w:r w:rsidRPr="00721346">
        <w:rPr>
          <w:rStyle w:val="a3"/>
          <w:rFonts w:eastAsiaTheme="minorEastAsia"/>
        </w:rPr>
        <w:t>Figure S</w:t>
      </w:r>
      <w:r w:rsidR="007E0201" w:rsidRPr="00721346">
        <w:rPr>
          <w:rStyle w:val="a3"/>
          <w:rFonts w:eastAsiaTheme="minorEastAsia"/>
        </w:rPr>
        <w:t>3</w:t>
      </w:r>
      <w:r w:rsidRPr="00721346">
        <w:rPr>
          <w:rStyle w:val="a3"/>
        </w:rPr>
        <w:t xml:space="preserve"> Photograph of bilayer MoS</w:t>
      </w:r>
      <w:r w:rsidRPr="00721346">
        <w:rPr>
          <w:b/>
          <w:bCs/>
          <w:vertAlign w:val="subscript"/>
        </w:rPr>
        <w:t>2</w:t>
      </w:r>
      <w:r w:rsidRPr="00721346">
        <w:rPr>
          <w:rStyle w:val="a3"/>
        </w:rPr>
        <w:t xml:space="preserve"> wafer obtained by bonding and debonding</w:t>
      </w:r>
      <w:r w:rsidRPr="00721346">
        <w:rPr>
          <w:rStyle w:val="NoneA"/>
        </w:rPr>
        <w:t>, in which debonding is performed with low loading rate but under room temperature.</w:t>
      </w:r>
    </w:p>
    <w:p w:rsidR="00C41388" w:rsidRPr="00721346" w:rsidRDefault="00C41388" w:rsidP="00C41388">
      <w:pPr>
        <w:pStyle w:val="SMText"/>
        <w:spacing w:line="288" w:lineRule="auto"/>
        <w:ind w:firstLine="0"/>
        <w:jc w:val="both"/>
        <w:rPr>
          <w:rStyle w:val="NoneA"/>
          <w:rFonts w:eastAsiaTheme="minorEastAsia" w:cs="Times New Roman"/>
        </w:rPr>
      </w:pPr>
    </w:p>
    <w:p w:rsidR="00C41388" w:rsidRPr="00721346" w:rsidRDefault="00C15CE4" w:rsidP="00C41388">
      <w:pPr>
        <w:pStyle w:val="SMSubheading"/>
        <w:spacing w:before="120" w:line="288" w:lineRule="auto"/>
        <w:rPr>
          <w:rFonts w:cs="Times New Roman"/>
          <w:b/>
          <w:bCs/>
          <w:u w:val="none"/>
        </w:rPr>
      </w:pPr>
      <w:r w:rsidRPr="00721346">
        <w:rPr>
          <w:rFonts w:eastAsiaTheme="minorEastAsia" w:cs="Times New Roman"/>
          <w:b/>
          <w:bCs/>
          <w:u w:val="none"/>
        </w:rPr>
        <w:t xml:space="preserve">Supplementary Note </w:t>
      </w:r>
      <w:r w:rsidR="00070409" w:rsidRPr="00721346">
        <w:rPr>
          <w:rFonts w:eastAsiaTheme="minorEastAsia" w:cs="Times New Roman"/>
          <w:b/>
          <w:bCs/>
          <w:u w:val="none"/>
        </w:rPr>
        <w:t>3</w:t>
      </w:r>
      <w:r w:rsidR="00C41388" w:rsidRPr="00721346">
        <w:rPr>
          <w:rFonts w:eastAsiaTheme="minorEastAsia" w:cs="Times New Roman"/>
          <w:b/>
          <w:bCs/>
          <w:u w:val="none"/>
        </w:rPr>
        <w:t xml:space="preserve">. </w:t>
      </w:r>
      <w:r w:rsidR="00C41388" w:rsidRPr="00721346">
        <w:rPr>
          <w:rFonts w:cs="Times New Roman"/>
          <w:b/>
          <w:bCs/>
          <w:u w:val="none"/>
        </w:rPr>
        <w:t>Homo-bonding and debonding</w:t>
      </w:r>
    </w:p>
    <w:p w:rsidR="00C41388" w:rsidRPr="00721346" w:rsidRDefault="00C41388" w:rsidP="00C41388">
      <w:pPr>
        <w:pStyle w:val="BodyA"/>
        <w:spacing w:line="288" w:lineRule="auto"/>
        <w:ind w:firstLine="482"/>
        <w:rPr>
          <w:rFonts w:ascii="Times New Roman" w:eastAsia="Times New Roman" w:hAnsi="Times New Roman" w:cs="Times New Roman"/>
          <w:sz w:val="24"/>
          <w:szCs w:val="24"/>
        </w:rPr>
      </w:pPr>
      <w:r w:rsidRPr="00721346">
        <w:rPr>
          <w:rFonts w:ascii="Times New Roman" w:hAnsi="Times New Roman" w:cs="Times New Roman"/>
          <w:sz w:val="24"/>
          <w:szCs w:val="24"/>
        </w:rPr>
        <w:t xml:space="preserve">For the bonding-debonding of 2D materials with identical adhesion force to their substrates, we add a spherical epoxy gasket between the top pressure plate and graphite gasket (Extended Data Fig. </w:t>
      </w:r>
      <w:r w:rsidR="00267C35" w:rsidRPr="00721346">
        <w:rPr>
          <w:rFonts w:ascii="Times New Roman" w:hAnsi="Times New Roman" w:cs="Times New Roman"/>
          <w:sz w:val="24"/>
          <w:szCs w:val="24"/>
        </w:rPr>
        <w:t>3</w:t>
      </w:r>
      <w:r w:rsidRPr="00721346">
        <w:rPr>
          <w:rFonts w:ascii="Times New Roman" w:hAnsi="Times New Roman" w:cs="Times New Roman"/>
          <w:sz w:val="24"/>
          <w:szCs w:val="24"/>
        </w:rPr>
        <w:t>a) to form a slightly domed indenter. With the aid of spherical gasket, a warpage is induced in bonded samples (</w:t>
      </w:r>
      <w:r w:rsidRPr="00721346">
        <w:rPr>
          <w:rFonts w:ascii="Times New Roman" w:hAnsi="Times New Roman" w:cs="Times New Roman"/>
          <w:color w:val="auto"/>
          <w:sz w:val="24"/>
          <w:szCs w:val="24"/>
        </w:rPr>
        <w:t>Extended Data Fig.</w:t>
      </w:r>
      <w:r w:rsidRPr="00721346">
        <w:rPr>
          <w:rFonts w:ascii="Times New Roman" w:eastAsiaTheme="minorEastAsia" w:hAnsi="Times New Roman" w:cs="Times New Roman"/>
          <w:sz w:val="24"/>
          <w:szCs w:val="24"/>
        </w:rPr>
        <w:t xml:space="preserve"> </w:t>
      </w:r>
      <w:r w:rsidR="00267C35" w:rsidRPr="00721346">
        <w:rPr>
          <w:rFonts w:ascii="Times New Roman" w:eastAsiaTheme="minorEastAsia" w:hAnsi="Times New Roman" w:cs="Times New Roman"/>
          <w:sz w:val="24"/>
          <w:szCs w:val="24"/>
        </w:rPr>
        <w:t>3</w:t>
      </w:r>
      <w:r w:rsidRPr="00721346">
        <w:rPr>
          <w:rFonts w:ascii="Times New Roman" w:hAnsi="Times New Roman" w:cs="Times New Roman"/>
          <w:sz w:val="24"/>
          <w:szCs w:val="24"/>
        </w:rPr>
        <w:t>b) and sustains until after debonding.</w:t>
      </w:r>
    </w:p>
    <w:p w:rsidR="00C41388" w:rsidRPr="00721346" w:rsidRDefault="00C41388" w:rsidP="00C41388">
      <w:pPr>
        <w:pStyle w:val="BodyA"/>
        <w:spacing w:line="288" w:lineRule="auto"/>
        <w:ind w:firstLine="482"/>
        <w:rPr>
          <w:rFonts w:ascii="Times New Roman" w:eastAsia="Times New Roman" w:hAnsi="Times New Roman" w:cs="Times New Roman"/>
          <w:color w:val="111111"/>
          <w:sz w:val="24"/>
          <w:szCs w:val="24"/>
          <w:u w:color="111111"/>
        </w:rPr>
      </w:pPr>
      <w:r w:rsidRPr="00721346">
        <w:rPr>
          <w:rFonts w:ascii="Times New Roman" w:hAnsi="Times New Roman" w:cs="Times New Roman"/>
          <w:sz w:val="24"/>
          <w:szCs w:val="24"/>
        </w:rPr>
        <w:t>Consider a small fraction of bilayer MoS</w:t>
      </w:r>
      <w:r w:rsidRPr="00721346">
        <w:rPr>
          <w:rFonts w:ascii="Times New Roman" w:hAnsi="Times New Roman" w:cs="Times New Roman"/>
          <w:sz w:val="24"/>
          <w:szCs w:val="24"/>
          <w:vertAlign w:val="subscript"/>
        </w:rPr>
        <w:t>2</w:t>
      </w:r>
      <w:r w:rsidRPr="00721346">
        <w:rPr>
          <w:rFonts w:ascii="Times New Roman" w:hAnsi="Times New Roman" w:cs="Times New Roman"/>
          <w:sz w:val="24"/>
          <w:szCs w:val="24"/>
        </w:rPr>
        <w:t xml:space="preserve"> film between the delaminated area and bonded area, it is subjected to tractions from film in delaminated area (</w:t>
      </w:r>
      <w:r w:rsidRPr="00721346">
        <w:rPr>
          <w:rFonts w:ascii="Times New Roman" w:hAnsi="Times New Roman" w:cs="Times New Roman"/>
          <w:b/>
          <w:bCs/>
          <w:i/>
          <w:iCs/>
          <w:color w:val="111111"/>
          <w:sz w:val="24"/>
          <w:szCs w:val="24"/>
          <w:u w:color="111111"/>
        </w:rPr>
        <w:t>σ</w:t>
      </w:r>
      <w:r w:rsidRPr="00721346">
        <w:rPr>
          <w:rFonts w:ascii="Times New Roman" w:hAnsi="Times New Roman" w:cs="Times New Roman"/>
          <w:b/>
          <w:bCs/>
          <w:i/>
          <w:iCs/>
          <w:color w:val="111111"/>
          <w:sz w:val="24"/>
          <w:szCs w:val="24"/>
          <w:u w:color="111111"/>
          <w:vertAlign w:val="subscript"/>
        </w:rPr>
        <w:t>d</w:t>
      </w:r>
      <w:r w:rsidRPr="00721346">
        <w:rPr>
          <w:rFonts w:ascii="Times New Roman" w:hAnsi="Times New Roman" w:cs="Times New Roman"/>
          <w:sz w:val="24"/>
          <w:szCs w:val="24"/>
        </w:rPr>
        <w:t>) and bonded area (</w:t>
      </w:r>
      <w:r w:rsidRPr="00721346">
        <w:rPr>
          <w:rFonts w:ascii="Times New Roman" w:hAnsi="Times New Roman" w:cs="Times New Roman"/>
          <w:b/>
          <w:bCs/>
          <w:i/>
          <w:iCs/>
          <w:color w:val="111111"/>
          <w:sz w:val="24"/>
          <w:szCs w:val="24"/>
          <w:u w:color="111111"/>
        </w:rPr>
        <w:t>σ</w:t>
      </w:r>
      <w:r w:rsidRPr="00721346">
        <w:rPr>
          <w:rFonts w:ascii="Times New Roman" w:hAnsi="Times New Roman" w:cs="Times New Roman"/>
          <w:b/>
          <w:bCs/>
          <w:i/>
          <w:iCs/>
          <w:color w:val="111111"/>
          <w:sz w:val="24"/>
          <w:szCs w:val="24"/>
          <w:u w:color="111111"/>
          <w:vertAlign w:val="subscript"/>
        </w:rPr>
        <w:t>b</w:t>
      </w:r>
      <w:r w:rsidRPr="00721346">
        <w:rPr>
          <w:rFonts w:ascii="Times New Roman" w:hAnsi="Times New Roman" w:cs="Times New Roman"/>
          <w:sz w:val="24"/>
          <w:szCs w:val="24"/>
        </w:rPr>
        <w:t>), and tangential tractions from top sapphire (</w:t>
      </w:r>
      <w:r w:rsidRPr="00721346">
        <w:rPr>
          <w:rFonts w:ascii="Times New Roman" w:hAnsi="Times New Roman" w:cs="Times New Roman"/>
          <w:b/>
          <w:bCs/>
          <w:i/>
          <w:iCs/>
          <w:color w:val="111111"/>
          <w:sz w:val="24"/>
          <w:szCs w:val="24"/>
          <w:u w:color="111111"/>
        </w:rPr>
        <w:t>τ</w:t>
      </w:r>
      <w:r w:rsidRPr="00721346">
        <w:rPr>
          <w:rFonts w:ascii="Times New Roman" w:hAnsi="Times New Roman" w:cs="Times New Roman"/>
          <w:b/>
          <w:bCs/>
          <w:i/>
          <w:iCs/>
          <w:color w:val="111111"/>
          <w:sz w:val="24"/>
          <w:szCs w:val="24"/>
          <w:u w:color="111111"/>
          <w:vertAlign w:val="subscript"/>
        </w:rPr>
        <w:t>top</w:t>
      </w:r>
      <w:r w:rsidRPr="00721346">
        <w:rPr>
          <w:rFonts w:ascii="Times New Roman" w:hAnsi="Times New Roman" w:cs="Times New Roman"/>
          <w:sz w:val="24"/>
          <w:szCs w:val="24"/>
        </w:rPr>
        <w:t>) and bottom sapphire (</w:t>
      </w:r>
      <w:r w:rsidRPr="00721346">
        <w:rPr>
          <w:rFonts w:ascii="Times New Roman" w:hAnsi="Times New Roman" w:cs="Times New Roman"/>
          <w:b/>
          <w:bCs/>
          <w:i/>
          <w:iCs/>
          <w:color w:val="111111"/>
          <w:sz w:val="24"/>
          <w:szCs w:val="24"/>
          <w:u w:color="111111"/>
        </w:rPr>
        <w:t>τ</w:t>
      </w:r>
      <w:r w:rsidRPr="00721346">
        <w:rPr>
          <w:rFonts w:ascii="Times New Roman" w:hAnsi="Times New Roman" w:cs="Times New Roman"/>
          <w:b/>
          <w:bCs/>
          <w:i/>
          <w:iCs/>
          <w:color w:val="111111"/>
          <w:sz w:val="24"/>
          <w:szCs w:val="24"/>
          <w:u w:color="111111"/>
          <w:vertAlign w:val="subscript"/>
        </w:rPr>
        <w:t>bottom</w:t>
      </w:r>
      <w:r w:rsidRPr="00721346">
        <w:rPr>
          <w:rFonts w:ascii="Times New Roman" w:hAnsi="Times New Roman" w:cs="Times New Roman"/>
          <w:sz w:val="24"/>
          <w:szCs w:val="24"/>
        </w:rPr>
        <w:t>). During delamination, the MoS</w:t>
      </w:r>
      <w:r w:rsidRPr="00721346">
        <w:rPr>
          <w:rFonts w:ascii="Times New Roman" w:hAnsi="Times New Roman" w:cs="Times New Roman"/>
          <w:sz w:val="24"/>
          <w:szCs w:val="24"/>
          <w:vertAlign w:val="subscript"/>
        </w:rPr>
        <w:t>2</w:t>
      </w:r>
      <w:r w:rsidRPr="00721346">
        <w:rPr>
          <w:rFonts w:ascii="Times New Roman" w:hAnsi="Times New Roman" w:cs="Times New Roman"/>
          <w:sz w:val="24"/>
          <w:szCs w:val="24"/>
        </w:rPr>
        <w:t xml:space="preserve"> in delaminated area (strain released area, </w:t>
      </w:r>
      <w:r w:rsidRPr="00721346">
        <w:rPr>
          <w:rFonts w:ascii="Times New Roman" w:hAnsi="Times New Roman" w:cs="Times New Roman"/>
          <w:b/>
          <w:bCs/>
          <w:i/>
          <w:iCs/>
          <w:sz w:val="24"/>
          <w:szCs w:val="24"/>
        </w:rPr>
        <w:t>ε</w:t>
      </w:r>
      <w:r w:rsidRPr="00721346">
        <w:rPr>
          <w:rFonts w:ascii="Times New Roman" w:hAnsi="Times New Roman" w:cs="Times New Roman"/>
          <w:b/>
          <w:bCs/>
          <w:i/>
          <w:iCs/>
          <w:sz w:val="24"/>
          <w:szCs w:val="24"/>
          <w:vertAlign w:val="subscript"/>
        </w:rPr>
        <w:t>d</w:t>
      </w:r>
      <w:r w:rsidRPr="00721346">
        <w:rPr>
          <w:rFonts w:ascii="Times New Roman" w:hAnsi="Times New Roman" w:cs="Times New Roman"/>
          <w:sz w:val="24"/>
          <w:szCs w:val="24"/>
        </w:rPr>
        <w:t>) and bonded area (tensile strain area,</w:t>
      </w:r>
      <w:r w:rsidRPr="00721346">
        <w:rPr>
          <w:rFonts w:ascii="Times New Roman" w:hAnsi="Times New Roman" w:cs="Times New Roman"/>
          <w:b/>
          <w:bCs/>
          <w:sz w:val="24"/>
          <w:szCs w:val="24"/>
        </w:rPr>
        <w:t xml:space="preserve"> </w:t>
      </w:r>
      <w:r w:rsidRPr="00721346">
        <w:rPr>
          <w:rFonts w:ascii="Times New Roman" w:hAnsi="Times New Roman" w:cs="Times New Roman"/>
          <w:b/>
          <w:bCs/>
          <w:i/>
          <w:iCs/>
          <w:sz w:val="24"/>
          <w:szCs w:val="24"/>
        </w:rPr>
        <w:t>ε</w:t>
      </w:r>
      <w:r w:rsidRPr="00721346">
        <w:rPr>
          <w:rFonts w:ascii="Times New Roman" w:hAnsi="Times New Roman" w:cs="Times New Roman"/>
          <w:b/>
          <w:bCs/>
          <w:i/>
          <w:iCs/>
          <w:sz w:val="24"/>
          <w:szCs w:val="24"/>
          <w:vertAlign w:val="subscript"/>
        </w:rPr>
        <w:t>b</w:t>
      </w:r>
      <w:r w:rsidRPr="00721346">
        <w:rPr>
          <w:rFonts w:ascii="Times New Roman" w:hAnsi="Times New Roman" w:cs="Times New Roman"/>
          <w:sz w:val="24"/>
          <w:szCs w:val="24"/>
        </w:rPr>
        <w:t xml:space="preserve">) have different strain, namely </w:t>
      </w:r>
      <w:r w:rsidRPr="00721346">
        <w:rPr>
          <w:rFonts w:ascii="Times New Roman" w:hAnsi="Times New Roman" w:cs="Times New Roman"/>
          <w:b/>
          <w:bCs/>
          <w:i/>
          <w:iCs/>
          <w:sz w:val="24"/>
          <w:szCs w:val="24"/>
        </w:rPr>
        <w:t>ε</w:t>
      </w:r>
      <w:r w:rsidRPr="00721346">
        <w:rPr>
          <w:rFonts w:ascii="Times New Roman" w:hAnsi="Times New Roman" w:cs="Times New Roman"/>
          <w:b/>
          <w:bCs/>
          <w:i/>
          <w:iCs/>
          <w:sz w:val="24"/>
          <w:szCs w:val="24"/>
          <w:vertAlign w:val="subscript"/>
        </w:rPr>
        <w:t>d</w:t>
      </w:r>
      <w:r w:rsidRPr="00721346">
        <w:rPr>
          <w:rFonts w:ascii="Times New Roman" w:hAnsi="Times New Roman" w:cs="Times New Roman"/>
          <w:b/>
          <w:bCs/>
          <w:i/>
          <w:iCs/>
          <w:sz w:val="24"/>
          <w:szCs w:val="24"/>
        </w:rPr>
        <w:t>&lt;ε</w:t>
      </w:r>
      <w:r w:rsidRPr="00721346">
        <w:rPr>
          <w:rFonts w:ascii="Times New Roman" w:hAnsi="Times New Roman" w:cs="Times New Roman"/>
          <w:b/>
          <w:bCs/>
          <w:i/>
          <w:iCs/>
          <w:sz w:val="24"/>
          <w:szCs w:val="24"/>
          <w:vertAlign w:val="subscript"/>
        </w:rPr>
        <w:t>b</w:t>
      </w:r>
      <w:r w:rsidRPr="00721346">
        <w:rPr>
          <w:rFonts w:ascii="Times New Roman" w:hAnsi="Times New Roman" w:cs="Times New Roman"/>
          <w:b/>
          <w:bCs/>
          <w:sz w:val="24"/>
          <w:szCs w:val="24"/>
        </w:rPr>
        <w:t xml:space="preserve"> </w:t>
      </w:r>
      <w:r w:rsidRPr="00721346">
        <w:rPr>
          <w:rFonts w:ascii="Times New Roman" w:hAnsi="Times New Roman" w:cs="Times New Roman"/>
          <w:sz w:val="24"/>
          <w:szCs w:val="24"/>
        </w:rPr>
        <w:t>thus</w:t>
      </w:r>
      <w:r w:rsidRPr="00721346">
        <w:rPr>
          <w:rFonts w:ascii="Times New Roman" w:hAnsi="Times New Roman" w:cs="Times New Roman"/>
          <w:b/>
          <w:bCs/>
          <w:sz w:val="24"/>
          <w:szCs w:val="24"/>
        </w:rPr>
        <w:t xml:space="preserve"> </w:t>
      </w:r>
      <w:r w:rsidRPr="00721346">
        <w:rPr>
          <w:rFonts w:ascii="Times New Roman" w:hAnsi="Times New Roman" w:cs="Times New Roman"/>
          <w:b/>
          <w:bCs/>
          <w:i/>
          <w:iCs/>
          <w:color w:val="111111"/>
          <w:sz w:val="24"/>
          <w:szCs w:val="24"/>
          <w:u w:color="111111"/>
        </w:rPr>
        <w:t>σ</w:t>
      </w:r>
      <w:r w:rsidRPr="00721346">
        <w:rPr>
          <w:rFonts w:ascii="Times New Roman" w:hAnsi="Times New Roman" w:cs="Times New Roman"/>
          <w:b/>
          <w:bCs/>
          <w:i/>
          <w:iCs/>
          <w:color w:val="111111"/>
          <w:sz w:val="24"/>
          <w:szCs w:val="24"/>
          <w:u w:color="111111"/>
          <w:vertAlign w:val="subscript"/>
        </w:rPr>
        <w:t>d</w:t>
      </w:r>
      <w:r w:rsidRPr="00721346">
        <w:rPr>
          <w:rFonts w:ascii="Times New Roman" w:hAnsi="Times New Roman" w:cs="Times New Roman"/>
          <w:b/>
          <w:bCs/>
          <w:i/>
          <w:iCs/>
          <w:color w:val="111111"/>
          <w:sz w:val="24"/>
          <w:szCs w:val="24"/>
          <w:u w:color="111111"/>
        </w:rPr>
        <w:t>&lt;σ</w:t>
      </w:r>
      <w:r w:rsidRPr="00721346">
        <w:rPr>
          <w:rFonts w:ascii="Times New Roman" w:hAnsi="Times New Roman" w:cs="Times New Roman"/>
          <w:b/>
          <w:bCs/>
          <w:i/>
          <w:iCs/>
          <w:color w:val="111111"/>
          <w:sz w:val="24"/>
          <w:szCs w:val="24"/>
          <w:u w:color="111111"/>
          <w:vertAlign w:val="subscript"/>
        </w:rPr>
        <w:t>b</w:t>
      </w:r>
      <w:r w:rsidRPr="00721346">
        <w:rPr>
          <w:rFonts w:ascii="Times New Roman" w:hAnsi="Times New Roman" w:cs="Times New Roman"/>
          <w:color w:val="111111"/>
          <w:sz w:val="24"/>
          <w:szCs w:val="24"/>
          <w:u w:color="111111"/>
        </w:rPr>
        <w:t xml:space="preserve">. Before delamination of this area, balanced force requires </w:t>
      </w:r>
      <w:r w:rsidRPr="00721346">
        <w:rPr>
          <w:rFonts w:ascii="Times New Roman" w:hAnsi="Times New Roman" w:cs="Times New Roman"/>
          <w:b/>
          <w:bCs/>
          <w:i/>
          <w:iCs/>
          <w:color w:val="111111"/>
          <w:sz w:val="24"/>
          <w:szCs w:val="24"/>
          <w:u w:color="111111"/>
        </w:rPr>
        <w:t>τ</w:t>
      </w:r>
      <w:r w:rsidRPr="00721346">
        <w:rPr>
          <w:rFonts w:ascii="Times New Roman" w:hAnsi="Times New Roman" w:cs="Times New Roman"/>
          <w:b/>
          <w:bCs/>
          <w:i/>
          <w:iCs/>
          <w:color w:val="111111"/>
          <w:sz w:val="24"/>
          <w:szCs w:val="24"/>
          <w:u w:color="111111"/>
          <w:vertAlign w:val="subscript"/>
        </w:rPr>
        <w:t>top</w:t>
      </w:r>
      <w:r w:rsidRPr="00721346">
        <w:rPr>
          <w:rFonts w:ascii="Times New Roman" w:hAnsi="Times New Roman" w:cs="Times New Roman"/>
          <w:b/>
          <w:bCs/>
          <w:i/>
          <w:iCs/>
          <w:color w:val="111111"/>
          <w:sz w:val="24"/>
          <w:szCs w:val="24"/>
          <w:u w:color="111111"/>
        </w:rPr>
        <w:t>&gt;τ</w:t>
      </w:r>
      <w:r w:rsidRPr="00721346">
        <w:rPr>
          <w:rFonts w:ascii="Times New Roman" w:hAnsi="Times New Roman" w:cs="Times New Roman"/>
          <w:b/>
          <w:bCs/>
          <w:i/>
          <w:iCs/>
          <w:color w:val="111111"/>
          <w:sz w:val="24"/>
          <w:szCs w:val="24"/>
          <w:u w:color="111111"/>
          <w:vertAlign w:val="subscript"/>
        </w:rPr>
        <w:t>bottom</w:t>
      </w:r>
      <w:r w:rsidRPr="00721346">
        <w:rPr>
          <w:rFonts w:ascii="Times New Roman" w:hAnsi="Times New Roman" w:cs="Times New Roman"/>
          <w:color w:val="111111"/>
          <w:sz w:val="24"/>
          <w:szCs w:val="24"/>
          <w:u w:color="111111"/>
        </w:rPr>
        <w:t>, which means the shear stress in the interface between bilayer MoS</w:t>
      </w:r>
      <w:r w:rsidRPr="00721346">
        <w:rPr>
          <w:rFonts w:ascii="Times New Roman" w:hAnsi="Times New Roman" w:cs="Times New Roman"/>
          <w:color w:val="111111"/>
          <w:sz w:val="24"/>
          <w:szCs w:val="24"/>
          <w:u w:color="111111"/>
          <w:vertAlign w:val="subscript"/>
        </w:rPr>
        <w:t>2</w:t>
      </w:r>
      <w:r w:rsidRPr="00721346">
        <w:rPr>
          <w:rFonts w:ascii="Times New Roman" w:hAnsi="Times New Roman" w:cs="Times New Roman"/>
          <w:color w:val="111111"/>
          <w:sz w:val="24"/>
          <w:szCs w:val="24"/>
          <w:u w:color="111111"/>
        </w:rPr>
        <w:t xml:space="preserve"> and top sapphire is larger than that between bilayer MoS</w:t>
      </w:r>
      <w:r w:rsidRPr="00721346">
        <w:rPr>
          <w:rFonts w:ascii="Times New Roman" w:hAnsi="Times New Roman" w:cs="Times New Roman"/>
          <w:color w:val="111111"/>
          <w:sz w:val="24"/>
          <w:szCs w:val="24"/>
          <w:u w:color="111111"/>
          <w:vertAlign w:val="subscript"/>
        </w:rPr>
        <w:t>2</w:t>
      </w:r>
      <w:r w:rsidRPr="00721346">
        <w:rPr>
          <w:rFonts w:ascii="Times New Roman" w:hAnsi="Times New Roman" w:cs="Times New Roman"/>
          <w:color w:val="111111"/>
          <w:sz w:val="24"/>
          <w:szCs w:val="24"/>
          <w:u w:color="111111"/>
        </w:rPr>
        <w:t xml:space="preserve"> and bottom sapphire, hence the top interface is delaminated first. </w:t>
      </w:r>
      <w:r w:rsidRPr="00721346">
        <w:rPr>
          <w:rFonts w:ascii="Times New Roman" w:hAnsi="Times New Roman" w:cs="Times New Roman"/>
          <w:color w:val="111111"/>
          <w:sz w:val="24"/>
          <w:szCs w:val="24"/>
          <w:u w:color="111111"/>
        </w:rPr>
        <w:lastRenderedPageBreak/>
        <w:t>Thus, the employ of a domed top indenter facilitates unidirectional transfer of MoS</w:t>
      </w:r>
      <w:r w:rsidRPr="00721346">
        <w:rPr>
          <w:rFonts w:ascii="Times New Roman" w:hAnsi="Times New Roman" w:cs="Times New Roman"/>
          <w:color w:val="111111"/>
          <w:sz w:val="24"/>
          <w:szCs w:val="24"/>
          <w:u w:color="111111"/>
          <w:vertAlign w:val="subscript"/>
        </w:rPr>
        <w:t xml:space="preserve">2 </w:t>
      </w:r>
      <w:r w:rsidRPr="00721346">
        <w:rPr>
          <w:rFonts w:ascii="Times New Roman" w:hAnsi="Times New Roman" w:cs="Times New Roman"/>
          <w:color w:val="111111"/>
          <w:sz w:val="24"/>
          <w:szCs w:val="24"/>
          <w:u w:color="111111"/>
        </w:rPr>
        <w:t>from top sapphire to bottom MoS</w:t>
      </w:r>
      <w:r w:rsidRPr="00721346">
        <w:rPr>
          <w:rFonts w:ascii="Times New Roman" w:hAnsi="Times New Roman" w:cs="Times New Roman"/>
          <w:color w:val="111111"/>
          <w:sz w:val="24"/>
          <w:szCs w:val="24"/>
          <w:u w:color="111111"/>
          <w:vertAlign w:val="subscript"/>
        </w:rPr>
        <w:t>2</w:t>
      </w:r>
      <w:r w:rsidRPr="00721346">
        <w:rPr>
          <w:rFonts w:ascii="Times New Roman" w:hAnsi="Times New Roman" w:cs="Times New Roman"/>
          <w:color w:val="111111"/>
          <w:sz w:val="24"/>
          <w:szCs w:val="24"/>
          <w:u w:color="111111"/>
        </w:rPr>
        <w:t>/sapphire.</w:t>
      </w:r>
    </w:p>
    <w:p w:rsidR="00C41388" w:rsidRPr="00721346" w:rsidRDefault="00C41388" w:rsidP="00C41388">
      <w:pPr>
        <w:pStyle w:val="BodyA"/>
        <w:spacing w:line="288" w:lineRule="auto"/>
        <w:ind w:firstLine="482"/>
        <w:rPr>
          <w:rFonts w:ascii="Times New Roman" w:eastAsia="Times New Roman" w:hAnsi="Times New Roman" w:cs="Times New Roman"/>
          <w:sz w:val="24"/>
          <w:szCs w:val="24"/>
        </w:rPr>
      </w:pPr>
      <w:r w:rsidRPr="00721346">
        <w:rPr>
          <w:rFonts w:ascii="Times New Roman" w:hAnsi="Times New Roman" w:cs="Times New Roman"/>
          <w:color w:val="111111"/>
          <w:sz w:val="24"/>
          <w:szCs w:val="24"/>
          <w:u w:color="111111"/>
        </w:rPr>
        <w:t>The bonding-debonding results of bilayer MoS</w:t>
      </w:r>
      <w:r w:rsidRPr="00721346">
        <w:rPr>
          <w:rFonts w:ascii="Times New Roman" w:hAnsi="Times New Roman" w:cs="Times New Roman"/>
          <w:color w:val="111111"/>
          <w:sz w:val="24"/>
          <w:szCs w:val="24"/>
          <w:u w:color="111111"/>
          <w:vertAlign w:val="subscript"/>
        </w:rPr>
        <w:t>2</w:t>
      </w:r>
      <w:r w:rsidRPr="00721346">
        <w:rPr>
          <w:rFonts w:ascii="Times New Roman" w:hAnsi="Times New Roman" w:cs="Times New Roman"/>
          <w:color w:val="111111"/>
          <w:sz w:val="24"/>
          <w:szCs w:val="24"/>
          <w:u w:color="111111"/>
        </w:rPr>
        <w:t xml:space="preserve">/sapphire with and without spherical epoxy gasket is shown in </w:t>
      </w:r>
      <w:r w:rsidRPr="00721346">
        <w:rPr>
          <w:rFonts w:ascii="Times New Roman" w:hAnsi="Times New Roman" w:cs="Times New Roman"/>
          <w:color w:val="auto"/>
          <w:sz w:val="24"/>
          <w:szCs w:val="24"/>
        </w:rPr>
        <w:t>Extended Data Fig.</w:t>
      </w:r>
      <w:r w:rsidRPr="00721346">
        <w:rPr>
          <w:rFonts w:ascii="Times New Roman" w:eastAsiaTheme="minorEastAsia" w:hAnsi="Times New Roman" w:cs="Times New Roman"/>
          <w:sz w:val="24"/>
          <w:szCs w:val="24"/>
        </w:rPr>
        <w:t xml:space="preserve"> 3</w:t>
      </w:r>
      <w:r w:rsidRPr="00721346">
        <w:rPr>
          <w:rFonts w:ascii="Times New Roman" w:hAnsi="Times New Roman" w:cs="Times New Roman"/>
          <w:sz w:val="24"/>
          <w:szCs w:val="24"/>
        </w:rPr>
        <w:t>c, which verifies the importance of domed indenter in bonding-debonding transfer of 2D materials with identical adhesion force to their substrates.</w:t>
      </w:r>
    </w:p>
    <w:p w:rsidR="00C41388" w:rsidRPr="00721346" w:rsidRDefault="00C41388" w:rsidP="00C41388">
      <w:pPr>
        <w:pStyle w:val="BodyA"/>
        <w:spacing w:line="288" w:lineRule="auto"/>
        <w:rPr>
          <w:rFonts w:ascii="Times New Roman" w:eastAsia="Times New Roman" w:hAnsi="Times New Roman" w:cs="Times New Roman"/>
          <w:sz w:val="24"/>
          <w:szCs w:val="24"/>
        </w:rPr>
      </w:pPr>
    </w:p>
    <w:p w:rsidR="00C41388" w:rsidRPr="00721346" w:rsidRDefault="00C15CE4" w:rsidP="00C41388">
      <w:pPr>
        <w:pStyle w:val="BodyA"/>
        <w:spacing w:line="288" w:lineRule="auto"/>
        <w:rPr>
          <w:rFonts w:ascii="Times New Roman" w:eastAsia="Times New Roman" w:hAnsi="Times New Roman" w:cs="Times New Roman"/>
          <w:b/>
          <w:bCs/>
          <w:sz w:val="24"/>
          <w:szCs w:val="24"/>
          <w:vertAlign w:val="subscript"/>
        </w:rPr>
      </w:pPr>
      <w:r w:rsidRPr="00721346">
        <w:rPr>
          <w:rFonts w:ascii="Times New Roman" w:eastAsiaTheme="minorEastAsia" w:hAnsi="Times New Roman" w:cs="Times New Roman"/>
          <w:b/>
          <w:bCs/>
          <w:sz w:val="24"/>
          <w:szCs w:val="24"/>
        </w:rPr>
        <w:t xml:space="preserve">Supplementary Note </w:t>
      </w:r>
      <w:r w:rsidR="00070409" w:rsidRPr="00721346">
        <w:rPr>
          <w:rFonts w:ascii="Times New Roman" w:hAnsi="Times New Roman" w:cs="Times New Roman"/>
          <w:b/>
          <w:bCs/>
          <w:sz w:val="24"/>
          <w:szCs w:val="24"/>
        </w:rPr>
        <w:t>4</w:t>
      </w:r>
      <w:r w:rsidR="00C41388" w:rsidRPr="00721346">
        <w:rPr>
          <w:rFonts w:ascii="Times New Roman" w:hAnsi="Times New Roman" w:cs="Times New Roman"/>
          <w:b/>
          <w:bCs/>
          <w:sz w:val="24"/>
          <w:szCs w:val="24"/>
        </w:rPr>
        <w:t>. SHG determination of twist angles in tBLMs</w:t>
      </w:r>
      <w:r w:rsidR="00C41388" w:rsidRPr="00721346" w:rsidDel="00395C57">
        <w:rPr>
          <w:rFonts w:ascii="Times New Roman" w:hAnsi="Times New Roman" w:cs="Times New Roman"/>
          <w:b/>
          <w:bCs/>
          <w:sz w:val="24"/>
          <w:szCs w:val="24"/>
        </w:rPr>
        <w:t xml:space="preserve"> </w:t>
      </w:r>
    </w:p>
    <w:p w:rsidR="00C41388" w:rsidRPr="00721346" w:rsidRDefault="00C41388" w:rsidP="00C41388">
      <w:pPr>
        <w:pStyle w:val="BodyA"/>
        <w:spacing w:line="288" w:lineRule="auto"/>
        <w:ind w:firstLine="480"/>
        <w:rPr>
          <w:rFonts w:ascii="Times New Roman" w:eastAsia="Times New Roman" w:hAnsi="Times New Roman" w:cs="Times New Roman"/>
          <w:kern w:val="0"/>
          <w:sz w:val="24"/>
          <w:szCs w:val="24"/>
        </w:rPr>
      </w:pPr>
      <w:r w:rsidRPr="00721346">
        <w:rPr>
          <w:rFonts w:ascii="Times New Roman" w:hAnsi="Times New Roman" w:cs="Times New Roman"/>
          <w:sz w:val="24"/>
          <w:szCs w:val="24"/>
        </w:rPr>
        <w:t xml:space="preserve">Consider a tBLMs film with </w:t>
      </w:r>
      <w:r w:rsidRPr="00721346">
        <w:rPr>
          <w:rFonts w:ascii="Times New Roman" w:hAnsi="Times New Roman" w:cs="Times New Roman"/>
          <w:kern w:val="0"/>
          <w:sz w:val="24"/>
          <w:szCs w:val="24"/>
        </w:rPr>
        <w:t xml:space="preserve">twisted angle of β and laser electric field polarization direction of α, the generated SH electric field is </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1</w:t>
      </w:r>
      <w:r w:rsidRPr="00721346">
        <w:rPr>
          <w:rFonts w:ascii="Times New Roman" w:hAnsi="Times New Roman" w:cs="Times New Roman"/>
          <w:kern w:val="0"/>
          <w:sz w:val="24"/>
          <w:szCs w:val="24"/>
        </w:rPr>
        <w:t xml:space="preserve">(2ω) and </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2</w:t>
      </w:r>
      <w:r w:rsidRPr="00721346">
        <w:rPr>
          <w:rFonts w:ascii="Times New Roman" w:hAnsi="Times New Roman" w:cs="Times New Roman"/>
          <w:kern w:val="0"/>
          <w:sz w:val="24"/>
          <w:szCs w:val="24"/>
        </w:rPr>
        <w:t>(2ω) from the first layer and second layer. By superposition, the total</w:t>
      </w:r>
      <w:r w:rsidRPr="00721346">
        <w:rPr>
          <w:rFonts w:ascii="Times New Roman" w:hAnsi="Times New Roman" w:cs="Times New Roman"/>
          <w:sz w:val="24"/>
          <w:szCs w:val="24"/>
        </w:rPr>
        <w:t xml:space="preserve"> </w:t>
      </w:r>
      <w:r w:rsidRPr="00721346">
        <w:rPr>
          <w:rFonts w:ascii="Times New Roman" w:hAnsi="Times New Roman" w:cs="Times New Roman"/>
          <w:kern w:val="0"/>
          <w:sz w:val="24"/>
          <w:szCs w:val="24"/>
        </w:rPr>
        <w:t xml:space="preserve">SH electric field </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t</w:t>
      </w:r>
      <w:r w:rsidRPr="00721346">
        <w:rPr>
          <w:rFonts w:ascii="Times New Roman" w:hAnsi="Times New Roman" w:cs="Times New Roman"/>
          <w:kern w:val="0"/>
          <w:sz w:val="24"/>
          <w:szCs w:val="24"/>
        </w:rPr>
        <w:t xml:space="preserve">(2ω) can then be obtained: </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t</w:t>
      </w:r>
      <w:r w:rsidRPr="00721346">
        <w:rPr>
          <w:rFonts w:ascii="Times New Roman" w:hAnsi="Times New Roman" w:cs="Times New Roman"/>
          <w:kern w:val="0"/>
          <w:sz w:val="24"/>
          <w:szCs w:val="24"/>
        </w:rPr>
        <w:t xml:space="preserve">(2ω) = </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1</w:t>
      </w:r>
      <w:r w:rsidRPr="00721346">
        <w:rPr>
          <w:rFonts w:ascii="Times New Roman" w:hAnsi="Times New Roman" w:cs="Times New Roman"/>
          <w:kern w:val="0"/>
          <w:sz w:val="24"/>
          <w:szCs w:val="24"/>
        </w:rPr>
        <w:t xml:space="preserve">(2ω) + </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2</w:t>
      </w:r>
      <w:r w:rsidRPr="00721346">
        <w:rPr>
          <w:rFonts w:ascii="Times New Roman" w:hAnsi="Times New Roman" w:cs="Times New Roman"/>
          <w:kern w:val="0"/>
          <w:sz w:val="24"/>
          <w:szCs w:val="24"/>
        </w:rPr>
        <w:t>(2ω). The SH intensity of first layer (|</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1</w:t>
      </w:r>
      <w:r w:rsidRPr="00721346">
        <w:rPr>
          <w:rFonts w:ascii="Times New Roman" w:hAnsi="Times New Roman" w:cs="Times New Roman"/>
          <w:kern w:val="0"/>
          <w:sz w:val="24"/>
          <w:szCs w:val="24"/>
        </w:rPr>
        <w:t>(2ω)|</w:t>
      </w:r>
      <w:r w:rsidRPr="00721346">
        <w:rPr>
          <w:rFonts w:ascii="Times New Roman" w:hAnsi="Times New Roman" w:cs="Times New Roman"/>
          <w:kern w:val="0"/>
          <w:sz w:val="24"/>
          <w:szCs w:val="24"/>
          <w:vertAlign w:val="superscript"/>
        </w:rPr>
        <w:t>2</w:t>
      </w:r>
      <w:r w:rsidRPr="00721346">
        <w:rPr>
          <w:rFonts w:ascii="Times New Roman" w:hAnsi="Times New Roman" w:cs="Times New Roman"/>
          <w:kern w:val="0"/>
          <w:sz w:val="24"/>
          <w:szCs w:val="24"/>
        </w:rPr>
        <w:t>) and bilayer |</w:t>
      </w:r>
      <w:r w:rsidRPr="00721346">
        <w:rPr>
          <w:rFonts w:ascii="Times New Roman" w:hAnsi="Times New Roman" w:cs="Times New Roman"/>
          <w:b/>
          <w:bCs/>
          <w:i/>
          <w:iCs/>
          <w:kern w:val="0"/>
          <w:sz w:val="24"/>
          <w:szCs w:val="24"/>
        </w:rPr>
        <w:t>Et</w:t>
      </w:r>
      <w:r w:rsidRPr="00721346">
        <w:rPr>
          <w:rFonts w:ascii="Times New Roman" w:hAnsi="Times New Roman" w:cs="Times New Roman"/>
          <w:kern w:val="0"/>
          <w:sz w:val="24"/>
          <w:szCs w:val="24"/>
        </w:rPr>
        <w:t>(2ω)|</w:t>
      </w:r>
      <w:r w:rsidRPr="00721346">
        <w:rPr>
          <w:rFonts w:ascii="Times New Roman" w:hAnsi="Times New Roman" w:cs="Times New Roman"/>
          <w:kern w:val="0"/>
          <w:sz w:val="24"/>
          <w:szCs w:val="24"/>
          <w:vertAlign w:val="superscript"/>
        </w:rPr>
        <w:t>2</w:t>
      </w:r>
      <w:r w:rsidRPr="00721346">
        <w:rPr>
          <w:rFonts w:ascii="Times New Roman" w:hAnsi="Times New Roman" w:cs="Times New Roman"/>
          <w:kern w:val="0"/>
          <w:sz w:val="24"/>
          <w:szCs w:val="24"/>
        </w:rPr>
        <w:t xml:space="preserve"> can be calculated</w:t>
      </w:r>
    </w:p>
    <w:p w:rsidR="00C41388" w:rsidRPr="00721346" w:rsidRDefault="00C41388" w:rsidP="00C41388">
      <w:pPr>
        <w:pStyle w:val="BodyA"/>
        <w:spacing w:line="288" w:lineRule="auto"/>
        <w:ind w:left="840"/>
        <w:jc w:val="left"/>
        <w:rPr>
          <w:rFonts w:ascii="Times New Roman" w:eastAsia="Times New Roman" w:hAnsi="Times New Roman" w:cs="Times New Roman"/>
          <w:kern w:val="0"/>
          <w:sz w:val="24"/>
          <w:szCs w:val="24"/>
        </w:rPr>
      </w:pPr>
      <w:r w:rsidRPr="00721346">
        <w:rPr>
          <w:rFonts w:ascii="Times New Roman" w:hAnsi="Times New Roman" w:cs="Times New Roman"/>
          <w:kern w:val="0"/>
          <w:sz w:val="24"/>
          <w:szCs w:val="24"/>
        </w:rPr>
        <w:t>|</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1</w:t>
      </w:r>
      <w:r w:rsidRPr="00721346">
        <w:rPr>
          <w:rFonts w:ascii="Times New Roman" w:hAnsi="Times New Roman" w:cs="Times New Roman"/>
          <w:kern w:val="0"/>
          <w:sz w:val="24"/>
          <w:szCs w:val="24"/>
        </w:rPr>
        <w:t>(2ω)|</w:t>
      </w:r>
      <w:r w:rsidRPr="00721346">
        <w:rPr>
          <w:rFonts w:ascii="Times New Roman" w:hAnsi="Times New Roman" w:cs="Times New Roman"/>
          <w:kern w:val="0"/>
          <w:sz w:val="24"/>
          <w:szCs w:val="24"/>
          <w:vertAlign w:val="superscript"/>
        </w:rPr>
        <w:t>2</w:t>
      </w:r>
      <w:r w:rsidRPr="00721346">
        <w:rPr>
          <w:rFonts w:ascii="Times New Roman" w:hAnsi="Times New Roman" w:cs="Times New Roman"/>
          <w:kern w:val="0"/>
          <w:sz w:val="24"/>
          <w:szCs w:val="24"/>
        </w:rPr>
        <w:t xml:space="preserve"> = |</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1</w:t>
      </w:r>
      <w:r w:rsidRPr="00721346">
        <w:rPr>
          <w:rFonts w:ascii="Times New Roman" w:hAnsi="Times New Roman" w:cs="Times New Roman"/>
          <w:kern w:val="0"/>
          <w:sz w:val="24"/>
          <w:szCs w:val="24"/>
        </w:rPr>
        <w:t>(2ω)|</w:t>
      </w:r>
      <w:r w:rsidRPr="00721346">
        <w:rPr>
          <w:rFonts w:ascii="Times New Roman" w:hAnsi="Times New Roman" w:cs="Times New Roman"/>
          <w:kern w:val="0"/>
          <w:sz w:val="24"/>
          <w:szCs w:val="24"/>
          <w:vertAlign w:val="superscript"/>
        </w:rPr>
        <w:t>2</w:t>
      </w:r>
      <w:r w:rsidRPr="00721346">
        <w:rPr>
          <w:rFonts w:ascii="Times New Roman" w:hAnsi="Times New Roman" w:cs="Times New Roman"/>
          <w:kern w:val="0"/>
          <w:sz w:val="24"/>
          <w:szCs w:val="24"/>
        </w:rPr>
        <w:t>cos</w:t>
      </w:r>
      <w:r w:rsidRPr="00721346">
        <w:rPr>
          <w:rFonts w:ascii="Times New Roman" w:hAnsi="Times New Roman" w:cs="Times New Roman"/>
          <w:kern w:val="0"/>
          <w:sz w:val="24"/>
          <w:szCs w:val="24"/>
          <w:vertAlign w:val="superscript"/>
        </w:rPr>
        <w:t>2</w:t>
      </w:r>
      <w:r w:rsidRPr="00721346">
        <w:rPr>
          <w:rFonts w:ascii="Times New Roman" w:hAnsi="Times New Roman" w:cs="Times New Roman"/>
          <w:kern w:val="0"/>
          <w:sz w:val="24"/>
          <w:szCs w:val="24"/>
        </w:rPr>
        <w:t xml:space="preserve"> (3α)</w:t>
      </w:r>
    </w:p>
    <w:p w:rsidR="00C41388" w:rsidRPr="00721346" w:rsidRDefault="00C41388" w:rsidP="00C41388">
      <w:pPr>
        <w:pStyle w:val="BodyA"/>
        <w:spacing w:line="288" w:lineRule="auto"/>
        <w:ind w:left="360" w:firstLine="480"/>
        <w:jc w:val="left"/>
        <w:rPr>
          <w:rFonts w:ascii="Times New Roman" w:eastAsia="Times New Roman" w:hAnsi="Times New Roman" w:cs="Times New Roman"/>
          <w:kern w:val="0"/>
          <w:sz w:val="24"/>
          <w:szCs w:val="24"/>
        </w:rPr>
      </w:pPr>
      <w:r w:rsidRPr="00721346">
        <w:rPr>
          <w:rFonts w:ascii="Times New Roman" w:hAnsi="Times New Roman" w:cs="Times New Roman"/>
          <w:kern w:val="0"/>
          <w:sz w:val="24"/>
          <w:szCs w:val="24"/>
        </w:rPr>
        <w:t>|</w:t>
      </w:r>
      <w:r w:rsidRPr="00721346">
        <w:rPr>
          <w:rFonts w:ascii="Times New Roman" w:hAnsi="Times New Roman" w:cs="Times New Roman"/>
          <w:b/>
          <w:bCs/>
          <w:i/>
          <w:iCs/>
          <w:kern w:val="0"/>
          <w:sz w:val="24"/>
          <w:szCs w:val="24"/>
        </w:rPr>
        <w:t>Et</w:t>
      </w:r>
      <w:r w:rsidRPr="00721346">
        <w:rPr>
          <w:rFonts w:ascii="Times New Roman" w:hAnsi="Times New Roman" w:cs="Times New Roman"/>
          <w:kern w:val="0"/>
          <w:sz w:val="24"/>
          <w:szCs w:val="24"/>
        </w:rPr>
        <w:t>(2ω)|</w:t>
      </w:r>
      <w:r w:rsidRPr="00721346">
        <w:rPr>
          <w:rFonts w:ascii="Times New Roman" w:hAnsi="Times New Roman" w:cs="Times New Roman"/>
          <w:kern w:val="0"/>
          <w:sz w:val="24"/>
          <w:szCs w:val="24"/>
          <w:vertAlign w:val="superscript"/>
        </w:rPr>
        <w:t>2</w:t>
      </w:r>
      <w:r w:rsidRPr="00721346">
        <w:rPr>
          <w:rFonts w:ascii="Times New Roman" w:hAnsi="Times New Roman" w:cs="Times New Roman"/>
          <w:kern w:val="0"/>
          <w:sz w:val="24"/>
          <w:szCs w:val="24"/>
        </w:rPr>
        <w:t xml:space="preserve"> = |</w:t>
      </w:r>
      <w:r w:rsidRPr="00721346">
        <w:rPr>
          <w:rFonts w:ascii="Times New Roman" w:hAnsi="Times New Roman" w:cs="Times New Roman"/>
          <w:b/>
          <w:bCs/>
          <w:i/>
          <w:iCs/>
          <w:kern w:val="0"/>
          <w:sz w:val="24"/>
          <w:szCs w:val="24"/>
        </w:rPr>
        <w:t>E</w:t>
      </w:r>
      <w:r w:rsidRPr="00721346">
        <w:rPr>
          <w:rFonts w:ascii="Times New Roman" w:hAnsi="Times New Roman" w:cs="Times New Roman"/>
          <w:b/>
          <w:bCs/>
          <w:i/>
          <w:iCs/>
          <w:kern w:val="0"/>
          <w:sz w:val="24"/>
          <w:szCs w:val="24"/>
          <w:vertAlign w:val="subscript"/>
        </w:rPr>
        <w:t>1</w:t>
      </w:r>
      <w:r w:rsidRPr="00721346">
        <w:rPr>
          <w:rFonts w:ascii="Times New Roman" w:hAnsi="Times New Roman" w:cs="Times New Roman"/>
          <w:kern w:val="0"/>
          <w:sz w:val="24"/>
          <w:szCs w:val="24"/>
        </w:rPr>
        <w:t>(2ω)|</w:t>
      </w:r>
      <w:r w:rsidRPr="00721346">
        <w:rPr>
          <w:rFonts w:ascii="Times New Roman" w:hAnsi="Times New Roman" w:cs="Times New Roman"/>
          <w:kern w:val="0"/>
          <w:sz w:val="24"/>
          <w:szCs w:val="24"/>
          <w:vertAlign w:val="superscript"/>
        </w:rPr>
        <w:t>2</w:t>
      </w:r>
      <w:r w:rsidRPr="00721346">
        <w:rPr>
          <w:rFonts w:ascii="Times New Roman" w:hAnsi="Times New Roman" w:cs="Times New Roman"/>
          <w:kern w:val="0"/>
          <w:sz w:val="24"/>
          <w:szCs w:val="24"/>
        </w:rPr>
        <w:t>(cos</w:t>
      </w:r>
      <w:r w:rsidRPr="00721346">
        <w:rPr>
          <w:rFonts w:ascii="Times New Roman" w:hAnsi="Times New Roman" w:cs="Times New Roman"/>
          <w:kern w:val="0"/>
          <w:sz w:val="24"/>
          <w:szCs w:val="24"/>
          <w:vertAlign w:val="superscript"/>
        </w:rPr>
        <w:t>2</w:t>
      </w:r>
      <w:r w:rsidRPr="00721346">
        <w:rPr>
          <w:rFonts w:ascii="Times New Roman" w:hAnsi="Times New Roman" w:cs="Times New Roman"/>
          <w:kern w:val="0"/>
          <w:sz w:val="24"/>
          <w:szCs w:val="24"/>
        </w:rPr>
        <w:t xml:space="preserve"> (3α) +cos</w:t>
      </w:r>
      <w:r w:rsidRPr="00721346">
        <w:rPr>
          <w:rFonts w:ascii="Times New Roman" w:hAnsi="Times New Roman" w:cs="Times New Roman"/>
          <w:kern w:val="0"/>
          <w:sz w:val="24"/>
          <w:szCs w:val="24"/>
          <w:vertAlign w:val="superscript"/>
        </w:rPr>
        <w:t>2</w:t>
      </w:r>
      <w:r w:rsidRPr="00721346">
        <w:rPr>
          <w:rFonts w:ascii="Times New Roman" w:hAnsi="Times New Roman" w:cs="Times New Roman"/>
          <w:kern w:val="0"/>
          <w:sz w:val="24"/>
          <w:szCs w:val="24"/>
        </w:rPr>
        <w:t>(3α+3β) +2cos(3α)cos(3α+3β).</w:t>
      </w:r>
    </w:p>
    <w:p w:rsidR="00C41388" w:rsidRPr="00721346" w:rsidRDefault="00C41388" w:rsidP="00C41388">
      <w:pPr>
        <w:pStyle w:val="BodyA"/>
        <w:spacing w:line="288" w:lineRule="auto"/>
        <w:ind w:firstLine="480"/>
        <w:rPr>
          <w:rFonts w:ascii="Times New Roman" w:eastAsia="Times New Roman" w:hAnsi="Times New Roman" w:cs="Times New Roman"/>
          <w:kern w:val="0"/>
          <w:sz w:val="24"/>
          <w:szCs w:val="24"/>
        </w:rPr>
      </w:pPr>
      <w:r w:rsidRPr="00721346">
        <w:rPr>
          <w:rFonts w:ascii="Times New Roman" w:hAnsi="Times New Roman" w:cs="Times New Roman"/>
          <w:kern w:val="0"/>
          <w:sz w:val="24"/>
          <w:szCs w:val="24"/>
        </w:rPr>
        <w:t xml:space="preserve">As shown in </w:t>
      </w:r>
      <w:r w:rsidRPr="00721346">
        <w:rPr>
          <w:rStyle w:val="NoneA"/>
          <w:rFonts w:ascii="Times New Roman" w:hAnsi="Times New Roman" w:cs="Times New Roman"/>
          <w:sz w:val="24"/>
          <w:szCs w:val="24"/>
        </w:rPr>
        <w:t xml:space="preserve">Fig. </w:t>
      </w:r>
      <w:r w:rsidRPr="00721346">
        <w:rPr>
          <w:rStyle w:val="NoneA"/>
          <w:rFonts w:ascii="Times New Roman" w:eastAsiaTheme="minorEastAsia" w:hAnsi="Times New Roman" w:cs="Times New Roman"/>
          <w:sz w:val="24"/>
          <w:szCs w:val="24"/>
        </w:rPr>
        <w:t>S</w:t>
      </w:r>
      <w:r w:rsidR="00070409" w:rsidRPr="00721346">
        <w:rPr>
          <w:rStyle w:val="NoneA"/>
          <w:rFonts w:ascii="Times New Roman" w:eastAsiaTheme="minorEastAsia" w:hAnsi="Times New Roman" w:cs="Times New Roman"/>
          <w:sz w:val="24"/>
          <w:szCs w:val="24"/>
        </w:rPr>
        <w:t>4</w:t>
      </w:r>
      <w:r w:rsidRPr="00721346">
        <w:rPr>
          <w:rFonts w:ascii="Times New Roman" w:hAnsi="Times New Roman" w:cs="Times New Roman"/>
          <w:kern w:val="0"/>
          <w:sz w:val="24"/>
          <w:szCs w:val="24"/>
        </w:rPr>
        <w:t xml:space="preserve"> the simulated SHG pattern, 30° tBLMs SHG petals rotated 15° compared to monolayer SHG petals.</w:t>
      </w:r>
    </w:p>
    <w:p w:rsidR="00C41388" w:rsidRPr="00721346" w:rsidRDefault="009F2D26" w:rsidP="00C41388">
      <w:pPr>
        <w:pStyle w:val="SMcaption"/>
        <w:jc w:val="center"/>
        <w:rPr>
          <w:b/>
          <w:bCs/>
        </w:rPr>
      </w:pPr>
      <w:r>
        <w:rPr>
          <w:noProof/>
        </w:rPr>
        <w:drawing>
          <wp:inline distT="0" distB="0" distL="0" distR="0">
            <wp:extent cx="2880000" cy="2199904"/>
            <wp:effectExtent l="0" t="0" r="0" b="0"/>
            <wp:docPr id="189244076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hqprint">
                      <a:extLst>
                        <a:ext uri="{28A0092B-C50C-407E-A947-70E740481C1C}">
                          <a14:useLocalDpi xmlns:a14="http://schemas.microsoft.com/office/drawing/2010/main" val="0"/>
                        </a:ext>
                      </a:extLst>
                    </a:blip>
                    <a:srcRect/>
                    <a:stretch>
                      <a:fillRect/>
                    </a:stretch>
                  </pic:blipFill>
                  <pic:spPr bwMode="auto">
                    <a:xfrm>
                      <a:off x="0" y="0"/>
                      <a:ext cx="2880000" cy="2199904"/>
                    </a:xfrm>
                    <a:prstGeom prst="rect">
                      <a:avLst/>
                    </a:prstGeom>
                    <a:noFill/>
                    <a:ln>
                      <a:noFill/>
                    </a:ln>
                  </pic:spPr>
                </pic:pic>
              </a:graphicData>
            </a:graphic>
          </wp:inline>
        </w:drawing>
      </w:r>
    </w:p>
    <w:p w:rsidR="00C41388" w:rsidRPr="00721346" w:rsidRDefault="00C41388" w:rsidP="00C41388">
      <w:pPr>
        <w:pStyle w:val="SMcaption"/>
        <w:rPr>
          <w:b/>
          <w:bCs/>
        </w:rPr>
      </w:pPr>
      <w:r w:rsidRPr="00721346">
        <w:rPr>
          <w:rStyle w:val="a3"/>
          <w:rFonts w:eastAsiaTheme="minorEastAsia"/>
        </w:rPr>
        <w:t>Figure S</w:t>
      </w:r>
      <w:r w:rsidR="00070409" w:rsidRPr="00721346">
        <w:rPr>
          <w:rStyle w:val="a3"/>
          <w:rFonts w:eastAsiaTheme="minorEastAsia"/>
        </w:rPr>
        <w:t>4</w:t>
      </w:r>
      <w:r w:rsidRPr="00721346">
        <w:rPr>
          <w:b/>
          <w:bCs/>
        </w:rPr>
        <w:t xml:space="preserve"> Calculated SHG patterns of monolayer MoS</w:t>
      </w:r>
      <w:r w:rsidRPr="00721346">
        <w:rPr>
          <w:b/>
          <w:bCs/>
          <w:vertAlign w:val="subscript"/>
        </w:rPr>
        <w:t>2</w:t>
      </w:r>
      <w:r w:rsidRPr="00721346">
        <w:rPr>
          <w:b/>
          <w:bCs/>
        </w:rPr>
        <w:t xml:space="preserve"> and 30</w:t>
      </w:r>
      <w:r w:rsidRPr="00721346">
        <w:t xml:space="preserve">° </w:t>
      </w:r>
      <w:r w:rsidRPr="00721346">
        <w:rPr>
          <w:b/>
          <w:bCs/>
        </w:rPr>
        <w:t>tBLMs.</w:t>
      </w:r>
    </w:p>
    <w:p w:rsidR="00C41388" w:rsidRPr="00721346" w:rsidRDefault="00C41388" w:rsidP="00C41388">
      <w:pPr>
        <w:pStyle w:val="BodyA"/>
        <w:spacing w:line="288" w:lineRule="auto"/>
        <w:rPr>
          <w:rFonts w:ascii="Times New Roman" w:eastAsiaTheme="minorEastAsia" w:hAnsi="Times New Roman" w:cs="Times New Roman"/>
          <w:kern w:val="0"/>
          <w:sz w:val="24"/>
          <w:szCs w:val="24"/>
        </w:rPr>
      </w:pPr>
    </w:p>
    <w:p w:rsidR="007E0201" w:rsidRPr="00721346" w:rsidRDefault="007E0201" w:rsidP="00C41388">
      <w:pPr>
        <w:pStyle w:val="BodyA"/>
        <w:spacing w:line="288" w:lineRule="auto"/>
        <w:rPr>
          <w:rFonts w:ascii="Times New Roman" w:eastAsiaTheme="minorEastAsia" w:hAnsi="Times New Roman" w:cs="Times New Roman"/>
          <w:kern w:val="0"/>
          <w:sz w:val="24"/>
          <w:szCs w:val="24"/>
        </w:rPr>
      </w:pPr>
    </w:p>
    <w:p w:rsidR="00C41388" w:rsidRPr="00721346" w:rsidRDefault="00C41388" w:rsidP="00C41388">
      <w:pPr>
        <w:pStyle w:val="Teaser"/>
        <w:spacing w:line="288" w:lineRule="auto"/>
        <w:jc w:val="both"/>
        <w:rPr>
          <w:rStyle w:val="a3"/>
        </w:rPr>
      </w:pPr>
      <w:r w:rsidRPr="00721346">
        <w:rPr>
          <w:rStyle w:val="a3"/>
        </w:rPr>
        <w:t xml:space="preserve">References from Supplementary </w:t>
      </w:r>
      <w:r w:rsidR="00FA56C1">
        <w:rPr>
          <w:rStyle w:val="a3"/>
          <w:rFonts w:eastAsiaTheme="minorEastAsia" w:hint="eastAsia"/>
        </w:rPr>
        <w:t>Information</w:t>
      </w:r>
      <w:r w:rsidRPr="00721346">
        <w:rPr>
          <w:rStyle w:val="a3"/>
        </w:rPr>
        <w:t xml:space="preserve"> </w:t>
      </w:r>
    </w:p>
    <w:p w:rsidR="00C41388" w:rsidRPr="00721346" w:rsidRDefault="00C41388" w:rsidP="00C41388">
      <w:pPr>
        <w:pStyle w:val="a4"/>
        <w:spacing w:line="288" w:lineRule="auto"/>
        <w:rPr>
          <w:rStyle w:val="NoneA"/>
          <w:rFonts w:cs="Times New Roman"/>
          <w:sz w:val="24"/>
          <w:szCs w:val="24"/>
        </w:rPr>
      </w:pPr>
    </w:p>
    <w:p w:rsidR="00081F2D" w:rsidRPr="00721346" w:rsidRDefault="00081F2D" w:rsidP="00081F2D">
      <w:pPr>
        <w:pStyle w:val="a4"/>
        <w:spacing w:line="288" w:lineRule="auto"/>
        <w:rPr>
          <w:rFonts w:cs="Times New Roman"/>
          <w:sz w:val="24"/>
          <w:szCs w:val="24"/>
        </w:rPr>
      </w:pPr>
      <w:r w:rsidRPr="00721346">
        <w:rPr>
          <w:rFonts w:cs="Times New Roman"/>
          <w:sz w:val="24"/>
          <w:szCs w:val="24"/>
        </w:rPr>
        <w:t>42.</w:t>
      </w:r>
      <w:r w:rsidRPr="00721346">
        <w:rPr>
          <w:rFonts w:cs="Times New Roman"/>
          <w:sz w:val="24"/>
          <w:szCs w:val="24"/>
        </w:rPr>
        <w:tab/>
        <w:t xml:space="preserve">Chang, Z., Yang, R. &amp; Wei, Y. The linear-dependence of adhesion strength and adhesion range on temperature in soft membranes. </w:t>
      </w:r>
      <w:r w:rsidRPr="00721346">
        <w:rPr>
          <w:rFonts w:cs="Times New Roman"/>
          <w:i/>
          <w:iCs/>
          <w:sz w:val="24"/>
          <w:szCs w:val="24"/>
        </w:rPr>
        <w:t>J. Mech. Phys. Solids</w:t>
      </w:r>
      <w:r w:rsidRPr="00721346">
        <w:rPr>
          <w:rFonts w:cs="Times New Roman"/>
          <w:sz w:val="24"/>
          <w:szCs w:val="24"/>
        </w:rPr>
        <w:t xml:space="preserve"> </w:t>
      </w:r>
      <w:r w:rsidRPr="00721346">
        <w:rPr>
          <w:rFonts w:cs="Times New Roman"/>
          <w:b/>
          <w:bCs/>
          <w:sz w:val="24"/>
          <w:szCs w:val="24"/>
        </w:rPr>
        <w:t>132</w:t>
      </w:r>
      <w:r w:rsidRPr="00721346">
        <w:rPr>
          <w:rFonts w:cs="Times New Roman"/>
          <w:sz w:val="24"/>
          <w:szCs w:val="24"/>
        </w:rPr>
        <w:t>, 103697 (2019).</w:t>
      </w:r>
    </w:p>
    <w:p w:rsidR="00081F2D" w:rsidRPr="00721346" w:rsidRDefault="00081F2D" w:rsidP="00081F2D">
      <w:pPr>
        <w:pStyle w:val="a4"/>
        <w:spacing w:line="288" w:lineRule="auto"/>
        <w:rPr>
          <w:rFonts w:cs="Times New Roman"/>
          <w:sz w:val="24"/>
          <w:szCs w:val="24"/>
        </w:rPr>
      </w:pPr>
      <w:r w:rsidRPr="00721346">
        <w:rPr>
          <w:rFonts w:cs="Times New Roman"/>
          <w:sz w:val="24"/>
          <w:szCs w:val="24"/>
        </w:rPr>
        <w:t>43.</w:t>
      </w:r>
      <w:r w:rsidRPr="00721346">
        <w:rPr>
          <w:rFonts w:cs="Times New Roman"/>
          <w:sz w:val="24"/>
          <w:szCs w:val="24"/>
        </w:rPr>
        <w:tab/>
        <w:t xml:space="preserve">Costamagna, S., Neek-Amal, M., Los, J. H. &amp; Peeters, F. M. Thermal rippling behavior of graphane. </w:t>
      </w:r>
      <w:r w:rsidRPr="00721346">
        <w:rPr>
          <w:rFonts w:cs="Times New Roman"/>
          <w:i/>
          <w:iCs/>
          <w:sz w:val="24"/>
          <w:szCs w:val="24"/>
        </w:rPr>
        <w:t>Phys. Rev. B</w:t>
      </w:r>
      <w:r w:rsidRPr="00721346">
        <w:rPr>
          <w:rFonts w:cs="Times New Roman"/>
          <w:sz w:val="24"/>
          <w:szCs w:val="24"/>
        </w:rPr>
        <w:t xml:space="preserve"> </w:t>
      </w:r>
      <w:r w:rsidRPr="00721346">
        <w:rPr>
          <w:rFonts w:cs="Times New Roman"/>
          <w:b/>
          <w:bCs/>
          <w:sz w:val="24"/>
          <w:szCs w:val="24"/>
        </w:rPr>
        <w:t>86</w:t>
      </w:r>
      <w:r w:rsidRPr="00721346">
        <w:rPr>
          <w:rFonts w:cs="Times New Roman"/>
          <w:sz w:val="24"/>
          <w:szCs w:val="24"/>
        </w:rPr>
        <w:t>, 041408 (2012).</w:t>
      </w:r>
    </w:p>
    <w:p w:rsidR="00081F2D" w:rsidRPr="00721346" w:rsidRDefault="00081F2D" w:rsidP="00081F2D">
      <w:pPr>
        <w:pStyle w:val="a4"/>
        <w:spacing w:line="288" w:lineRule="auto"/>
        <w:rPr>
          <w:rFonts w:cs="Times New Roman"/>
          <w:sz w:val="24"/>
          <w:szCs w:val="24"/>
        </w:rPr>
      </w:pPr>
      <w:r w:rsidRPr="00721346">
        <w:rPr>
          <w:rFonts w:cs="Times New Roman"/>
          <w:sz w:val="24"/>
          <w:szCs w:val="24"/>
        </w:rPr>
        <w:t>44.</w:t>
      </w:r>
      <w:r w:rsidRPr="00721346">
        <w:rPr>
          <w:rFonts w:cs="Times New Roman"/>
          <w:sz w:val="24"/>
          <w:szCs w:val="24"/>
        </w:rPr>
        <w:tab/>
        <w:t xml:space="preserve">Meyer, J. C. </w:t>
      </w:r>
      <w:r w:rsidRPr="00721346">
        <w:rPr>
          <w:rFonts w:cs="Times New Roman"/>
          <w:i/>
          <w:iCs/>
          <w:sz w:val="24"/>
          <w:szCs w:val="24"/>
        </w:rPr>
        <w:t>et al.</w:t>
      </w:r>
      <w:r w:rsidRPr="00721346">
        <w:rPr>
          <w:rFonts w:cs="Times New Roman"/>
          <w:sz w:val="24"/>
          <w:szCs w:val="24"/>
        </w:rPr>
        <w:t xml:space="preserve"> The structure of suspended graphene sheets. </w:t>
      </w:r>
      <w:r w:rsidRPr="00721346">
        <w:rPr>
          <w:rFonts w:cs="Times New Roman"/>
          <w:i/>
          <w:iCs/>
          <w:sz w:val="24"/>
          <w:szCs w:val="24"/>
        </w:rPr>
        <w:t>Nature</w:t>
      </w:r>
      <w:r w:rsidRPr="00721346">
        <w:rPr>
          <w:rFonts w:cs="Times New Roman"/>
          <w:sz w:val="24"/>
          <w:szCs w:val="24"/>
        </w:rPr>
        <w:t xml:space="preserve"> </w:t>
      </w:r>
      <w:r w:rsidRPr="00721346">
        <w:rPr>
          <w:rFonts w:cs="Times New Roman"/>
          <w:b/>
          <w:bCs/>
          <w:sz w:val="24"/>
          <w:szCs w:val="24"/>
        </w:rPr>
        <w:t>446</w:t>
      </w:r>
      <w:r w:rsidRPr="00721346">
        <w:rPr>
          <w:rFonts w:cs="Times New Roman"/>
          <w:sz w:val="24"/>
          <w:szCs w:val="24"/>
        </w:rPr>
        <w:t>, 60–63 (2007).</w:t>
      </w:r>
    </w:p>
    <w:p w:rsidR="00FE23DA" w:rsidRPr="00721346" w:rsidRDefault="00FE23DA" w:rsidP="00081F2D">
      <w:pPr>
        <w:spacing w:line="288" w:lineRule="auto"/>
        <w:rPr>
          <w:rFonts w:cs="Times New Roman"/>
          <w:sz w:val="24"/>
          <w:szCs w:val="24"/>
        </w:rPr>
      </w:pPr>
    </w:p>
    <w:sectPr w:rsidR="00FE23DA" w:rsidRPr="00721346" w:rsidSect="00FA56C1">
      <w:headerReference w:type="default" r:id="rId10"/>
      <w:pgSz w:w="11900" w:h="16840"/>
      <w:pgMar w:top="1440" w:right="1800" w:bottom="1440" w:left="1800" w:header="851" w:footer="992" w:gutter="0"/>
      <w:pgNumType w:start="3"/>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B3705" w:rsidRDefault="009B3705" w:rsidP="00070409">
      <w:r>
        <w:separator/>
      </w:r>
    </w:p>
  </w:endnote>
  <w:endnote w:type="continuationSeparator" w:id="0">
    <w:p w:rsidR="009B3705" w:rsidRDefault="009B3705" w:rsidP="0007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B3705" w:rsidRDefault="009B3705" w:rsidP="00070409">
      <w:r>
        <w:separator/>
      </w:r>
    </w:p>
  </w:footnote>
  <w:footnote w:type="continuationSeparator" w:id="0">
    <w:p w:rsidR="009B3705" w:rsidRDefault="009B3705" w:rsidP="000704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FA56C1" w:rsidRDefault="00FA56C1">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388"/>
    <w:rsid w:val="00012357"/>
    <w:rsid w:val="000431F8"/>
    <w:rsid w:val="00070409"/>
    <w:rsid w:val="00081F2D"/>
    <w:rsid w:val="001D3314"/>
    <w:rsid w:val="00223483"/>
    <w:rsid w:val="00267C35"/>
    <w:rsid w:val="002C0FEB"/>
    <w:rsid w:val="002C39B8"/>
    <w:rsid w:val="00310559"/>
    <w:rsid w:val="003C2E88"/>
    <w:rsid w:val="00417F68"/>
    <w:rsid w:val="00421C15"/>
    <w:rsid w:val="00436E83"/>
    <w:rsid w:val="00460715"/>
    <w:rsid w:val="00504099"/>
    <w:rsid w:val="0054492E"/>
    <w:rsid w:val="0060105C"/>
    <w:rsid w:val="00657534"/>
    <w:rsid w:val="006C2B98"/>
    <w:rsid w:val="00707737"/>
    <w:rsid w:val="00721346"/>
    <w:rsid w:val="00773A8C"/>
    <w:rsid w:val="007A7254"/>
    <w:rsid w:val="007E0201"/>
    <w:rsid w:val="0080510D"/>
    <w:rsid w:val="00816A4C"/>
    <w:rsid w:val="008C3F22"/>
    <w:rsid w:val="008E1845"/>
    <w:rsid w:val="009B3705"/>
    <w:rsid w:val="009E6880"/>
    <w:rsid w:val="009F2D26"/>
    <w:rsid w:val="00A60DFD"/>
    <w:rsid w:val="00AE4027"/>
    <w:rsid w:val="00B12CCB"/>
    <w:rsid w:val="00BA26CE"/>
    <w:rsid w:val="00BF1B8E"/>
    <w:rsid w:val="00C15CE4"/>
    <w:rsid w:val="00C41388"/>
    <w:rsid w:val="00C61E9F"/>
    <w:rsid w:val="00D426D6"/>
    <w:rsid w:val="00E14592"/>
    <w:rsid w:val="00E54548"/>
    <w:rsid w:val="00EA75AC"/>
    <w:rsid w:val="00F1776E"/>
    <w:rsid w:val="00F85AD4"/>
    <w:rsid w:val="00FA56C1"/>
    <w:rsid w:val="00FE2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efaultImageDpi w14:val="330"/>
  <w15:chartTrackingRefBased/>
  <w15:docId w15:val="{5A5DF342-A3AD-4415-B2B1-4ADC0BCE9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1388"/>
    <w:pPr>
      <w:pBdr>
        <w:top w:val="nil"/>
        <w:left w:val="nil"/>
        <w:bottom w:val="nil"/>
        <w:right w:val="nil"/>
        <w:between w:val="nil"/>
        <w:bar w:val="nil"/>
      </w:pBdr>
    </w:pPr>
    <w:rPr>
      <w:rFonts w:ascii="Times New Roman" w:eastAsia="Arial Unicode MS" w:hAnsi="Times New Roman" w:cs="Arial Unicode MS"/>
      <w:color w:val="000000"/>
      <w:kern w:val="0"/>
      <w:sz w:val="20"/>
      <w:szCs w:val="20"/>
      <w:u w:color="000000"/>
      <w:bdr w:val="n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oneA">
    <w:name w:val="None A"/>
    <w:rsid w:val="00C41388"/>
  </w:style>
  <w:style w:type="character" w:styleId="a3">
    <w:name w:val="Strong"/>
    <w:uiPriority w:val="22"/>
    <w:qFormat/>
    <w:rsid w:val="00C41388"/>
    <w:rPr>
      <w:rFonts w:ascii="Times New Roman" w:hAnsi="Times New Roman"/>
      <w:b/>
      <w:bCs/>
      <w:lang w:val="en-US"/>
    </w:rPr>
  </w:style>
  <w:style w:type="paragraph" w:customStyle="1" w:styleId="Teaser">
    <w:name w:val="Teaser"/>
    <w:rsid w:val="00C41388"/>
    <w:pPr>
      <w:pBdr>
        <w:top w:val="nil"/>
        <w:left w:val="nil"/>
        <w:bottom w:val="nil"/>
        <w:right w:val="nil"/>
        <w:between w:val="nil"/>
        <w:bar w:val="nil"/>
      </w:pBdr>
      <w:spacing w:before="120"/>
    </w:pPr>
    <w:rPr>
      <w:rFonts w:ascii="Times New Roman" w:eastAsia="Times New Roman" w:hAnsi="Times New Roman" w:cs="Times New Roman"/>
      <w:color w:val="000000"/>
      <w:kern w:val="0"/>
      <w:sz w:val="24"/>
      <w:szCs w:val="24"/>
      <w:u w:color="000000"/>
      <w:bdr w:val="nil"/>
    </w:rPr>
  </w:style>
  <w:style w:type="paragraph" w:customStyle="1" w:styleId="BodyA">
    <w:name w:val="Body A"/>
    <w:rsid w:val="00C41388"/>
    <w:pPr>
      <w:widowControl w:val="0"/>
      <w:pBdr>
        <w:top w:val="nil"/>
        <w:left w:val="nil"/>
        <w:bottom w:val="nil"/>
        <w:right w:val="nil"/>
        <w:between w:val="nil"/>
        <w:bar w:val="nil"/>
      </w:pBdr>
      <w:jc w:val="both"/>
    </w:pPr>
    <w:rPr>
      <w:rFonts w:ascii="等线" w:eastAsia="等线" w:hAnsi="等线" w:cs="等线"/>
      <w:color w:val="000000"/>
      <w:szCs w:val="21"/>
      <w:u w:color="000000"/>
      <w:bdr w:val="nil"/>
    </w:rPr>
  </w:style>
  <w:style w:type="paragraph" w:styleId="a4">
    <w:name w:val="Bibliography"/>
    <w:next w:val="a"/>
    <w:rsid w:val="00C41388"/>
    <w:pPr>
      <w:pBdr>
        <w:top w:val="nil"/>
        <w:left w:val="nil"/>
        <w:bottom w:val="nil"/>
        <w:right w:val="nil"/>
        <w:between w:val="nil"/>
        <w:bar w:val="nil"/>
      </w:pBdr>
    </w:pPr>
    <w:rPr>
      <w:rFonts w:ascii="Times New Roman" w:eastAsia="Arial Unicode MS" w:hAnsi="Times New Roman" w:cs="Arial Unicode MS"/>
      <w:color w:val="000000"/>
      <w:kern w:val="0"/>
      <w:sz w:val="20"/>
      <w:szCs w:val="20"/>
      <w:u w:color="000000"/>
      <w:bdr w:val="nil"/>
    </w:rPr>
  </w:style>
  <w:style w:type="paragraph" w:customStyle="1" w:styleId="SMSubheading">
    <w:name w:val="SM Subheading"/>
    <w:rsid w:val="00C41388"/>
    <w:pPr>
      <w:pBdr>
        <w:top w:val="nil"/>
        <w:left w:val="nil"/>
        <w:bottom w:val="nil"/>
        <w:right w:val="nil"/>
        <w:between w:val="nil"/>
        <w:bar w:val="nil"/>
      </w:pBdr>
    </w:pPr>
    <w:rPr>
      <w:rFonts w:ascii="Times New Roman" w:eastAsia="Arial Unicode MS" w:hAnsi="Times New Roman" w:cs="Arial Unicode MS"/>
      <w:color w:val="000000"/>
      <w:kern w:val="0"/>
      <w:sz w:val="24"/>
      <w:szCs w:val="24"/>
      <w:u w:val="words" w:color="000000"/>
      <w:bdr w:val="nil"/>
    </w:rPr>
  </w:style>
  <w:style w:type="paragraph" w:customStyle="1" w:styleId="SMText">
    <w:name w:val="SM Text"/>
    <w:qFormat/>
    <w:rsid w:val="00C41388"/>
    <w:pPr>
      <w:pBdr>
        <w:top w:val="nil"/>
        <w:left w:val="nil"/>
        <w:bottom w:val="nil"/>
        <w:right w:val="nil"/>
        <w:between w:val="nil"/>
        <w:bar w:val="nil"/>
      </w:pBdr>
      <w:ind w:firstLine="480"/>
    </w:pPr>
    <w:rPr>
      <w:rFonts w:ascii="Times New Roman" w:eastAsia="Arial Unicode MS" w:hAnsi="Times New Roman" w:cs="Arial Unicode MS"/>
      <w:color w:val="000000"/>
      <w:kern w:val="0"/>
      <w:sz w:val="24"/>
      <w:szCs w:val="24"/>
      <w:u w:color="000000"/>
      <w:bdr w:val="nil"/>
    </w:rPr>
  </w:style>
  <w:style w:type="paragraph" w:customStyle="1" w:styleId="SMcaption">
    <w:name w:val="SM caption"/>
    <w:qFormat/>
    <w:rsid w:val="00C41388"/>
    <w:pPr>
      <w:pBdr>
        <w:top w:val="nil"/>
        <w:left w:val="nil"/>
        <w:bottom w:val="nil"/>
        <w:right w:val="nil"/>
        <w:between w:val="nil"/>
        <w:bar w:val="nil"/>
      </w:pBdr>
    </w:pPr>
    <w:rPr>
      <w:rFonts w:ascii="Times New Roman" w:eastAsia="Times New Roman" w:hAnsi="Times New Roman" w:cs="Times New Roman"/>
      <w:color w:val="000000"/>
      <w:kern w:val="0"/>
      <w:sz w:val="24"/>
      <w:szCs w:val="24"/>
      <w:u w:color="000000"/>
      <w:bdr w:val="nil"/>
    </w:rPr>
  </w:style>
  <w:style w:type="paragraph" w:styleId="a5">
    <w:name w:val="header"/>
    <w:basedOn w:val="a"/>
    <w:link w:val="a6"/>
    <w:uiPriority w:val="99"/>
    <w:unhideWhenUsed/>
    <w:rsid w:val="00070409"/>
    <w:pPr>
      <w:tabs>
        <w:tab w:val="center" w:pos="4153"/>
        <w:tab w:val="right" w:pos="8306"/>
      </w:tabs>
      <w:snapToGrid w:val="0"/>
      <w:jc w:val="center"/>
    </w:pPr>
    <w:rPr>
      <w:sz w:val="18"/>
      <w:szCs w:val="18"/>
    </w:rPr>
  </w:style>
  <w:style w:type="character" w:customStyle="1" w:styleId="a6">
    <w:name w:val="页眉 字符"/>
    <w:basedOn w:val="a0"/>
    <w:link w:val="a5"/>
    <w:uiPriority w:val="99"/>
    <w:rsid w:val="00070409"/>
    <w:rPr>
      <w:rFonts w:ascii="Times New Roman" w:eastAsia="Arial Unicode MS" w:hAnsi="Times New Roman" w:cs="Arial Unicode MS"/>
      <w:color w:val="000000"/>
      <w:kern w:val="0"/>
      <w:sz w:val="18"/>
      <w:szCs w:val="18"/>
      <w:u w:color="000000"/>
      <w:bdr w:val="nil"/>
    </w:rPr>
  </w:style>
  <w:style w:type="paragraph" w:styleId="a7">
    <w:name w:val="footer"/>
    <w:basedOn w:val="a"/>
    <w:link w:val="a8"/>
    <w:uiPriority w:val="99"/>
    <w:unhideWhenUsed/>
    <w:rsid w:val="00070409"/>
    <w:pPr>
      <w:tabs>
        <w:tab w:val="center" w:pos="4153"/>
        <w:tab w:val="right" w:pos="8306"/>
      </w:tabs>
      <w:snapToGrid w:val="0"/>
    </w:pPr>
    <w:rPr>
      <w:sz w:val="18"/>
      <w:szCs w:val="18"/>
    </w:rPr>
  </w:style>
  <w:style w:type="character" w:customStyle="1" w:styleId="a8">
    <w:name w:val="页脚 字符"/>
    <w:basedOn w:val="a0"/>
    <w:link w:val="a7"/>
    <w:uiPriority w:val="99"/>
    <w:rsid w:val="00070409"/>
    <w:rPr>
      <w:rFonts w:ascii="Times New Roman" w:eastAsia="Arial Unicode MS" w:hAnsi="Times New Roman" w:cs="Arial Unicode MS"/>
      <w:color w:val="000000"/>
      <w:kern w:val="0"/>
      <w:sz w:val="18"/>
      <w:szCs w:val="18"/>
      <w:u w:color="000000"/>
      <w:bdr w:val="nil"/>
    </w:rPr>
  </w:style>
  <w:style w:type="paragraph" w:styleId="a9">
    <w:name w:val="Revision"/>
    <w:hidden/>
    <w:uiPriority w:val="99"/>
    <w:semiHidden/>
    <w:rsid w:val="00070409"/>
    <w:rPr>
      <w:rFonts w:ascii="Times New Roman" w:eastAsia="Arial Unicode MS" w:hAnsi="Times New Roman" w:cs="Arial Unicode MS"/>
      <w:color w:val="000000"/>
      <w:kern w:val="0"/>
      <w:sz w:val="20"/>
      <w:szCs w:val="20"/>
      <w:u w:color="000000"/>
      <w:bdr w:val="nil"/>
    </w:rPr>
  </w:style>
  <w:style w:type="paragraph" w:customStyle="1" w:styleId="Authors">
    <w:name w:val="Authors"/>
    <w:rsid w:val="0080510D"/>
    <w:pPr>
      <w:pBdr>
        <w:top w:val="nil"/>
        <w:left w:val="nil"/>
        <w:bottom w:val="nil"/>
        <w:right w:val="nil"/>
        <w:between w:val="nil"/>
        <w:bar w:val="nil"/>
      </w:pBdr>
      <w:spacing w:before="120" w:after="360"/>
      <w:jc w:val="center"/>
    </w:pPr>
    <w:rPr>
      <w:rFonts w:ascii="Times New Roman" w:eastAsia="Times New Roman" w:hAnsi="Times New Roman" w:cs="Times New Roman"/>
      <w:color w:val="000000"/>
      <w:kern w:val="0"/>
      <w:sz w:val="24"/>
      <w:szCs w:val="24"/>
      <w:u w:color="000000"/>
      <w:bdr w:val="nil"/>
    </w:rPr>
  </w:style>
  <w:style w:type="paragraph" w:customStyle="1" w:styleId="Paragraph">
    <w:name w:val="Paragraph"/>
    <w:rsid w:val="0080510D"/>
    <w:pPr>
      <w:pBdr>
        <w:top w:val="nil"/>
        <w:left w:val="nil"/>
        <w:bottom w:val="nil"/>
        <w:right w:val="nil"/>
        <w:between w:val="nil"/>
        <w:bar w:val="nil"/>
      </w:pBdr>
      <w:spacing w:before="120"/>
      <w:ind w:firstLine="720"/>
    </w:pPr>
    <w:rPr>
      <w:rFonts w:ascii="Times New Roman" w:eastAsia="Arial Unicode MS" w:hAnsi="Times New Roman" w:cs="Arial Unicode MS"/>
      <w:color w:val="000000"/>
      <w:kern w:val="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2701</Words>
  <Characters>15398</Characters>
  <Application>Microsoft Office Word</Application>
  <DocSecurity>0</DocSecurity>
  <Lines>128</Lines>
  <Paragraphs>36</Paragraphs>
  <ScaleCrop>false</ScaleCrop>
  <Company/>
  <LinksUpToDate>false</LinksUpToDate>
  <CharactersWithSpaces>18063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Dorrey 刘</dc:creator>
  <cp:keywords/>
  <dc:description/>
  <cp:lastModifiedBy>Dorrey 刘</cp:lastModifiedBy>
  <cp:revision>5</cp:revision>
  <dcterms:created xsi:type="dcterms:W3CDTF">2024-07-10T12:07:00Z</dcterms:created>
  <dcterms:modified xsi:type="dcterms:W3CDTF">2024-07-10T12:38:00Z</dcterms:modified>
</cp:coreProperties>
</file>