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2"/>
          <w:szCs w:val="22"/>
        </w:rPr>
        <w:t>Table S1. The baseline attributes of the patients after PSM</w:t>
      </w:r>
      <w:r>
        <w:rPr>
          <w:rFonts w:ascii="Times New Roman" w:hAnsi="Times New Roman"/>
          <w:sz w:val="24"/>
        </w:rPr>
        <w:t xml:space="preserve"> </w:t>
      </w:r>
    </w:p>
    <w:tbl>
      <w:tblPr>
        <w:tblStyle w:val="4"/>
        <w:tblpPr w:leftFromText="180" w:rightFromText="180" w:vertAnchor="text" w:horzAnchor="margin" w:tblpY="227"/>
        <w:tblOverlap w:val="never"/>
        <w:tblW w:w="825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815"/>
        <w:gridCol w:w="1763"/>
        <w:gridCol w:w="1800"/>
        <w:gridCol w:w="95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</w:trPr>
        <w:tc>
          <w:tcPr>
            <w:tcW w:w="1914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Characteristic</w:t>
            </w:r>
          </w:p>
        </w:tc>
        <w:tc>
          <w:tcPr>
            <w:tcW w:w="1815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Total</w:t>
            </w:r>
          </w:p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N=87</w:t>
            </w:r>
          </w:p>
        </w:tc>
        <w:tc>
          <w:tcPr>
            <w:tcW w:w="1763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Obese group</w:t>
            </w:r>
          </w:p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N=29</w:t>
            </w:r>
          </w:p>
        </w:tc>
        <w:tc>
          <w:tcPr>
            <w:tcW w:w="1800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 xml:space="preserve">Non-obese group </w:t>
            </w:r>
          </w:p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N=58</w:t>
            </w:r>
          </w:p>
        </w:tc>
        <w:tc>
          <w:tcPr>
            <w:tcW w:w="958" w:type="dxa"/>
            <w:tcBorders>
              <w:bottom w:val="single" w:color="auto" w:sz="6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P value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14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AdvOTd86a71d2"/>
                <w:color w:val="000000"/>
                <w:sz w:val="22"/>
                <w:szCs w:val="22"/>
                <w:lang w:bidi="ar"/>
              </w:rPr>
              <w:t>Age, year</w:t>
            </w:r>
          </w:p>
        </w:tc>
        <w:tc>
          <w:tcPr>
            <w:tcW w:w="1815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55.0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37.5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65.0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36.0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62.0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57.5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42.8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65.0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tcBorders>
              <w:top w:val="single" w:color="auto" w:sz="6" w:space="0"/>
              <w:bottom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0.117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914" w:type="dxa"/>
            <w:tcBorders>
              <w:top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Male, n (%)</w:t>
            </w:r>
          </w:p>
        </w:tc>
        <w:tc>
          <w:tcPr>
            <w:tcW w:w="1815" w:type="dxa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56.3%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51.7%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58.6%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tcBorders>
              <w:top w:val="nil"/>
            </w:tcBorders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0.702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BMI, kg/m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vertAlign w:val="superscript"/>
                <w:lang w:bidi="ar"/>
              </w:rPr>
              <w:t>2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25.6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23.4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29.3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31.7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29.4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35.5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24.4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21.6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25.5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&lt;0.001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APACHE II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18.0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13.5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23.0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16.0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19.0)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18.5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14.0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24.5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0.136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SOFA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11.0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0.220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ARDS-risk factor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0.790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ind w:firstLine="220" w:firstLineChars="100"/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AdvOTd86a71d2"/>
                <w:color w:val="000000"/>
                <w:sz w:val="22"/>
                <w:szCs w:val="22"/>
                <w:lang w:bidi="ar"/>
              </w:rPr>
              <w:t>Extrapulmonary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24.1%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27.6%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22.4%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914" w:type="dxa"/>
            <w:shd w:val="clear" w:color="auto" w:fill="auto"/>
          </w:tcPr>
          <w:p>
            <w:pPr>
              <w:ind w:firstLine="220" w:firstLineChars="100"/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AdvOTd86a71d2"/>
                <w:color w:val="000000"/>
                <w:sz w:val="22"/>
                <w:szCs w:val="22"/>
                <w:lang w:bidi="ar"/>
              </w:rPr>
              <w:t>Pulmonary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66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75.9%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72.4%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77.6%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Days from ICU-to-titration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0.469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Tidal volume, ml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429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371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512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429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400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528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427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356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498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0.352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Respiratory rate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18.0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17.0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 xml:space="preserve">18.0 </w:t>
            </w:r>
            <w:r>
              <w:rPr>
                <w:rFonts w:ascii="Times New Roman" w:hAnsi="Times New Roman"/>
                <w:sz w:val="22"/>
                <w:szCs w:val="22"/>
              </w:rPr>
              <w:t>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15.2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20.8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0.334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PEEP, cm H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O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12.0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8.0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0.258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FIO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vertAlign w:val="subscript"/>
                <w:lang w:bidi="ar"/>
              </w:rPr>
              <w:t>2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, %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35.0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45.0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40.0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35.0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50.0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0.830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pH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7.39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7.48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7.43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7.39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7.49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7.44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7.39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7.47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0.832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914" w:type="dxa"/>
            <w:shd w:val="clear" w:color="auto" w:fill="auto"/>
          </w:tcPr>
          <w:p>
            <w:pPr>
              <w:jc w:val="left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P/F ratio, mmHg</w:t>
            </w:r>
          </w:p>
        </w:tc>
        <w:tc>
          <w:tcPr>
            <w:tcW w:w="1815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210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157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282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763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215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155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280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1800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199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159</w:t>
            </w:r>
            <w:r>
              <w:rPr>
                <w:rFonts w:ascii="Times New Roman" w:hAnsi="Times New Roman"/>
                <w:sz w:val="22"/>
                <w:szCs w:val="22"/>
              </w:rPr>
              <w:t>-</w:t>
            </w: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282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  <w:tc>
          <w:tcPr>
            <w:tcW w:w="958" w:type="dxa"/>
            <w:shd w:val="clear" w:color="auto" w:fill="auto"/>
          </w:tcPr>
          <w:p>
            <w:pPr>
              <w:jc w:val="center"/>
              <w:rPr>
                <w:rFonts w:ascii="Times New Roman" w:hAnsi="Times New Roman" w:eastAsia="Segoe UI"/>
                <w:kern w:val="0"/>
                <w:sz w:val="22"/>
                <w:szCs w:val="22"/>
              </w:rPr>
            </w:pPr>
            <w:r>
              <w:rPr>
                <w:rFonts w:ascii="Times New Roman" w:hAnsi="Times New Roman" w:eastAsia="Segoe UI"/>
                <w:kern w:val="0"/>
                <w:sz w:val="22"/>
                <w:szCs w:val="22"/>
                <w:lang w:bidi="ar"/>
              </w:rPr>
              <w:t>0.907</w:t>
            </w:r>
          </w:p>
        </w:tc>
      </w:tr>
    </w:tbl>
    <w:p>
      <w:pPr>
        <w:autoSpaceDE w:val="0"/>
        <w:autoSpaceDN w:val="0"/>
        <w:adjustRightInd w:val="0"/>
        <w:spacing w:line="480" w:lineRule="auto"/>
        <w:rPr>
          <w:rFonts w:ascii="Times New Roman" w:hAnsi="Times New Roman" w:eastAsiaTheme="minorEastAsia"/>
          <w:color w:val="000000"/>
          <w:kern w:val="0"/>
          <w:sz w:val="18"/>
          <w:szCs w:val="18"/>
        </w:rPr>
      </w:pP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>Data are expressed as median (25th-75th percentile) or number (%) as appropriate.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 BMI: body mass index;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 xml:space="preserve"> APACHE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>: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 xml:space="preserve"> Acute Physiology and Chronic Health Evaluation; 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SOFA: Sequential Organ Failure Assessment; 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>PEEP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>: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 xml:space="preserve"> positive end-expiratory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 pressure; FiO2: fraction of inspiration 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>oxygen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; 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>ICU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>: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 xml:space="preserve"> intensive care unit;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 P: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 xml:space="preserve"> arterial partial pressure of oxygen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  <w:lang w:val="en-US" w:eastAsia="zh-CN"/>
        </w:rPr>
        <w:t xml:space="preserve">; F: </w:t>
      </w:r>
      <w:r>
        <w:rPr>
          <w:rFonts w:hint="eastAsia" w:ascii="Times New Roman" w:hAnsi="Times New Roman" w:eastAsiaTheme="minorEastAsia"/>
          <w:color w:val="000000"/>
          <w:kern w:val="0"/>
          <w:sz w:val="18"/>
          <w:szCs w:val="18"/>
        </w:rPr>
        <w:t xml:space="preserve">fraction of inspiration </w:t>
      </w:r>
      <w:r>
        <w:rPr>
          <w:rFonts w:ascii="Times New Roman" w:hAnsi="Times New Roman" w:eastAsiaTheme="minorEastAsia"/>
          <w:color w:val="000000"/>
          <w:kern w:val="0"/>
          <w:sz w:val="18"/>
          <w:szCs w:val="18"/>
        </w:rPr>
        <w:t>oxygen.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AdvOTd86a71d2">
    <w:altName w:val="Cambria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wMmEwOTM0OTUwOGNiYWU0M2Y4YWFkNDM1ZTM1MjYifQ=="/>
  </w:docVars>
  <w:rsids>
    <w:rsidRoot w:val="005B75C3"/>
    <w:rsid w:val="000C1DC7"/>
    <w:rsid w:val="00445CD3"/>
    <w:rsid w:val="0056335B"/>
    <w:rsid w:val="0058548B"/>
    <w:rsid w:val="005B75C3"/>
    <w:rsid w:val="00671980"/>
    <w:rsid w:val="00682B2A"/>
    <w:rsid w:val="007227B9"/>
    <w:rsid w:val="00772BAD"/>
    <w:rsid w:val="00A10546"/>
    <w:rsid w:val="00AD1B00"/>
    <w:rsid w:val="00D1474C"/>
    <w:rsid w:val="29DC2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1066</Characters>
  <Lines>8</Lines>
  <Paragraphs>2</Paragraphs>
  <TotalTime>0</TotalTime>
  <ScaleCrop>false</ScaleCrop>
  <LinksUpToDate>false</LinksUpToDate>
  <CharactersWithSpaces>1251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2024-04-16T08:34:00Z</dcterms:created>
  <dc:creator>宇彤 赵</dc:creator>
  <cp:lastModifiedBy>彤彤</cp:lastModifiedBy>
  <dcterms:modified xsi:type="dcterms:W3CDTF">2024-05-10T15:04:45Z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2658518934844DD4A302098C1A8066AE_12</vt:lpwstr>
  </property>
</Properties>
</file>