
<file path=[Content_Types].xml><?xml version="1.0" encoding="utf-8"?>
<Types xmlns="http://schemas.openxmlformats.org/package/2006/content-types">
  <Default Extension="tiff" ContentType="image/tif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0E9254">
      <w:pPr>
        <w:pStyle w:val="13"/>
        <w:spacing w:after="0"/>
        <w:jc w:val="both"/>
        <w:rPr>
          <w:rFonts w:ascii="Times New Roman" w:hAnsi="Times New Roman" w:eastAsia="楷体" w:cs="Times New Roman"/>
          <w:b/>
          <w:bCs/>
          <w:sz w:val="24"/>
          <w:szCs w:val="24"/>
        </w:rPr>
      </w:pPr>
      <w:bookmarkStart w:id="0" w:name="OLE_LINK35"/>
      <w:bookmarkStart w:id="1" w:name="OLE_LINK17"/>
      <w:bookmarkStart w:id="2" w:name="OLE_LINK7"/>
      <w:r>
        <w:rPr>
          <w:rFonts w:hint="eastAsia" w:ascii="Times New Roman" w:hAnsi="Times New Roman" w:eastAsia="楷体" w:cs="Times New Roman"/>
          <w:b/>
          <w:bCs/>
          <w:sz w:val="24"/>
          <w:szCs w:val="24"/>
        </w:rPr>
        <w:t>Spatial-Confinement</w:t>
      </w:r>
      <w:bookmarkEnd w:id="0"/>
      <w:r>
        <w:rPr>
          <w:rFonts w:hint="eastAsia" w:ascii="Times New Roman" w:hAnsi="Times New Roman" w:eastAsia="楷体" w:cs="Times New Roman"/>
          <w:b/>
          <w:bCs/>
          <w:sz w:val="24"/>
          <w:szCs w:val="24"/>
        </w:rPr>
        <w:t xml:space="preserve"> in Biomimetic Catalysts: Enhancing Homolytic Sulfur-Chain </w:t>
      </w:r>
      <w:bookmarkStart w:id="3" w:name="OLE_LINK20"/>
      <w:r>
        <w:rPr>
          <w:rFonts w:hint="eastAsia" w:ascii="Times New Roman" w:hAnsi="Times New Roman" w:eastAsia="楷体" w:cs="Times New Roman"/>
          <w:b/>
          <w:bCs/>
          <w:sz w:val="24"/>
          <w:szCs w:val="24"/>
        </w:rPr>
        <w:t>Reaction</w:t>
      </w:r>
      <w:bookmarkEnd w:id="3"/>
      <w:r>
        <w:rPr>
          <w:rFonts w:hint="eastAsia" w:ascii="Times New Roman" w:hAnsi="Times New Roman" w:eastAsia="楷体" w:cs="Times New Roman"/>
          <w:b/>
          <w:bCs/>
          <w:sz w:val="24"/>
          <w:szCs w:val="24"/>
        </w:rPr>
        <w:t>s and Enzyme-like Activity for High</w:t>
      </w:r>
      <w:r>
        <w:rPr>
          <w:rFonts w:ascii="Times New Roman" w:hAnsi="Times New Roman" w:eastAsia="楷体" w:cs="Times New Roman"/>
          <w:b/>
          <w:bCs/>
          <w:sz w:val="24"/>
          <w:szCs w:val="24"/>
        </w:rPr>
        <w:t>-</w:t>
      </w:r>
      <w:r>
        <w:rPr>
          <w:rFonts w:hint="eastAsia" w:ascii="Times New Roman" w:hAnsi="Times New Roman" w:eastAsia="楷体" w:cs="Times New Roman"/>
          <w:b/>
          <w:bCs/>
          <w:sz w:val="24"/>
          <w:szCs w:val="24"/>
        </w:rPr>
        <w:t>Performance L</w:t>
      </w:r>
      <w:r>
        <w:rPr>
          <w:rFonts w:ascii="Times New Roman" w:hAnsi="Times New Roman" w:eastAsia="楷体" w:cs="Times New Roman"/>
          <w:b/>
          <w:bCs/>
          <w:sz w:val="24"/>
          <w:szCs w:val="24"/>
        </w:rPr>
        <w:t>ithium</w:t>
      </w:r>
      <w:r>
        <w:rPr>
          <w:rFonts w:hint="eastAsia" w:ascii="Times New Roman" w:hAnsi="Times New Roman" w:eastAsia="楷体" w:cs="Times New Roman"/>
          <w:b/>
          <w:bCs/>
          <w:sz w:val="24"/>
          <w:szCs w:val="24"/>
        </w:rPr>
        <w:t>-S</w:t>
      </w:r>
      <w:r>
        <w:rPr>
          <w:rFonts w:ascii="Times New Roman" w:hAnsi="Times New Roman" w:eastAsia="楷体" w:cs="Times New Roman"/>
          <w:b/>
          <w:bCs/>
          <w:sz w:val="24"/>
          <w:szCs w:val="24"/>
        </w:rPr>
        <w:t xml:space="preserve">ulfur </w:t>
      </w:r>
      <w:r>
        <w:rPr>
          <w:rFonts w:hint="eastAsia" w:ascii="Times New Roman" w:hAnsi="Times New Roman" w:eastAsia="楷体" w:cs="Times New Roman"/>
          <w:b/>
          <w:bCs/>
          <w:sz w:val="24"/>
          <w:szCs w:val="24"/>
        </w:rPr>
        <w:t>B</w:t>
      </w:r>
      <w:r>
        <w:rPr>
          <w:rFonts w:ascii="Times New Roman" w:hAnsi="Times New Roman" w:eastAsia="楷体" w:cs="Times New Roman"/>
          <w:b/>
          <w:bCs/>
          <w:sz w:val="24"/>
          <w:szCs w:val="24"/>
        </w:rPr>
        <w:t>atteries</w:t>
      </w:r>
    </w:p>
    <w:bookmarkEnd w:id="1"/>
    <w:bookmarkEnd w:id="2"/>
    <w:p w14:paraId="1043C30F">
      <w:pPr>
        <w:widowControl w:val="0"/>
        <w:spacing w:after="0" w:line="480" w:lineRule="auto"/>
        <w:jc w:val="both"/>
        <w:rPr>
          <w:rFonts w:ascii="Times New Roman" w:hAnsi="Times New Roman" w:cs="Times New Roman"/>
          <w:bCs/>
          <w:i/>
          <w:sz w:val="24"/>
          <w:szCs w:val="24"/>
        </w:rPr>
      </w:pPr>
      <w:r>
        <w:rPr>
          <w:rFonts w:ascii="Times New Roman" w:hAnsi="Times New Roman" w:eastAsia="宋体" w:cs="Times New Roman"/>
          <w:bCs/>
          <w:i/>
          <w:kern w:val="2"/>
          <w:sz w:val="24"/>
          <w:szCs w:val="24"/>
        </w:rPr>
        <w:t>Tingting Li, Yangyang Dong,</w:t>
      </w:r>
      <w:r>
        <w:rPr>
          <w:rFonts w:hint="eastAsia" w:ascii="Times New Roman" w:hAnsi="Times New Roman" w:eastAsia="宋体" w:cs="Times New Roman"/>
          <w:bCs/>
          <w:i/>
          <w:kern w:val="2"/>
          <w:sz w:val="24"/>
          <w:szCs w:val="24"/>
        </w:rPr>
        <w:t xml:space="preserve"> Zeyi Guo, </w:t>
      </w:r>
      <w:bookmarkStart w:id="4" w:name="OLE_LINK8"/>
      <w:r>
        <w:rPr>
          <w:rFonts w:ascii="Times New Roman" w:hAnsi="Times New Roman" w:eastAsia="宋体" w:cs="Times New Roman"/>
          <w:bCs/>
          <w:i/>
          <w:kern w:val="2"/>
          <w:sz w:val="24"/>
          <w:szCs w:val="24"/>
        </w:rPr>
        <w:t>Dong Cai*,</w:t>
      </w:r>
      <w:bookmarkEnd w:id="4"/>
      <w:r>
        <w:rPr>
          <w:rFonts w:ascii="Times New Roman" w:hAnsi="Times New Roman" w:eastAsia="宋体" w:cs="Times New Roman"/>
          <w:bCs/>
          <w:i/>
          <w:kern w:val="2"/>
          <w:sz w:val="24"/>
          <w:szCs w:val="24"/>
        </w:rPr>
        <w:t xml:space="preserve"> Meiling Shu,</w:t>
      </w:r>
      <w:r>
        <w:rPr>
          <w:rFonts w:hint="eastAsia" w:ascii="Times New Roman" w:hAnsi="Times New Roman" w:eastAsia="宋体" w:cs="Times New Roman"/>
          <w:bCs/>
          <w:i/>
          <w:kern w:val="2"/>
          <w:sz w:val="24"/>
          <w:szCs w:val="24"/>
        </w:rPr>
        <w:t xml:space="preserve"> </w:t>
      </w:r>
      <w:r>
        <w:rPr>
          <w:rFonts w:ascii="Times New Roman" w:hAnsi="Times New Roman" w:eastAsia="宋体" w:cs="Times New Roman"/>
          <w:bCs/>
          <w:i/>
          <w:kern w:val="2"/>
          <w:sz w:val="24"/>
          <w:szCs w:val="24"/>
        </w:rPr>
        <w:t xml:space="preserve">Xuemei Zhou, </w:t>
      </w:r>
      <w:r>
        <w:rPr>
          <w:rFonts w:hint="eastAsia" w:ascii="Times New Roman" w:hAnsi="Times New Roman" w:eastAsia="宋体" w:cs="Times New Roman"/>
          <w:bCs/>
          <w:i/>
          <w:kern w:val="2"/>
          <w:sz w:val="24"/>
          <w:szCs w:val="24"/>
        </w:rPr>
        <w:t>Hao</w:t>
      </w:r>
      <w:r>
        <w:rPr>
          <w:rFonts w:ascii="Times New Roman" w:hAnsi="Times New Roman" w:eastAsia="宋体" w:cs="Times New Roman"/>
          <w:bCs/>
          <w:i/>
          <w:kern w:val="2"/>
          <w:sz w:val="24"/>
          <w:szCs w:val="24"/>
        </w:rPr>
        <w:t xml:space="preserve"> </w:t>
      </w:r>
      <w:r>
        <w:rPr>
          <w:rFonts w:hint="eastAsia" w:ascii="Times New Roman" w:hAnsi="Times New Roman" w:eastAsia="宋体" w:cs="Times New Roman"/>
          <w:bCs/>
          <w:i/>
          <w:kern w:val="2"/>
          <w:sz w:val="24"/>
          <w:szCs w:val="24"/>
        </w:rPr>
        <w:t>Tang</w:t>
      </w:r>
      <w:r>
        <w:rPr>
          <w:rFonts w:ascii="Times New Roman" w:hAnsi="Times New Roman" w:eastAsia="宋体" w:cs="Times New Roman"/>
          <w:bCs/>
          <w:i/>
          <w:kern w:val="2"/>
          <w:sz w:val="24"/>
          <w:szCs w:val="24"/>
        </w:rPr>
        <w:t>,</w:t>
      </w:r>
      <w:r>
        <w:rPr>
          <w:rFonts w:hint="eastAsia" w:ascii="Times New Roman" w:hAnsi="Times New Roman" w:eastAsia="宋体" w:cs="Times New Roman"/>
          <w:bCs/>
          <w:i/>
          <w:kern w:val="2"/>
          <w:sz w:val="24"/>
          <w:szCs w:val="24"/>
        </w:rPr>
        <w:t xml:space="preserve"> Shuo Yang,</w:t>
      </w:r>
      <w:r>
        <w:rPr>
          <w:rFonts w:hint="eastAsia" w:ascii="Times New Roman" w:hAnsi="Times New Roman" w:eastAsia="宋体" w:cs="Times New Roman"/>
          <w:bCs/>
          <w:i/>
          <w:kern w:val="2"/>
          <w:sz w:val="24"/>
          <w:szCs w:val="24"/>
          <w:lang w:val="en-US" w:eastAsia="zh-CN"/>
        </w:rPr>
        <w:t xml:space="preserve"> </w:t>
      </w:r>
      <w:r>
        <w:rPr>
          <w:rFonts w:hint="eastAsia" w:ascii="Times New Roman" w:hAnsi="Times New Roman" w:eastAsia="宋体" w:cs="Times New Roman"/>
          <w:bCs/>
          <w:i/>
          <w:kern w:val="2"/>
          <w:sz w:val="24"/>
          <w:szCs w:val="24"/>
        </w:rPr>
        <w:t>Haoran Tu</w:t>
      </w:r>
      <w:r>
        <w:rPr>
          <w:rFonts w:ascii="Times New Roman" w:hAnsi="Times New Roman" w:eastAsia="宋体" w:cs="Times New Roman"/>
          <w:bCs/>
          <w:i/>
          <w:kern w:val="2"/>
          <w:sz w:val="24"/>
          <w:szCs w:val="24"/>
        </w:rPr>
        <w:t>*,</w:t>
      </w:r>
      <w:r>
        <w:rPr>
          <w:rFonts w:hint="eastAsia" w:ascii="Times New Roman" w:hAnsi="Times New Roman" w:eastAsia="宋体" w:cs="Times New Roman"/>
          <w:bCs/>
          <w:i/>
          <w:kern w:val="2"/>
          <w:sz w:val="24"/>
          <w:szCs w:val="24"/>
        </w:rPr>
        <w:t xml:space="preserve"> Jia Guan</w:t>
      </w:r>
      <w:r>
        <w:rPr>
          <w:rFonts w:ascii="Times New Roman" w:hAnsi="Times New Roman" w:eastAsia="宋体" w:cs="Times New Roman"/>
          <w:bCs/>
          <w:i/>
          <w:kern w:val="2"/>
          <w:sz w:val="24"/>
          <w:szCs w:val="24"/>
        </w:rPr>
        <w:t>*</w:t>
      </w:r>
      <w:r>
        <w:rPr>
          <w:rFonts w:hint="eastAsia" w:ascii="Times New Roman" w:hAnsi="Times New Roman" w:eastAsia="宋体" w:cs="Times New Roman"/>
          <w:bCs/>
          <w:i/>
          <w:kern w:val="2"/>
          <w:sz w:val="24"/>
          <w:szCs w:val="24"/>
        </w:rPr>
        <w:t>,</w:t>
      </w:r>
      <w:r>
        <w:rPr>
          <w:rFonts w:ascii="Times New Roman" w:hAnsi="Times New Roman" w:eastAsia="宋体" w:cs="Times New Roman"/>
          <w:bCs/>
          <w:i/>
          <w:kern w:val="2"/>
          <w:sz w:val="24"/>
          <w:szCs w:val="24"/>
        </w:rPr>
        <w:t xml:space="preserve"> </w:t>
      </w:r>
      <w:r>
        <w:rPr>
          <w:rFonts w:hint="eastAsia" w:ascii="Times New Roman" w:hAnsi="Times New Roman" w:eastAsia="宋体" w:cs="Times New Roman"/>
          <w:bCs/>
          <w:i/>
          <w:kern w:val="2"/>
          <w:sz w:val="24"/>
          <w:szCs w:val="24"/>
        </w:rPr>
        <w:t xml:space="preserve"> </w:t>
      </w:r>
      <w:r>
        <w:rPr>
          <w:rFonts w:ascii="Times New Roman" w:hAnsi="Times New Roman" w:eastAsia="宋体" w:cs="Times New Roman"/>
          <w:bCs/>
          <w:i/>
          <w:kern w:val="2"/>
          <w:sz w:val="24"/>
          <w:szCs w:val="24"/>
        </w:rPr>
        <w:t>Zhi Yang*</w:t>
      </w:r>
    </w:p>
    <w:p w14:paraId="22484544">
      <w:pPr>
        <w:widowControl w:val="0"/>
        <w:spacing w:after="0" w:line="480" w:lineRule="auto"/>
        <w:jc w:val="both"/>
        <w:rPr>
          <w:rFonts w:ascii="Times New Roman" w:hAnsi="Times New Roman" w:cs="Times New Roman"/>
          <w:bCs/>
          <w:i/>
          <w:sz w:val="24"/>
          <w:szCs w:val="24"/>
        </w:rPr>
      </w:pPr>
    </w:p>
    <w:p w14:paraId="0C261F8C">
      <w:pPr>
        <w:pStyle w:val="5"/>
        <w:spacing w:before="0" w:beforeAutospacing="0" w:after="0" w:afterAutospacing="0" w:line="480" w:lineRule="auto"/>
        <w:jc w:val="both"/>
        <w:rPr>
          <w:rFonts w:ascii="Times New Roman" w:hAnsi="Times New Roman" w:eastAsia="等线" w:cs="Times New Roman"/>
        </w:rPr>
      </w:pPr>
      <w:r>
        <w:rPr>
          <w:rFonts w:ascii="Times New Roman" w:hAnsi="Times New Roman" w:eastAsia="等线" w:cs="Times New Roman"/>
        </w:rPr>
        <w:t>T</w:t>
      </w:r>
      <w:r>
        <w:rPr>
          <w:rFonts w:ascii="Times New Roman" w:hAnsi="Times New Roman" w:eastAsia="MS Mincho" w:cs="Times New Roman"/>
        </w:rPr>
        <w:t xml:space="preserve">. </w:t>
      </w:r>
      <w:r>
        <w:rPr>
          <w:rFonts w:ascii="Times New Roman" w:hAnsi="Times New Roman" w:eastAsia="等线" w:cs="Times New Roman"/>
        </w:rPr>
        <w:t>Li</w:t>
      </w:r>
      <w:r>
        <w:rPr>
          <w:rFonts w:ascii="Times New Roman" w:hAnsi="Times New Roman" w:eastAsia="MS Mincho" w:cs="Times New Roman"/>
        </w:rPr>
        <w:t>,</w:t>
      </w:r>
      <w:r>
        <w:rPr>
          <w:rFonts w:ascii="Times New Roman" w:hAnsi="Times New Roman" w:eastAsia="等线" w:cs="Times New Roman"/>
        </w:rPr>
        <w:t xml:space="preserve"> Z</w:t>
      </w:r>
      <w:r>
        <w:rPr>
          <w:rFonts w:hint="eastAsia" w:ascii="Times New Roman" w:hAnsi="Times New Roman" w:eastAsia="等线" w:cs="Times New Roman"/>
        </w:rPr>
        <w:t>.</w:t>
      </w:r>
      <w:r>
        <w:rPr>
          <w:rFonts w:ascii="Times New Roman" w:hAnsi="Times New Roman" w:eastAsia="等线" w:cs="Times New Roman"/>
        </w:rPr>
        <w:t xml:space="preserve"> Guo</w:t>
      </w:r>
      <w:r>
        <w:rPr>
          <w:rFonts w:hint="eastAsia" w:ascii="Times New Roman" w:hAnsi="Times New Roman" w:eastAsia="等线" w:cs="Times New Roman"/>
        </w:rPr>
        <w:t xml:space="preserve">, </w:t>
      </w:r>
      <w:bookmarkStart w:id="5" w:name="OLE_LINK23"/>
      <w:r>
        <w:rPr>
          <w:rFonts w:hint="eastAsia" w:ascii="Times New Roman" w:hAnsi="Times New Roman" w:eastAsia="等线" w:cs="Times New Roman"/>
        </w:rPr>
        <w:t>Y. Dong,</w:t>
      </w:r>
      <w:r>
        <w:rPr>
          <w:rFonts w:hint="eastAsia" w:ascii="Times New Roman" w:hAnsi="Times New Roman" w:eastAsia="等线" w:cs="Times New Roman"/>
          <w:lang w:val="en-US" w:eastAsia="zh-CN"/>
        </w:rPr>
        <w:t xml:space="preserve"> </w:t>
      </w:r>
      <w:r>
        <w:rPr>
          <w:rFonts w:ascii="Times New Roman" w:hAnsi="Times New Roman" w:eastAsia="等线" w:cs="Times New Roman"/>
        </w:rPr>
        <w:t xml:space="preserve">Dr. </w:t>
      </w:r>
      <w:bookmarkEnd w:id="5"/>
      <w:r>
        <w:rPr>
          <w:rFonts w:ascii="Times New Roman" w:hAnsi="Times New Roman" w:eastAsia="等线" w:cs="Times New Roman"/>
        </w:rPr>
        <w:t>D. Cai,</w:t>
      </w:r>
      <w:r>
        <w:rPr>
          <w:rFonts w:hint="eastAsia" w:ascii="Times New Roman" w:hAnsi="Times New Roman" w:cs="Times New Roman"/>
        </w:rPr>
        <w:t xml:space="preserve"> </w:t>
      </w:r>
      <w:r>
        <w:rPr>
          <w:rFonts w:ascii="Times New Roman" w:hAnsi="Times New Roman" w:eastAsia="等线" w:cs="Times New Roman"/>
        </w:rPr>
        <w:t xml:space="preserve">M. Shu, Dr. </w:t>
      </w:r>
      <w:r>
        <w:rPr>
          <w:rFonts w:hint="eastAsia" w:ascii="Times New Roman" w:hAnsi="Times New Roman" w:eastAsia="等线" w:cs="Times New Roman"/>
        </w:rPr>
        <w:t>H. Tu,</w:t>
      </w:r>
      <w:r>
        <w:rPr>
          <w:rFonts w:ascii="Times New Roman" w:hAnsi="Times New Roman" w:eastAsia="等线" w:cs="Times New Roman"/>
        </w:rPr>
        <w:t xml:space="preserve"> X. Zhou, Prof. </w:t>
      </w:r>
      <w:r>
        <w:rPr>
          <w:rFonts w:hint="eastAsia" w:ascii="Times New Roman" w:hAnsi="Times New Roman" w:cs="Times New Roman"/>
          <w:bCs/>
          <w:iCs/>
          <w:kern w:val="2"/>
        </w:rPr>
        <w:t>H.</w:t>
      </w:r>
      <w:r>
        <w:rPr>
          <w:rFonts w:ascii="Times New Roman" w:hAnsi="Times New Roman" w:cs="Times New Roman"/>
          <w:bCs/>
          <w:iCs/>
          <w:kern w:val="2"/>
        </w:rPr>
        <w:t xml:space="preserve"> </w:t>
      </w:r>
      <w:r>
        <w:rPr>
          <w:rFonts w:hint="eastAsia" w:ascii="Times New Roman" w:hAnsi="Times New Roman" w:cs="Times New Roman"/>
          <w:bCs/>
          <w:iCs/>
          <w:kern w:val="2"/>
        </w:rPr>
        <w:t>Tang</w:t>
      </w:r>
      <w:r>
        <w:rPr>
          <w:rFonts w:ascii="Times New Roman" w:hAnsi="Times New Roman" w:eastAsia="等线" w:cs="Times New Roman"/>
          <w:iCs/>
        </w:rPr>
        <w:t>, P</w:t>
      </w:r>
      <w:r>
        <w:rPr>
          <w:rFonts w:ascii="Times New Roman" w:hAnsi="Times New Roman" w:eastAsia="等线" w:cs="Times New Roman"/>
        </w:rPr>
        <w:t>rof.</w:t>
      </w:r>
      <w:r>
        <w:rPr>
          <w:rFonts w:hint="eastAsia" w:ascii="Times New Roman" w:hAnsi="Times New Roman" w:eastAsia="等线" w:cs="Times New Roman"/>
        </w:rPr>
        <w:t xml:space="preserve"> </w:t>
      </w:r>
      <w:r>
        <w:rPr>
          <w:rFonts w:ascii="Times New Roman" w:hAnsi="Times New Roman" w:eastAsia="MS Mincho" w:cs="Times New Roman"/>
        </w:rPr>
        <w:t>Jia Guan</w:t>
      </w:r>
      <w:r>
        <w:rPr>
          <w:rFonts w:hint="eastAsia" w:ascii="Times New Roman" w:hAnsi="Times New Roman" w:cs="Times New Roman"/>
        </w:rPr>
        <w:t xml:space="preserve">, </w:t>
      </w:r>
      <w:bookmarkStart w:id="6" w:name="_Hlk140845206"/>
      <w:r>
        <w:rPr>
          <w:rFonts w:ascii="Times New Roman" w:hAnsi="Times New Roman" w:eastAsia="等线" w:cs="Times New Roman"/>
        </w:rPr>
        <w:t xml:space="preserve">Prof. </w:t>
      </w:r>
      <w:r>
        <w:rPr>
          <w:rFonts w:hint="eastAsia" w:ascii="Times New Roman" w:hAnsi="Times New Roman" w:eastAsia="等线" w:cs="Times New Roman"/>
        </w:rPr>
        <w:t>S</w:t>
      </w:r>
      <w:r>
        <w:rPr>
          <w:rFonts w:ascii="Times New Roman" w:hAnsi="Times New Roman" w:eastAsia="等线" w:cs="Times New Roman"/>
        </w:rPr>
        <w:t>. Yang</w:t>
      </w:r>
      <w:r>
        <w:rPr>
          <w:rFonts w:hint="eastAsia" w:ascii="Times New Roman" w:hAnsi="Times New Roman" w:eastAsia="等线" w:cs="Times New Roman"/>
        </w:rPr>
        <w:t xml:space="preserve">, </w:t>
      </w:r>
      <w:r>
        <w:rPr>
          <w:rFonts w:ascii="Times New Roman" w:hAnsi="Times New Roman" w:eastAsia="MS Mincho" w:cs="Times New Roman"/>
        </w:rPr>
        <w:t xml:space="preserve">Prof. </w:t>
      </w:r>
      <w:r>
        <w:rPr>
          <w:rFonts w:ascii="Times New Roman" w:hAnsi="Times New Roman" w:eastAsia="等线" w:cs="Times New Roman"/>
        </w:rPr>
        <w:t>Z</w:t>
      </w:r>
      <w:r>
        <w:rPr>
          <w:rFonts w:ascii="Times New Roman" w:hAnsi="Times New Roman" w:eastAsia="MS Mincho" w:cs="Times New Roman"/>
        </w:rPr>
        <w:t>.</w:t>
      </w:r>
      <w:r>
        <w:rPr>
          <w:rFonts w:ascii="Times New Roman" w:hAnsi="Times New Roman" w:eastAsia="等线" w:cs="Times New Roman"/>
        </w:rPr>
        <w:t xml:space="preserve"> Yang</w:t>
      </w:r>
      <w:bookmarkEnd w:id="6"/>
    </w:p>
    <w:p w14:paraId="598608C8">
      <w:pPr>
        <w:pStyle w:val="5"/>
        <w:spacing w:before="0" w:beforeAutospacing="0" w:after="0" w:afterAutospacing="0" w:line="480" w:lineRule="auto"/>
        <w:jc w:val="both"/>
        <w:rPr>
          <w:rFonts w:ascii="Times New Roman" w:hAnsi="Times New Roman" w:eastAsia="等线" w:cs="Times New Roman"/>
        </w:rPr>
      </w:pPr>
      <w:r>
        <w:rPr>
          <w:rFonts w:ascii="Times New Roman" w:hAnsi="Times New Roman" w:eastAsia="MS Mincho" w:cs="Times New Roman"/>
        </w:rPr>
        <w:t>Key Laboratory of Carbon Materials of Zhejiang Province, Wenzhou University, Wenzhou, 325035, China</w:t>
      </w:r>
    </w:p>
    <w:p w14:paraId="5EFB633D">
      <w:pPr>
        <w:pStyle w:val="5"/>
        <w:numPr>
          <w:ilvl w:val="0"/>
          <w:numId w:val="1"/>
        </w:numPr>
        <w:wordWrap w:val="0"/>
        <w:spacing w:before="0" w:beforeAutospacing="0" w:after="0" w:afterAutospacing="0" w:line="480" w:lineRule="auto"/>
        <w:jc w:val="both"/>
        <w:rPr>
          <w:rFonts w:ascii="Times New Roman" w:hAnsi="Times New Roman" w:eastAsia="MS Mincho" w:cs="Times New Roman"/>
        </w:rPr>
      </w:pPr>
      <w:bookmarkStart w:id="7" w:name="OLE_LINK24"/>
      <w:r>
        <w:rPr>
          <w:rFonts w:ascii="Times New Roman" w:hAnsi="Times New Roman" w:eastAsia="MS Mincho" w:cs="Times New Roman"/>
        </w:rPr>
        <w:t xml:space="preserve">mail: </w:t>
      </w:r>
      <w:bookmarkEnd w:id="7"/>
      <w:r>
        <w:rPr>
          <w:rFonts w:ascii="Times New Roman" w:hAnsi="Times New Roman" w:cs="Times New Roman"/>
        </w:rPr>
        <w:fldChar w:fldCharType="begin"/>
      </w:r>
      <w:r>
        <w:rPr>
          <w:rFonts w:ascii="Times New Roman" w:hAnsi="Times New Roman" w:cs="Times New Roman"/>
        </w:rPr>
        <w:instrText xml:space="preserve"> HYPERLINK "mailto:caidong@wzu.edu.cn" </w:instrText>
      </w:r>
      <w:r>
        <w:rPr>
          <w:rFonts w:ascii="Times New Roman" w:hAnsi="Times New Roman" w:cs="Times New Roman"/>
        </w:rPr>
        <w:fldChar w:fldCharType="separate"/>
      </w:r>
      <w:r>
        <w:rPr>
          <w:rStyle w:val="9"/>
          <w:rFonts w:ascii="Times New Roman" w:hAnsi="Times New Roman" w:cs="Times New Roman"/>
        </w:rPr>
        <w:t>caidong@wzu.edu.cn</w:t>
      </w:r>
      <w:r>
        <w:rPr>
          <w:rFonts w:ascii="Times New Roman" w:hAnsi="Times New Roman" w:cs="Times New Roman"/>
        </w:rPr>
        <w:fldChar w:fldCharType="end"/>
      </w:r>
      <w:r>
        <w:rPr>
          <w:rFonts w:ascii="Times New Roman" w:hAnsi="Times New Roman" w:eastAsia="等线" w:cs="Times New Roman"/>
        </w:rPr>
        <w:t>;</w:t>
      </w:r>
      <w:r>
        <w:rPr>
          <w:rFonts w:hint="eastAsia" w:ascii="Times New Roman" w:hAnsi="Times New Roman" w:eastAsia="等线" w:cs="Times New Roman"/>
        </w:rPr>
        <w:t xml:space="preserve"> </w:t>
      </w:r>
      <w:r>
        <w:rPr>
          <w:rFonts w:hint="eastAsia" w:ascii="Times New Roman" w:hAnsi="Times New Roman" w:eastAsia="等线" w:cs="Times New Roman"/>
        </w:rPr>
        <w:fldChar w:fldCharType="begin"/>
      </w:r>
      <w:r>
        <w:rPr>
          <w:rFonts w:hint="eastAsia" w:ascii="Times New Roman" w:hAnsi="Times New Roman" w:eastAsia="等线" w:cs="Times New Roman"/>
        </w:rPr>
        <w:instrText xml:space="preserve"> HYPERLINK "mailto:guanjia@wzu.edu.cn;" </w:instrText>
      </w:r>
      <w:r>
        <w:rPr>
          <w:rFonts w:hint="eastAsia" w:ascii="Times New Roman" w:hAnsi="Times New Roman" w:eastAsia="等线" w:cs="Times New Roman"/>
        </w:rPr>
        <w:fldChar w:fldCharType="separate"/>
      </w:r>
      <w:r>
        <w:rPr>
          <w:rStyle w:val="9"/>
          <w:rFonts w:hint="eastAsia" w:ascii="Times New Roman" w:hAnsi="Times New Roman" w:eastAsia="等线" w:cs="Times New Roman"/>
        </w:rPr>
        <w:t>guanjia@wzu.edu.cn</w:t>
      </w:r>
      <w:r>
        <w:rPr>
          <w:rStyle w:val="9"/>
          <w:rFonts w:hint="eastAsia" w:ascii="Times New Roman" w:hAnsi="Times New Roman" w:eastAsia="等线" w:cs="Times New Roman"/>
          <w:lang w:val="en-US" w:eastAsia="zh-CN"/>
        </w:rPr>
        <w:t>;</w:t>
      </w:r>
      <w:r>
        <w:rPr>
          <w:rFonts w:hint="eastAsia" w:ascii="Times New Roman" w:hAnsi="Times New Roman" w:eastAsia="等线" w:cs="Times New Roman"/>
        </w:rPr>
        <w:fldChar w:fldCharType="end"/>
      </w:r>
      <w:r>
        <w:rPr>
          <w:rFonts w:hint="eastAsia" w:ascii="Times New Roman" w:hAnsi="Times New Roman" w:eastAsia="等线" w:cs="Times New Roman"/>
          <w:lang w:val="en-US" w:eastAsia="zh-CN"/>
        </w:rPr>
        <w:t xml:space="preserve"> </w:t>
      </w:r>
      <w:r>
        <w:rPr>
          <w:rFonts w:ascii="Times New Roman" w:hAnsi="Times New Roman" w:eastAsia="MS Mincho" w:cs="Times New Roman"/>
        </w:rPr>
        <w:fldChar w:fldCharType="begin"/>
      </w:r>
      <w:r>
        <w:rPr>
          <w:rFonts w:ascii="Times New Roman" w:hAnsi="Times New Roman" w:eastAsia="MS Mincho" w:cs="Times New Roman"/>
        </w:rPr>
        <w:instrText xml:space="preserve"> HYPERLINK "mailto:yang201079@126.com" </w:instrText>
      </w:r>
      <w:r>
        <w:rPr>
          <w:rFonts w:ascii="Times New Roman" w:hAnsi="Times New Roman" w:eastAsia="MS Mincho" w:cs="Times New Roman"/>
        </w:rPr>
        <w:fldChar w:fldCharType="separate"/>
      </w:r>
      <w:r>
        <w:rPr>
          <w:rStyle w:val="9"/>
          <w:rFonts w:ascii="Times New Roman" w:hAnsi="Times New Roman" w:eastAsia="MS Mincho" w:cs="Times New Roman"/>
        </w:rPr>
        <w:t>yang201079@126.com</w:t>
      </w:r>
      <w:r>
        <w:rPr>
          <w:rFonts w:ascii="Times New Roman" w:hAnsi="Times New Roman" w:eastAsia="MS Mincho" w:cs="Times New Roman"/>
        </w:rPr>
        <w:fldChar w:fldCharType="end"/>
      </w:r>
      <w:r>
        <w:rPr>
          <w:rFonts w:hint="eastAsia" w:ascii="Times New Roman" w:hAnsi="Times New Roman" w:cs="Times New Roman"/>
          <w:lang w:val="en-US" w:eastAsia="zh-CN"/>
        </w:rPr>
        <w:t xml:space="preserve"> </w:t>
      </w:r>
    </w:p>
    <w:p w14:paraId="2DA5DA26">
      <w:pPr>
        <w:spacing w:after="0" w:line="480" w:lineRule="auto"/>
        <w:rPr>
          <w:rFonts w:ascii="Times New Roman" w:hAnsi="Times New Roman" w:eastAsia="宋体" w:cs="Times New Roman"/>
          <w:sz w:val="24"/>
          <w:szCs w:val="24"/>
        </w:rPr>
      </w:pPr>
    </w:p>
    <w:p w14:paraId="76A490E6">
      <w:pPr>
        <w:spacing w:after="0" w:line="480" w:lineRule="auto"/>
        <w:rPr>
          <w:rFonts w:ascii="Times New Roman" w:hAnsi="Times New Roman" w:eastAsia="宋体" w:cs="Times New Roman"/>
          <w:sz w:val="24"/>
          <w:szCs w:val="24"/>
        </w:rPr>
      </w:pPr>
      <w:r>
        <w:rPr>
          <w:rFonts w:ascii="Times New Roman" w:hAnsi="Times New Roman" w:eastAsia="宋体" w:cs="Times New Roman"/>
          <w:sz w:val="24"/>
          <w:szCs w:val="24"/>
        </w:rPr>
        <w:t>Dr.</w:t>
      </w:r>
      <w:r>
        <w:rPr>
          <w:rFonts w:hint="eastAsia" w:ascii="Times New Roman" w:hAnsi="Times New Roman" w:eastAsia="宋体" w:cs="Times New Roman"/>
          <w:sz w:val="24"/>
          <w:szCs w:val="24"/>
        </w:rPr>
        <w:t xml:space="preserve"> H. Tu</w:t>
      </w:r>
    </w:p>
    <w:p w14:paraId="71539104">
      <w:pPr>
        <w:pStyle w:val="15"/>
        <w:spacing w:after="0"/>
        <w:rPr>
          <w:rFonts w:ascii="Times New Roman" w:hAnsi="Times New Roman" w:cs="Times New Roman"/>
          <w:sz w:val="24"/>
          <w:szCs w:val="24"/>
        </w:rPr>
      </w:pPr>
      <w:r>
        <w:rPr>
          <w:rFonts w:hint="eastAsia" w:ascii="Times New Roman" w:hAnsi="Times New Roman" w:cs="Times New Roman"/>
          <w:sz w:val="24"/>
          <w:szCs w:val="24"/>
        </w:rPr>
        <w:t>Center for Neutron Scattering and Advanced Light Sources , Dongguan University of Technology, Dongguan</w:t>
      </w:r>
      <w:r>
        <w:rPr>
          <w:rFonts w:ascii="Times New Roman" w:hAnsi="Times New Roman" w:eastAsia="MS Mincho" w:cs="Times New Roman"/>
        </w:rPr>
        <w:t>, 523808, China</w:t>
      </w:r>
    </w:p>
    <w:p w14:paraId="3C94589C">
      <w:pPr>
        <w:pStyle w:val="15"/>
        <w:numPr>
          <w:ilvl w:val="0"/>
          <w:numId w:val="2"/>
        </w:numPr>
        <w:spacing w:after="0"/>
        <w:rPr>
          <w:rFonts w:ascii="Times New Roman" w:hAnsi="Times New Roman" w:cs="Times New Roman"/>
          <w:sz w:val="24"/>
          <w:szCs w:val="24"/>
        </w:rPr>
      </w:pPr>
      <w:r>
        <w:rPr>
          <w:rFonts w:ascii="Times New Roman" w:hAnsi="Times New Roman" w:eastAsia="MS Mincho" w:cs="Times New Roman"/>
        </w:rPr>
        <w:t xml:space="preserve">mail: </w:t>
      </w:r>
      <w:r>
        <w:rPr>
          <w:rFonts w:hint="eastAsia" w:ascii="Times New Roman" w:hAnsi="Times New Roman" w:cs="Times New Roman"/>
          <w:sz w:val="24"/>
          <w:szCs w:val="24"/>
        </w:rPr>
        <w:fldChar w:fldCharType="begin"/>
      </w:r>
      <w:r>
        <w:rPr>
          <w:rFonts w:hint="eastAsia" w:ascii="Times New Roman" w:hAnsi="Times New Roman" w:cs="Times New Roman"/>
          <w:sz w:val="24"/>
          <w:szCs w:val="24"/>
        </w:rPr>
        <w:instrText xml:space="preserve"> HYPERLINK "mailto:terrytu@dgut.edu.cn" </w:instrText>
      </w:r>
      <w:r>
        <w:rPr>
          <w:rFonts w:hint="eastAsia" w:ascii="Times New Roman" w:hAnsi="Times New Roman" w:cs="Times New Roman"/>
          <w:sz w:val="24"/>
          <w:szCs w:val="24"/>
        </w:rPr>
        <w:fldChar w:fldCharType="separate"/>
      </w:r>
      <w:r>
        <w:rPr>
          <w:rStyle w:val="9"/>
          <w:rFonts w:hint="eastAsia" w:ascii="Times New Roman" w:hAnsi="Times New Roman" w:cs="Times New Roman"/>
          <w:sz w:val="24"/>
          <w:szCs w:val="24"/>
        </w:rPr>
        <w:t>terrytu@dgut.edu.cn</w:t>
      </w:r>
      <w:r>
        <w:rPr>
          <w:rFonts w:hint="eastAsia" w:ascii="Times New Roman" w:hAnsi="Times New Roman" w:cs="Times New Roman"/>
          <w:sz w:val="24"/>
          <w:szCs w:val="24"/>
        </w:rPr>
        <w:fldChar w:fldCharType="end"/>
      </w:r>
    </w:p>
    <w:p w14:paraId="6D1BCDBB"/>
    <w:p w14:paraId="0488F56D">
      <w:pPr>
        <w:spacing w:after="0"/>
      </w:pPr>
    </w:p>
    <w:p w14:paraId="60314CFC">
      <w:pPr>
        <w:pStyle w:val="15"/>
        <w:spacing w:after="0"/>
        <w:rPr>
          <w:rFonts w:ascii="Times New Roman" w:hAnsi="Times New Roman" w:eastAsia="宋体" w:cs="Times New Roman"/>
          <w:sz w:val="24"/>
          <w:szCs w:val="24"/>
        </w:rPr>
      </w:pPr>
      <w:r>
        <w:rPr>
          <w:rFonts w:ascii="Times New Roman" w:hAnsi="Times New Roman" w:cs="Times New Roman"/>
          <w:b/>
          <w:bCs/>
          <w:sz w:val="24"/>
          <w:szCs w:val="24"/>
        </w:rPr>
        <w:t>Keywords</w:t>
      </w:r>
      <w:r>
        <w:rPr>
          <w:rFonts w:ascii="Times New Roman" w:hAnsi="Times New Roman" w:eastAsia="宋体" w:cs="Times New Roman"/>
          <w:b/>
          <w:bCs/>
          <w:sz w:val="24"/>
          <w:szCs w:val="24"/>
        </w:rPr>
        <w:t>:</w:t>
      </w:r>
      <w:r>
        <w:rPr>
          <w:rFonts w:ascii="Times New Roman" w:hAnsi="Times New Roman" w:eastAsia="宋体" w:cs="Times New Roman"/>
          <w:sz w:val="24"/>
          <w:szCs w:val="24"/>
        </w:rPr>
        <w:t xml:space="preserve"> </w:t>
      </w:r>
      <w:bookmarkStart w:id="8" w:name="OLE_LINK18"/>
      <w:r>
        <w:rPr>
          <w:rFonts w:ascii="Times New Roman" w:hAnsi="Times New Roman" w:eastAsia="宋体" w:cs="Times New Roman"/>
          <w:sz w:val="24"/>
          <w:szCs w:val="24"/>
        </w:rPr>
        <w:t>lithium−sulfur</w:t>
      </w:r>
      <w:bookmarkEnd w:id="8"/>
      <w:r>
        <w:rPr>
          <w:rFonts w:ascii="Times New Roman" w:hAnsi="Times New Roman" w:eastAsia="宋体" w:cs="Times New Roman"/>
          <w:sz w:val="24"/>
          <w:szCs w:val="24"/>
        </w:rPr>
        <w:t xml:space="preserve"> battery</w:t>
      </w:r>
      <w:r>
        <w:rPr>
          <w:rFonts w:hint="eastAsia" w:ascii="Times New Roman" w:hAnsi="Times New Roman" w:eastAsia="宋体" w:cs="Times New Roman"/>
          <w:sz w:val="24"/>
          <w:szCs w:val="24"/>
        </w:rPr>
        <w:t>; iron porphyrin</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metal-organic-framework; spatial confinement; enzymatic catalysis</w:t>
      </w:r>
      <w:r>
        <w:rPr>
          <w:rFonts w:ascii="Times New Roman" w:hAnsi="Times New Roman" w:eastAsia="宋体" w:cs="Times New Roman"/>
          <w:sz w:val="24"/>
          <w:szCs w:val="24"/>
        </w:rPr>
        <w:t>;</w:t>
      </w:r>
      <w:r>
        <w:rPr>
          <w:rFonts w:hint="eastAsia" w:ascii="Times New Roman" w:hAnsi="Times New Roman" w:eastAsia="宋体" w:cs="Times New Roman"/>
          <w:sz w:val="24"/>
          <w:szCs w:val="24"/>
        </w:rPr>
        <w:t xml:space="preserve"> lithium polysulfide </w:t>
      </w:r>
      <w:r>
        <w:rPr>
          <w:rFonts w:ascii="Times New Roman" w:hAnsi="Times New Roman" w:eastAsia="宋体" w:cs="Times New Roman"/>
          <w:sz w:val="24"/>
          <w:szCs w:val="24"/>
        </w:rPr>
        <w:t>homolytic reaction</w:t>
      </w:r>
    </w:p>
    <w:p w14:paraId="51C6CCCF">
      <w:pPr>
        <w:spacing w:after="0"/>
      </w:pPr>
    </w:p>
    <w:p w14:paraId="075E4CCD">
      <w:pPr>
        <w:spacing w:after="0" w:line="480" w:lineRule="auto"/>
        <w:jc w:val="both"/>
        <w:rPr>
          <w:rFonts w:ascii="Times New Roman" w:hAnsi="Times New Roman" w:cs="Times New Roman"/>
          <w:b/>
          <w:bCs/>
          <w:sz w:val="24"/>
          <w:szCs w:val="24"/>
        </w:rPr>
      </w:pPr>
    </w:p>
    <w:p w14:paraId="1EC2B64F">
      <w:pPr>
        <w:spacing w:after="0" w:line="480" w:lineRule="auto"/>
        <w:jc w:val="both"/>
        <w:rPr>
          <w:rFonts w:ascii="Times New Roman" w:hAnsi="Times New Roman" w:cs="Times New Roman"/>
          <w:b/>
          <w:bCs/>
          <w:sz w:val="24"/>
          <w:szCs w:val="24"/>
        </w:rPr>
      </w:pPr>
    </w:p>
    <w:p w14:paraId="725075EC">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b/>
          <w:sz w:val="28"/>
          <w:szCs w:val="28"/>
        </w:rPr>
      </w:pPr>
    </w:p>
    <w:p w14:paraId="5EA6FA72">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b/>
          <w:sz w:val="28"/>
          <w:szCs w:val="28"/>
        </w:rPr>
      </w:pPr>
    </w:p>
    <w:p w14:paraId="3F12AD6A">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b/>
          <w:sz w:val="28"/>
          <w:szCs w:val="28"/>
        </w:rPr>
      </w:pPr>
    </w:p>
    <w:p w14:paraId="0663E905">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b/>
          <w:sz w:val="28"/>
          <w:szCs w:val="28"/>
        </w:rPr>
      </w:pPr>
    </w:p>
    <w:p w14:paraId="73A7304C">
      <w:pPr>
        <w:keepNext w:val="0"/>
        <w:keepLines w:val="0"/>
        <w:pageBreakBefore w:val="0"/>
        <w:widowControl/>
        <w:kinsoku/>
        <w:wordWrap/>
        <w:overflowPunct/>
        <w:topLinePunct w:val="0"/>
        <w:autoSpaceDE/>
        <w:autoSpaceDN/>
        <w:bidi w:val="0"/>
        <w:adjustRightInd w:val="0"/>
        <w:snapToGrid w:val="0"/>
        <w:spacing w:beforeAutospacing="0" w:after="0" w:afterAutospacing="0" w:line="480" w:lineRule="auto"/>
        <w:jc w:val="both"/>
        <w:textAlignment w:val="auto"/>
        <w:rPr>
          <w:rFonts w:hint="default" w:ascii="Times New Roman" w:hAnsi="Times New Roman" w:cs="Times New Roman"/>
          <w:b/>
          <w:sz w:val="28"/>
          <w:szCs w:val="28"/>
          <w:lang w:val="en-US" w:eastAsia="zh-CN"/>
        </w:rPr>
      </w:pPr>
      <w:r>
        <w:rPr>
          <w:rFonts w:hint="eastAsia" w:ascii="Times New Roman" w:hAnsi="Times New Roman" w:cs="Times New Roman"/>
          <w:b/>
          <w:sz w:val="28"/>
          <w:szCs w:val="28"/>
          <w:lang w:val="en-US" w:eastAsia="zh-CN"/>
        </w:rPr>
        <w:t>1. Synthesis and Characterization</w:t>
      </w:r>
    </w:p>
    <w:p w14:paraId="6E7892CF">
      <w:pPr>
        <w:keepNext w:val="0"/>
        <w:keepLines w:val="0"/>
        <w:pageBreakBefore w:val="0"/>
        <w:widowControl/>
        <w:kinsoku/>
        <w:wordWrap/>
        <w:overflowPunct/>
        <w:topLinePunct w:val="0"/>
        <w:autoSpaceDE/>
        <w:autoSpaceDN/>
        <w:bidi w:val="0"/>
        <w:adjustRightInd w:val="0"/>
        <w:snapToGrid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sz w:val="24"/>
          <w:szCs w:val="24"/>
        </w:rPr>
        <w:t xml:space="preserve">Synthesis of Fe-TCPP@Cu-BTC and Cu-BTC: </w:t>
      </w:r>
      <w:r>
        <w:rPr>
          <w:rFonts w:hint="default" w:ascii="Times New Roman" w:hAnsi="Times New Roman" w:cs="Times New Roman"/>
          <w:sz w:val="24"/>
          <w:szCs w:val="24"/>
        </w:rPr>
        <w:t xml:space="preserve">Fe-TCPP@Cu-BTC was synthesized following a previously reported method </w:t>
      </w:r>
      <w:r>
        <w:rPr>
          <w:rFonts w:hint="default" w:ascii="Times New Roman" w:hAnsi="Times New Roman" w:cs="Times New Roman"/>
          <w:color w:val="0000FF"/>
          <w:sz w:val="24"/>
          <w:szCs w:val="24"/>
        </w:rPr>
        <w:t>(ACS Appl. Mater. Interfaces 2021, 13, 25937−25945)</w:t>
      </w:r>
      <w:r>
        <w:rPr>
          <w:rFonts w:hint="default" w:ascii="Times New Roman" w:hAnsi="Times New Roman" w:cs="Times New Roman"/>
          <w:sz w:val="24"/>
          <w:szCs w:val="24"/>
        </w:rPr>
        <w:t>. The typical synthesis procedure was as follows: 1,3,5-benzenetricarboxylic acid (H</w:t>
      </w:r>
      <w:r>
        <w:rPr>
          <w:rFonts w:hint="default" w:ascii="Times New Roman" w:hAnsi="Times New Roman" w:cs="Times New Roman"/>
          <w:sz w:val="24"/>
          <w:szCs w:val="24"/>
          <w:vertAlign w:val="subscript"/>
        </w:rPr>
        <w:t>3</w:t>
      </w:r>
      <w:r>
        <w:rPr>
          <w:rFonts w:hint="default" w:ascii="Times New Roman" w:hAnsi="Times New Roman" w:cs="Times New Roman"/>
          <w:sz w:val="24"/>
          <w:szCs w:val="24"/>
        </w:rPr>
        <w:t>BTC, 300 mg, 98%, Meryer) and Fe-TCPP (10 mg, 95%, Bide) were dissolved in a 1:1 (v/v) mixture of ethanol and N,N-dimethylformamide (DMF) (5 mL). This solution was then added to 2.5 mL of an aqueous Cu(NO</w:t>
      </w:r>
      <w:r>
        <w:rPr>
          <w:rFonts w:hint="default" w:ascii="Times New Roman" w:hAnsi="Times New Roman" w:cs="Times New Roman"/>
          <w:sz w:val="24"/>
          <w:szCs w:val="24"/>
          <w:vertAlign w:val="subscript"/>
        </w:rPr>
        <w:t>3</w:t>
      </w:r>
      <w:r>
        <w:rPr>
          <w:rFonts w:hint="default" w:ascii="Times New Roman" w:hAnsi="Times New Roman" w:cs="Times New Roman"/>
          <w:sz w:val="24"/>
          <w:szCs w:val="24"/>
        </w:rPr>
        <w:t>)</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·3H</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 xml:space="preserve">O solution (400 mg, 99.99%, Aladdin). The resulting mixture was sonicated to ensure thorough dispersion and then sealed in a 15 mL Teflon-lined autoclave. The reaction was carried out at 60 °C for 7 </w:t>
      </w:r>
      <w:r>
        <w:rPr>
          <w:rFonts w:hint="default" w:ascii="Times New Roman" w:hAnsi="Times New Roman" w:cs="Times New Roman"/>
          <w:sz w:val="24"/>
          <w:szCs w:val="24"/>
          <w:lang w:val="en-US" w:eastAsia="zh-CN"/>
        </w:rPr>
        <w:t>h</w:t>
      </w:r>
      <w:r>
        <w:rPr>
          <w:rFonts w:hint="default" w:ascii="Times New Roman" w:hAnsi="Times New Roman" w:cs="Times New Roman"/>
          <w:sz w:val="24"/>
          <w:szCs w:val="24"/>
        </w:rPr>
        <w:t>. The product was collected by centrifugation, washed sequentially with DMF and ethanol, and then dried under vacuum at 60 °C for 12 h. Cu-BTC was synthesized following the same procedure, omitting the addition of Fe-TCPP.</w:t>
      </w:r>
    </w:p>
    <w:p w14:paraId="46FB1F19">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719499A1">
      <w:pPr>
        <w:keepNext w:val="0"/>
        <w:keepLines w:val="0"/>
        <w:pageBreakBefore w:val="0"/>
        <w:kinsoku/>
        <w:overflowPunct/>
        <w:topLinePunct w:val="0"/>
        <w:autoSpaceDE w:val="0"/>
        <w:autoSpaceDN/>
        <w:bidi w:val="0"/>
        <w:spacing w:beforeAutospacing="0" w:after="0" w:afterAutospacing="0" w:line="480" w:lineRule="auto"/>
        <w:jc w:val="both"/>
        <w:textAlignment w:val="auto"/>
        <w:rPr>
          <w:rFonts w:hint="default" w:ascii="Times New Roman" w:hAnsi="Times New Roman" w:eastAsia="楷体" w:cs="Times New Roman"/>
          <w:sz w:val="24"/>
          <w:szCs w:val="24"/>
        </w:rPr>
      </w:pPr>
      <w:r>
        <w:rPr>
          <w:rFonts w:hint="default" w:ascii="Times New Roman" w:hAnsi="Times New Roman" w:eastAsia="楷体" w:cs="Times New Roman"/>
          <w:b/>
          <w:bCs/>
          <w:sz w:val="24"/>
          <w:szCs w:val="24"/>
        </w:rPr>
        <w:t xml:space="preserve">Synthesis of CNTs-S composites: </w:t>
      </w:r>
      <w:r>
        <w:rPr>
          <w:rFonts w:hint="default" w:ascii="Times New Roman" w:hAnsi="Times New Roman" w:eastAsia="楷体" w:cs="Times New Roman"/>
          <w:sz w:val="24"/>
          <w:szCs w:val="24"/>
        </w:rPr>
        <w:t>The synthesis of CNTs-S was carried out following a previously reported method. The process began with the preparation of sulfur quantum dots (SQDs). In a 100 mL round-bottom flask, sublimed sulfur powder (1.4 g, &gt;99.99%, Aladdin), ultrapure water (50 mL), PEG-400 (3 mL, Aladdin), and sodium hydroxide (4 g, Aladdin) were combined. This mixture was stirred at 70 °C for 72 h. After the reaction period, the solution was cooled to room temperature and filtered to remove any undissolved particles. The filtrate was then dialyzed against ultrapure water to eliminate residual sodium hydroxide and PEG-400, yielding purified sulfur quantum dots.</w:t>
      </w:r>
      <w:r>
        <w:rPr>
          <w:rFonts w:hint="default" w:ascii="Times New Roman" w:hAnsi="Times New Roman" w:eastAsia="楷体" w:cs="Times New Roman"/>
          <w:sz w:val="24"/>
          <w:szCs w:val="24"/>
          <w:lang w:val="en-US" w:eastAsia="zh-CN"/>
        </w:rPr>
        <w:t xml:space="preserve"> </w:t>
      </w:r>
      <w:r>
        <w:rPr>
          <w:rFonts w:hint="default" w:ascii="Times New Roman" w:hAnsi="Times New Roman" w:eastAsia="楷体" w:cs="Times New Roman"/>
          <w:sz w:val="24"/>
          <w:szCs w:val="24"/>
        </w:rPr>
        <w:t>In the next step, the purified SQDs were mixed with carbon nanotubes (CNTs, &gt;99.9%, Aladdin) in an aqueous solution under vigorous stirring. Dilute hydrochloric acid (0.1 M, analytical grade) was added dropwise to this suspension. The resulting product, CNTs-S, was obtained through subsequent centrifugation, filtration, and drying processes.</w:t>
      </w:r>
    </w:p>
    <w:p w14:paraId="400B2B86">
      <w:pPr>
        <w:keepNext w:val="0"/>
        <w:keepLines w:val="0"/>
        <w:pageBreakBefore w:val="0"/>
        <w:kinsoku/>
        <w:overflowPunct/>
        <w:topLinePunct w:val="0"/>
        <w:autoSpaceDE w:val="0"/>
        <w:autoSpaceDN/>
        <w:bidi w:val="0"/>
        <w:spacing w:beforeAutospacing="0" w:after="0" w:afterAutospacing="0" w:line="480" w:lineRule="auto"/>
        <w:jc w:val="both"/>
        <w:textAlignment w:val="auto"/>
        <w:rPr>
          <w:rFonts w:hint="default" w:ascii="Times New Roman" w:hAnsi="Times New Roman" w:eastAsia="楷体" w:cs="Times New Roman"/>
          <w:sz w:val="24"/>
          <w:szCs w:val="24"/>
        </w:rPr>
      </w:pPr>
    </w:p>
    <w:p w14:paraId="31B0A018">
      <w:pPr>
        <w:keepNext w:val="0"/>
        <w:keepLines w:val="0"/>
        <w:pageBreakBefore w:val="0"/>
        <w:widowControl/>
        <w:kinsoku/>
        <w:wordWrap/>
        <w:overflowPunct/>
        <w:topLinePunct w:val="0"/>
        <w:autoSpaceDE/>
        <w:autoSpaceDN/>
        <w:bidi w:val="0"/>
        <w:adjustRightInd w:val="0"/>
        <w:snapToGrid w:val="0"/>
        <w:spacing w:beforeAutospacing="0" w:after="0" w:afterAutospacing="0" w:line="480" w:lineRule="auto"/>
        <w:jc w:val="both"/>
        <w:textAlignment w:val="auto"/>
        <w:rPr>
          <w:rFonts w:hint="default" w:ascii="Times New Roman" w:hAnsi="Times New Roman" w:eastAsia="楷体" w:cs="Times New Roman"/>
          <w:bCs/>
          <w:color w:val="auto"/>
          <w:sz w:val="24"/>
          <w:szCs w:val="24"/>
        </w:rPr>
      </w:pPr>
      <w:bookmarkStart w:id="9" w:name="OLE_LINK3"/>
      <w:bookmarkStart w:id="10" w:name="OLE_LINK4"/>
      <w:r>
        <w:rPr>
          <w:rFonts w:hint="default" w:ascii="Times New Roman" w:hAnsi="Times New Roman" w:eastAsia="楷体" w:cs="Times New Roman"/>
          <w:b/>
          <w:bCs/>
          <w:color w:val="auto"/>
          <w:sz w:val="24"/>
          <w:szCs w:val="24"/>
        </w:rPr>
        <w:t>Preparation</w:t>
      </w:r>
      <w:bookmarkEnd w:id="9"/>
      <w:bookmarkEnd w:id="10"/>
      <w:r>
        <w:rPr>
          <w:rFonts w:hint="default" w:ascii="Times New Roman" w:hAnsi="Times New Roman" w:eastAsia="楷体" w:cs="Times New Roman"/>
          <w:b/>
          <w:bCs/>
          <w:color w:val="auto"/>
          <w:sz w:val="24"/>
          <w:szCs w:val="24"/>
        </w:rPr>
        <w:t xml:space="preserve"> of Fe-TCPP@Cu-BTC, Cu-BTC, Fe-TCPP, and CNTs cathodes: </w:t>
      </w:r>
    </w:p>
    <w:p w14:paraId="14BAE81E">
      <w:pPr>
        <w:keepNext w:val="0"/>
        <w:keepLines w:val="0"/>
        <w:pageBreakBefore w:val="0"/>
        <w:widowControl/>
        <w:kinsoku/>
        <w:wordWrap/>
        <w:overflowPunct/>
        <w:topLinePunct w:val="0"/>
        <w:autoSpaceDE/>
        <w:autoSpaceDN/>
        <w:bidi w:val="0"/>
        <w:adjustRightInd w:val="0"/>
        <w:snapToGrid w:val="0"/>
        <w:spacing w:beforeAutospacing="0" w:after="0" w:afterAutospacing="0" w:line="480" w:lineRule="auto"/>
        <w:jc w:val="both"/>
        <w:textAlignment w:val="auto"/>
        <w:rPr>
          <w:rFonts w:hint="default" w:ascii="Times New Roman" w:hAnsi="Times New Roman" w:eastAsia="楷体" w:cs="Times New Roman"/>
          <w:bCs/>
          <w:color w:val="auto"/>
          <w:sz w:val="24"/>
          <w:szCs w:val="24"/>
        </w:rPr>
      </w:pPr>
      <w:r>
        <w:rPr>
          <w:rFonts w:hint="default" w:ascii="Times New Roman" w:hAnsi="Times New Roman" w:eastAsia="楷体" w:cs="Times New Roman"/>
          <w:bCs/>
          <w:color w:val="auto"/>
          <w:sz w:val="24"/>
          <w:szCs w:val="24"/>
        </w:rPr>
        <w:t xml:space="preserve">The cathodes for Li−S batteries were fabricated using a composite mixture of CNTs-S, CNTs, Fe-TCPP@Cu-BTC, and 5 wt% polyvinylidene difluoride (PVDF) in a mass ratio of 70:19:1:10. This mixture was dispersed in N-Methylpyrrolidone (NMP, 99.5%, Aladdin) to form a slurry, which was then stirred for 10 h at room temperature. The resulting slurry was cast onto Al foil and dried at 55 ℃ for an additional 10 h. Subsequently, the dried film was cut into circular disks with a diameter of 14 mm to serve as cathodes. For comparative analysis, cathodes composed of Cu-BTC, Fe-TCPP, and CNTs were prepared following the same methodology. Unless otherwise specified, the sulfur loading on each disk was maintained at </w:t>
      </w:r>
      <w:r>
        <w:rPr>
          <w:rFonts w:hint="default" w:ascii="Times New Roman" w:hAnsi="Times New Roman" w:eastAsia="楷体" w:cs="Times New Roman"/>
          <w:bCs/>
          <w:color w:val="auto"/>
          <w:sz w:val="24"/>
          <w:szCs w:val="24"/>
          <w:lang w:val="en-US" w:eastAsia="zh-CN"/>
        </w:rPr>
        <w:t>~</w:t>
      </w:r>
      <w:r>
        <w:rPr>
          <w:rFonts w:hint="default" w:ascii="Times New Roman" w:hAnsi="Times New Roman" w:eastAsia="楷体" w:cs="Times New Roman"/>
          <w:bCs/>
          <w:color w:val="auto"/>
          <w:sz w:val="24"/>
          <w:szCs w:val="24"/>
        </w:rPr>
        <w:t>1.2 mg cm</w:t>
      </w:r>
      <w:r>
        <w:rPr>
          <w:rFonts w:hint="default" w:ascii="Times New Roman" w:hAnsi="Times New Roman" w:eastAsia="楷体" w:cs="Times New Roman"/>
          <w:bCs/>
          <w:color w:val="auto"/>
          <w:sz w:val="24"/>
          <w:szCs w:val="24"/>
          <w:vertAlign w:val="superscript"/>
        </w:rPr>
        <w:t>−2</w:t>
      </w:r>
      <w:r>
        <w:rPr>
          <w:rFonts w:hint="default" w:ascii="Times New Roman" w:hAnsi="Times New Roman" w:eastAsia="楷体" w:cs="Times New Roman"/>
          <w:bCs/>
          <w:color w:val="auto"/>
          <w:sz w:val="24"/>
          <w:szCs w:val="24"/>
        </w:rPr>
        <w:t>.</w:t>
      </w:r>
    </w:p>
    <w:p w14:paraId="5D4B6376">
      <w:pPr>
        <w:keepNext w:val="0"/>
        <w:keepLines w:val="0"/>
        <w:pageBreakBefore w:val="0"/>
        <w:widowControl/>
        <w:kinsoku/>
        <w:wordWrap/>
        <w:overflowPunct/>
        <w:topLinePunct w:val="0"/>
        <w:autoSpaceDE/>
        <w:autoSpaceDN/>
        <w:bidi w:val="0"/>
        <w:adjustRightInd w:val="0"/>
        <w:snapToGrid w:val="0"/>
        <w:spacing w:beforeAutospacing="0" w:after="0" w:afterAutospacing="0" w:line="480" w:lineRule="auto"/>
        <w:jc w:val="both"/>
        <w:textAlignment w:val="auto"/>
        <w:rPr>
          <w:rFonts w:hint="default" w:ascii="Times New Roman" w:hAnsi="Times New Roman" w:eastAsia="楷体" w:cs="Times New Roman"/>
          <w:bCs/>
          <w:color w:val="FF0000"/>
          <w:sz w:val="24"/>
          <w:szCs w:val="24"/>
        </w:rPr>
      </w:pPr>
    </w:p>
    <w:p w14:paraId="163305D3">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Cs/>
          <w:color w:val="auto"/>
          <w:sz w:val="24"/>
          <w:szCs w:val="24"/>
        </w:rPr>
      </w:pPr>
      <w:r>
        <w:rPr>
          <w:rFonts w:hint="default" w:ascii="Times New Roman" w:hAnsi="Times New Roman" w:eastAsia="楷体" w:cs="Times New Roman"/>
          <w:b/>
          <w:bCs/>
          <w:color w:val="auto"/>
          <w:sz w:val="24"/>
          <w:szCs w:val="24"/>
        </w:rPr>
        <w:t xml:space="preserve">Cell assembly and electrochemical measurements: </w:t>
      </w:r>
      <w:bookmarkStart w:id="11" w:name="OLE_LINK5"/>
      <w:r>
        <w:rPr>
          <w:rFonts w:hint="default" w:ascii="Times New Roman" w:hAnsi="Times New Roman" w:eastAsia="楷体" w:cs="Times New Roman"/>
          <w:bCs/>
          <w:color w:val="auto"/>
          <w:sz w:val="24"/>
          <w:szCs w:val="24"/>
        </w:rPr>
        <w:t>CR</w:t>
      </w:r>
      <w:bookmarkEnd w:id="11"/>
      <w:r>
        <w:rPr>
          <w:rFonts w:hint="default" w:ascii="Times New Roman" w:hAnsi="Times New Roman" w:eastAsia="楷体" w:cs="Times New Roman"/>
          <w:bCs/>
          <w:color w:val="auto"/>
          <w:sz w:val="24"/>
          <w:szCs w:val="24"/>
        </w:rPr>
        <w:t>2025 coin cells were assembled in an Ar-filled glove box using Li foil as the anode, Celgard 2400 membrane as the separator, and an electrolyte composed of 1 M LiTFSI with 1 wt% LiNO</w:t>
      </w:r>
      <w:r>
        <w:rPr>
          <w:rFonts w:hint="default" w:ascii="Times New Roman" w:hAnsi="Times New Roman" w:eastAsia="楷体" w:cs="Times New Roman"/>
          <w:bCs/>
          <w:color w:val="auto"/>
          <w:sz w:val="24"/>
          <w:szCs w:val="24"/>
          <w:vertAlign w:val="subscript"/>
        </w:rPr>
        <w:t>3</w:t>
      </w:r>
      <w:r>
        <w:rPr>
          <w:rFonts w:hint="default" w:ascii="Times New Roman" w:hAnsi="Times New Roman" w:eastAsia="楷体" w:cs="Times New Roman"/>
          <w:bCs/>
          <w:color w:val="auto"/>
          <w:sz w:val="24"/>
          <w:szCs w:val="24"/>
        </w:rPr>
        <w:t xml:space="preserve"> in a 1:1 (v/v) mixture of DOL/DME (Guangdong CanrdNew Energy Technology). The electrolyte-to-sulfur (E/S) ratio was maintained at </w:t>
      </w:r>
      <w:r>
        <w:rPr>
          <w:rFonts w:hint="default" w:ascii="Times New Roman" w:hAnsi="Times New Roman" w:eastAsia="楷体" w:cs="Times New Roman"/>
          <w:bCs/>
          <w:color w:val="auto"/>
          <w:sz w:val="24"/>
          <w:szCs w:val="24"/>
          <w:lang w:val="en-US" w:eastAsia="zh-CN"/>
        </w:rPr>
        <w:t>~</w:t>
      </w:r>
      <w:r>
        <w:rPr>
          <w:rFonts w:hint="default" w:ascii="Times New Roman" w:hAnsi="Times New Roman" w:eastAsia="楷体" w:cs="Times New Roman"/>
          <w:bCs/>
          <w:color w:val="auto"/>
          <w:sz w:val="24"/>
          <w:szCs w:val="24"/>
        </w:rPr>
        <w:t>20 µL mg</w:t>
      </w:r>
      <w:r>
        <w:rPr>
          <w:rFonts w:hint="default" w:ascii="Times New Roman" w:hAnsi="Times New Roman" w:eastAsia="楷体" w:cs="Times New Roman"/>
          <w:bCs/>
          <w:color w:val="auto"/>
          <w:sz w:val="24"/>
          <w:szCs w:val="24"/>
          <w:vertAlign w:val="superscript"/>
        </w:rPr>
        <w:t>−1</w:t>
      </w:r>
      <w:r>
        <w:rPr>
          <w:rFonts w:hint="default" w:ascii="Times New Roman" w:hAnsi="Times New Roman" w:eastAsia="楷体" w:cs="Times New Roman"/>
          <w:bCs/>
          <w:color w:val="auto"/>
          <w:sz w:val="24"/>
          <w:szCs w:val="24"/>
        </w:rPr>
        <w:t>.</w:t>
      </w:r>
      <w:r>
        <w:rPr>
          <w:rFonts w:hint="eastAsia" w:ascii="Times New Roman" w:hAnsi="Times New Roman" w:eastAsia="楷体" w:cs="Times New Roman"/>
          <w:bCs/>
          <w:color w:val="auto"/>
          <w:sz w:val="24"/>
          <w:szCs w:val="24"/>
          <w:lang w:val="en-US" w:eastAsia="zh-CN"/>
        </w:rPr>
        <w:t xml:space="preserve"> </w:t>
      </w:r>
      <w:r>
        <w:rPr>
          <w:rFonts w:hint="default" w:ascii="Times New Roman" w:hAnsi="Times New Roman" w:eastAsia="楷体" w:cs="Times New Roman"/>
          <w:bCs/>
          <w:color w:val="auto"/>
          <w:sz w:val="24"/>
          <w:szCs w:val="24"/>
        </w:rPr>
        <w:t>Galvanostatic charge-discharge tests were conducted using a Neware battery test system (Shenzhen Neware, China) at various current densities. Cyclic voltammetry (CV) measurements were performed on a CHI 760E electrochemical workstation (Shanghai Chenhua, China) within a voltage range of 1.6-2.8 V (vs. Li/Li</w:t>
      </w:r>
      <w:r>
        <w:rPr>
          <w:rFonts w:hint="default" w:ascii="Times New Roman" w:hAnsi="Times New Roman" w:eastAsia="楷体" w:cs="Times New Roman"/>
          <w:bCs/>
          <w:color w:val="auto"/>
          <w:sz w:val="24"/>
          <w:szCs w:val="24"/>
          <w:vertAlign w:val="superscript"/>
        </w:rPr>
        <w:t>+</w:t>
      </w:r>
      <w:r>
        <w:rPr>
          <w:rFonts w:hint="default" w:ascii="Times New Roman" w:hAnsi="Times New Roman" w:eastAsia="楷体" w:cs="Times New Roman"/>
          <w:bCs/>
          <w:color w:val="auto"/>
          <w:sz w:val="24"/>
          <w:szCs w:val="24"/>
        </w:rPr>
        <w:t xml:space="preserve">). Additionally, electrochemical impedance spectroscopy (EIS) measurements were carried out over a frequency range from 100 kHz to 0.01 Hz. All electrochemical tests were conducted at a constant temperature of </w:t>
      </w:r>
      <w:r>
        <w:rPr>
          <w:rFonts w:hint="eastAsia" w:ascii="Times New Roman" w:hAnsi="Times New Roman" w:eastAsia="楷体" w:cs="Times New Roman"/>
          <w:bCs/>
          <w:color w:val="auto"/>
          <w:sz w:val="24"/>
          <w:szCs w:val="24"/>
          <w:lang w:val="en-US" w:eastAsia="zh-CN"/>
        </w:rPr>
        <w:t xml:space="preserve"> </w:t>
      </w:r>
      <w:r>
        <w:rPr>
          <w:rFonts w:hint="default" w:ascii="Times New Roman" w:hAnsi="Times New Roman" w:eastAsia="楷体" w:cs="Times New Roman"/>
          <w:bCs/>
          <w:color w:val="auto"/>
          <w:sz w:val="24"/>
          <w:szCs w:val="24"/>
        </w:rPr>
        <w:t>25 °C.</w:t>
      </w:r>
    </w:p>
    <w:p w14:paraId="25CCC1C4">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Cs/>
          <w:color w:val="FF0000"/>
          <w:sz w:val="24"/>
          <w:szCs w:val="24"/>
        </w:rPr>
      </w:pPr>
    </w:p>
    <w:p w14:paraId="1553159B">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 w:val="0"/>
          <w:bCs w:val="0"/>
          <w:sz w:val="24"/>
          <w:szCs w:val="24"/>
        </w:rPr>
      </w:pPr>
      <w:r>
        <w:rPr>
          <w:rFonts w:hint="default" w:ascii="Times New Roman" w:hAnsi="Times New Roman" w:eastAsia="楷体" w:cs="Times New Roman"/>
          <w:b/>
          <w:bCs/>
          <w:sz w:val="24"/>
          <w:szCs w:val="24"/>
        </w:rPr>
        <w:t>Material characterization:</w:t>
      </w:r>
      <w:r>
        <w:rPr>
          <w:rFonts w:hint="eastAsia" w:ascii="Times New Roman" w:hAnsi="Times New Roman" w:eastAsia="楷体" w:cs="Times New Roman"/>
          <w:b/>
          <w:bCs/>
          <w:sz w:val="24"/>
          <w:szCs w:val="24"/>
          <w:lang w:val="en-US" w:eastAsia="zh-CN"/>
        </w:rPr>
        <w:t xml:space="preserve"> </w:t>
      </w:r>
      <w:r>
        <w:rPr>
          <w:rFonts w:hint="default" w:ascii="Times New Roman" w:hAnsi="Times New Roman" w:eastAsia="楷体" w:cs="Times New Roman"/>
          <w:b w:val="0"/>
          <w:bCs w:val="0"/>
          <w:sz w:val="24"/>
          <w:szCs w:val="24"/>
        </w:rPr>
        <w:t>X-ray diffraction (XRD) patterns were obtained using a D/MAX-2400 diffractometer with Cu Kα radiation (40 kV, 100 mA, λ=1.54056 Å). Nitrogen adsorption/desorption isotherms were recorded at 77 K using a Micromeritics ASAP 2020 M device. Prior to measurement, samples were degassed under vacuum at 50 °C for 12 h. The Barrett–Joyner–Halenda (BJH) model was applied to derive pore size distributions (PSD) from the adsorption branch of the isotherms, while the Brunauer–Emmett–Teller (BET) equation was used to calculate specific surface areas.</w:t>
      </w:r>
      <w:r>
        <w:rPr>
          <w:rFonts w:hint="eastAsia" w:ascii="Times New Roman" w:hAnsi="Times New Roman" w:eastAsia="楷体" w:cs="Times New Roman"/>
          <w:b w:val="0"/>
          <w:bCs w:val="0"/>
          <w:sz w:val="24"/>
          <w:szCs w:val="24"/>
          <w:lang w:val="en-US" w:eastAsia="zh-CN"/>
        </w:rPr>
        <w:t xml:space="preserve"> </w:t>
      </w:r>
      <w:r>
        <w:rPr>
          <w:rFonts w:hint="default" w:ascii="Times New Roman" w:hAnsi="Times New Roman" w:eastAsia="楷体" w:cs="Times New Roman"/>
          <w:b w:val="0"/>
          <w:bCs w:val="0"/>
          <w:sz w:val="24"/>
          <w:szCs w:val="24"/>
        </w:rPr>
        <w:t>Scanning electron microscope (SEM) images were captured using a JSM-6700F field-emission scanning electron microscope. Fourier transform infrared (FT-IR) spectra were recorded with a Fourier-transform infrared spectrometer (iS50, Thermo Fisher). X-ray photoelectron spectroscopy (XPS) measurements were conducted using an ultrahigh vacuum setup equipped with a monochromatic Al Kα X-ray source</w:t>
      </w:r>
      <w:r>
        <w:rPr>
          <w:rFonts w:hint="eastAsia" w:ascii="Times New Roman" w:hAnsi="Times New Roman" w:eastAsia="楷体" w:cs="Times New Roman"/>
          <w:b w:val="0"/>
          <w:bCs w:val="0"/>
          <w:sz w:val="24"/>
          <w:szCs w:val="24"/>
          <w:lang w:val="en-US" w:eastAsia="zh-CN"/>
        </w:rPr>
        <w:t xml:space="preserve"> (PHI VersaProbe III 5000)</w:t>
      </w:r>
      <w:r>
        <w:rPr>
          <w:rFonts w:hint="default" w:ascii="Times New Roman" w:hAnsi="Times New Roman" w:eastAsia="楷体" w:cs="Times New Roman"/>
          <w:b w:val="0"/>
          <w:bCs w:val="0"/>
          <w:sz w:val="24"/>
          <w:szCs w:val="24"/>
        </w:rPr>
        <w:t>. Raman spectra were obtained using a Renishaw inVia Raman microscope with a 532 nm Ar-ion laser excitation source.</w:t>
      </w:r>
    </w:p>
    <w:p w14:paraId="40BB05A1">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 w:val="0"/>
          <w:bCs w:val="0"/>
          <w:sz w:val="24"/>
          <w:szCs w:val="24"/>
        </w:rPr>
      </w:pPr>
    </w:p>
    <w:p w14:paraId="71E9A5A7">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Cs/>
          <w:sz w:val="24"/>
          <w:szCs w:val="24"/>
        </w:rPr>
      </w:pPr>
      <w:r>
        <w:rPr>
          <w:rFonts w:hint="default" w:ascii="Times New Roman" w:hAnsi="Times New Roman" w:eastAsia="楷体" w:cs="Times New Roman"/>
          <w:b/>
          <w:bCs/>
          <w:sz w:val="24"/>
          <w:szCs w:val="24"/>
        </w:rPr>
        <w:t>Visualized adsorption of LiPSs:</w:t>
      </w:r>
      <w:r>
        <w:rPr>
          <w:rFonts w:hint="default" w:ascii="Times New Roman" w:hAnsi="Times New Roman" w:eastAsia="楷体" w:cs="Times New Roman"/>
          <w:bCs/>
          <w:sz w:val="24"/>
          <w:szCs w:val="24"/>
        </w:rPr>
        <w:t xml:space="preserve"> A 0.2 M Li</w:t>
      </w:r>
      <w:r>
        <w:rPr>
          <w:rFonts w:hint="default" w:ascii="Times New Roman" w:hAnsi="Times New Roman" w:eastAsia="楷体" w:cs="Times New Roman"/>
          <w:bCs/>
          <w:sz w:val="24"/>
          <w:szCs w:val="24"/>
          <w:vertAlign w:val="subscript"/>
        </w:rPr>
        <w:t>2</w:t>
      </w:r>
      <w:r>
        <w:rPr>
          <w:rFonts w:hint="default" w:ascii="Times New Roman" w:hAnsi="Times New Roman" w:eastAsia="楷体" w:cs="Times New Roman"/>
          <w:bCs/>
          <w:sz w:val="24"/>
          <w:szCs w:val="24"/>
        </w:rPr>
        <w:t>S</w:t>
      </w:r>
      <w:r>
        <w:rPr>
          <w:rFonts w:hint="default" w:ascii="Times New Roman" w:hAnsi="Times New Roman" w:eastAsia="楷体" w:cs="Times New Roman"/>
          <w:bCs/>
          <w:sz w:val="24"/>
          <w:szCs w:val="24"/>
          <w:vertAlign w:val="subscript"/>
        </w:rPr>
        <w:t>6</w:t>
      </w:r>
      <w:r>
        <w:rPr>
          <w:rFonts w:hint="default" w:ascii="Times New Roman" w:hAnsi="Times New Roman" w:eastAsia="楷体" w:cs="Times New Roman"/>
          <w:bCs/>
          <w:sz w:val="24"/>
          <w:szCs w:val="24"/>
        </w:rPr>
        <w:t xml:space="preserve"> solution was prepared by combining high-purity sulfur and Li</w:t>
      </w:r>
      <w:r>
        <w:rPr>
          <w:rFonts w:hint="default" w:ascii="Times New Roman" w:hAnsi="Times New Roman" w:eastAsia="楷体" w:cs="Times New Roman"/>
          <w:bCs/>
          <w:sz w:val="24"/>
          <w:szCs w:val="24"/>
          <w:vertAlign w:val="subscript"/>
        </w:rPr>
        <w:t>2</w:t>
      </w:r>
      <w:r>
        <w:rPr>
          <w:rFonts w:hint="default" w:ascii="Times New Roman" w:hAnsi="Times New Roman" w:eastAsia="楷体" w:cs="Times New Roman"/>
          <w:bCs/>
          <w:sz w:val="24"/>
          <w:szCs w:val="24"/>
        </w:rPr>
        <w:t>S at a 1:5 molar ratio in a 1:1 (v/v) DOL/DME solvent mixture. The solution was continuously stirred at 60 °C in a glove box until fully dissolved. This stock solution was then diluted to 0.5 mM using the same DOL/DME (1:1, v/v) solvent mixture.</w:t>
      </w:r>
      <w:r>
        <w:rPr>
          <w:rFonts w:hint="eastAsia" w:ascii="Times New Roman" w:hAnsi="Times New Roman" w:eastAsia="楷体" w:cs="Times New Roman"/>
          <w:bCs/>
          <w:sz w:val="24"/>
          <w:szCs w:val="24"/>
          <w:lang w:val="en-US" w:eastAsia="zh-CN"/>
        </w:rPr>
        <w:t xml:space="preserve"> </w:t>
      </w:r>
      <w:r>
        <w:rPr>
          <w:rFonts w:hint="default" w:ascii="Times New Roman" w:hAnsi="Times New Roman" w:eastAsia="楷体" w:cs="Times New Roman"/>
          <w:bCs/>
          <w:sz w:val="24"/>
          <w:szCs w:val="24"/>
        </w:rPr>
        <w:t>For the adsorption tests, 5 mg of each adsorbent material (Fe-TCPP@Cu-BTC, Cu-BTC, Fe-TCPP, or CNTs) was individually immersed in 5 mL of the prepared 0.5 mM Li</w:t>
      </w:r>
      <w:r>
        <w:rPr>
          <w:rFonts w:hint="default" w:ascii="Times New Roman" w:hAnsi="Times New Roman" w:eastAsia="楷体" w:cs="Times New Roman"/>
          <w:bCs/>
          <w:sz w:val="24"/>
          <w:szCs w:val="24"/>
          <w:vertAlign w:val="subscript"/>
        </w:rPr>
        <w:t>2</w:t>
      </w:r>
      <w:r>
        <w:rPr>
          <w:rFonts w:hint="default" w:ascii="Times New Roman" w:hAnsi="Times New Roman" w:eastAsia="楷体" w:cs="Times New Roman"/>
          <w:bCs/>
          <w:sz w:val="24"/>
          <w:szCs w:val="24"/>
        </w:rPr>
        <w:t>S</w:t>
      </w:r>
      <w:r>
        <w:rPr>
          <w:rFonts w:hint="default" w:ascii="Times New Roman" w:hAnsi="Times New Roman" w:eastAsia="楷体" w:cs="Times New Roman"/>
          <w:bCs/>
          <w:sz w:val="24"/>
          <w:szCs w:val="24"/>
          <w:vertAlign w:val="subscript"/>
        </w:rPr>
        <w:t>6</w:t>
      </w:r>
      <w:r>
        <w:rPr>
          <w:rFonts w:hint="default" w:ascii="Times New Roman" w:hAnsi="Times New Roman" w:eastAsia="楷体" w:cs="Times New Roman"/>
          <w:bCs/>
          <w:sz w:val="24"/>
          <w:szCs w:val="24"/>
        </w:rPr>
        <w:t xml:space="preserve"> solution. The mixtures were allowed to rest for 12 h at room temperature. Digital photographs were taken after this resting period to visually assess the adsorption capabilities of each material.</w:t>
      </w:r>
    </w:p>
    <w:p w14:paraId="36B8336F">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Cs/>
          <w:sz w:val="24"/>
          <w:szCs w:val="24"/>
        </w:rPr>
      </w:pPr>
    </w:p>
    <w:p w14:paraId="05984BF3">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Cs/>
          <w:sz w:val="24"/>
          <w:szCs w:val="24"/>
        </w:rPr>
      </w:pPr>
      <w:r>
        <w:rPr>
          <w:rFonts w:hint="default" w:ascii="Times New Roman" w:hAnsi="Times New Roman" w:eastAsia="楷体" w:cs="Times New Roman"/>
          <w:b/>
          <w:bCs/>
          <w:sz w:val="24"/>
          <w:szCs w:val="24"/>
        </w:rPr>
        <w:t xml:space="preserve">Symmetric cell measurements: </w:t>
      </w:r>
      <w:r>
        <w:rPr>
          <w:rFonts w:hint="default" w:ascii="Times New Roman" w:hAnsi="Times New Roman" w:eastAsia="微软雅黑" w:cs="Times New Roman"/>
          <w:i w:val="0"/>
          <w:iCs w:val="0"/>
          <w:caps w:val="0"/>
          <w:color w:val="24292F"/>
          <w:spacing w:val="0"/>
          <w:sz w:val="24"/>
          <w:szCs w:val="24"/>
          <w:shd w:val="clear" w:fill="FFFFFF"/>
        </w:rPr>
        <w:t>Symmetrical CR2025 coin cells were assembled using two identical sulfur-free electrodes, a Celgard 2400 membrane as the separator, and 20 μL of 0.2 M Li</w:t>
      </w:r>
      <w:r>
        <w:rPr>
          <w:rFonts w:hint="default" w:ascii="Times New Roman" w:hAnsi="Times New Roman" w:eastAsia="楷体" w:cs="Times New Roman"/>
          <w:bCs/>
          <w:sz w:val="24"/>
          <w:szCs w:val="24"/>
          <w:vertAlign w:val="subscript"/>
        </w:rPr>
        <w:t>2</w:t>
      </w:r>
      <w:r>
        <w:rPr>
          <w:rFonts w:hint="default" w:ascii="Times New Roman" w:hAnsi="Times New Roman" w:eastAsia="微软雅黑" w:cs="Times New Roman"/>
          <w:i w:val="0"/>
          <w:iCs w:val="0"/>
          <w:caps w:val="0"/>
          <w:color w:val="24292F"/>
          <w:spacing w:val="0"/>
          <w:sz w:val="24"/>
          <w:szCs w:val="24"/>
          <w:shd w:val="clear" w:fill="FFFFFF"/>
        </w:rPr>
        <w:t>S</w:t>
      </w:r>
      <w:r>
        <w:rPr>
          <w:rFonts w:hint="default" w:ascii="Times New Roman" w:hAnsi="Times New Roman" w:eastAsia="楷体" w:cs="Times New Roman"/>
          <w:bCs/>
          <w:sz w:val="24"/>
          <w:szCs w:val="24"/>
          <w:vertAlign w:val="subscript"/>
        </w:rPr>
        <w:t>6</w:t>
      </w:r>
      <w:r>
        <w:rPr>
          <w:rFonts w:hint="default" w:ascii="Times New Roman" w:hAnsi="Times New Roman" w:eastAsia="微软雅黑" w:cs="Times New Roman"/>
          <w:i w:val="0"/>
          <w:iCs w:val="0"/>
          <w:caps w:val="0"/>
          <w:color w:val="24292F"/>
          <w:spacing w:val="0"/>
          <w:sz w:val="24"/>
          <w:szCs w:val="24"/>
          <w:shd w:val="clear" w:fill="FFFFFF"/>
        </w:rPr>
        <w:t xml:space="preserve"> electrolyte (prepared in a 1:1 v/v DOL/DME solution) applied to each electrode as the active material, with cyclic voltammetry (CV) tests for these cells conducted at a scan rate of 30 mV s⁻¹ within a potential window of -1.0 to 1.0 V.</w:t>
      </w:r>
    </w:p>
    <w:p w14:paraId="48D65527">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Cs/>
          <w:sz w:val="24"/>
          <w:szCs w:val="24"/>
        </w:rPr>
      </w:pPr>
    </w:p>
    <w:p w14:paraId="176413EE">
      <w:pPr>
        <w:keepNext w:val="0"/>
        <w:keepLines w:val="0"/>
        <w:pageBreakBefore w:val="0"/>
        <w:kinsoku/>
        <w:overflowPunct/>
        <w:topLinePunct w:val="0"/>
        <w:autoSpaceDN/>
        <w:bidi w:val="0"/>
        <w:spacing w:beforeAutospacing="0" w:after="0" w:afterAutospacing="0" w:line="480" w:lineRule="auto"/>
        <w:jc w:val="both"/>
        <w:textAlignment w:val="auto"/>
        <w:rPr>
          <w:rFonts w:ascii="微软雅黑" w:hAnsi="微软雅黑" w:eastAsia="微软雅黑" w:cs="微软雅黑"/>
          <w:i w:val="0"/>
          <w:iCs w:val="0"/>
          <w:caps w:val="0"/>
          <w:color w:val="24292F"/>
          <w:spacing w:val="0"/>
          <w:sz w:val="24"/>
          <w:szCs w:val="24"/>
          <w:shd w:val="clear" w:fill="FFFFFF"/>
        </w:rPr>
      </w:pPr>
      <w:r>
        <w:rPr>
          <w:rFonts w:hint="default" w:ascii="Times New Roman" w:hAnsi="Times New Roman" w:eastAsia="楷体" w:cs="Times New Roman"/>
          <w:b/>
          <w:bCs/>
          <w:sz w:val="24"/>
          <w:szCs w:val="24"/>
        </w:rPr>
        <w:t xml:space="preserve">PITT measurements: </w:t>
      </w:r>
      <w:r>
        <w:rPr>
          <w:rFonts w:hint="default" w:ascii="Times New Roman" w:hAnsi="Times New Roman" w:eastAsia="微软雅黑" w:cs="Times New Roman"/>
          <w:i w:val="0"/>
          <w:iCs w:val="0"/>
          <w:caps w:val="0"/>
          <w:color w:val="24292F"/>
          <w:spacing w:val="0"/>
          <w:sz w:val="24"/>
          <w:szCs w:val="24"/>
          <w:shd w:val="clear" w:fill="FFFFFF"/>
        </w:rPr>
        <w:t>The potentiostatic intermittent titration technique (PITT) was implemented using a Neware battery test system. The procedure involved applying a 0.02 V potential step and recording the current as a function of time. The potential was advanced to the next level when the current decreased below 30 μA or after a maximum duration of 2 h, whichever occurred first. This sequence was repeated across a voltage range of 1.8 to 2.4 V (vs. Li/Li</w:t>
      </w:r>
      <w:r>
        <w:rPr>
          <w:rFonts w:hint="default" w:ascii="Times New Roman" w:hAnsi="Times New Roman" w:eastAsia="微软雅黑" w:cs="Times New Roman"/>
          <w:i w:val="0"/>
          <w:iCs w:val="0"/>
          <w:caps w:val="0"/>
          <w:color w:val="24292F"/>
          <w:spacing w:val="0"/>
          <w:sz w:val="24"/>
          <w:szCs w:val="24"/>
          <w:shd w:val="clear" w:fill="FFFFFF"/>
          <w:vertAlign w:val="superscript"/>
        </w:rPr>
        <w:t>+</w:t>
      </w:r>
      <w:r>
        <w:rPr>
          <w:rFonts w:hint="default" w:ascii="Times New Roman" w:hAnsi="Times New Roman" w:eastAsia="微软雅黑" w:cs="Times New Roman"/>
          <w:i w:val="0"/>
          <w:iCs w:val="0"/>
          <w:caps w:val="0"/>
          <w:color w:val="24292F"/>
          <w:spacing w:val="0"/>
          <w:sz w:val="24"/>
          <w:szCs w:val="24"/>
          <w:shd w:val="clear" w:fill="FFFFFF"/>
        </w:rPr>
        <w:t>).</w:t>
      </w:r>
    </w:p>
    <w:p w14:paraId="24C712E0">
      <w:pPr>
        <w:keepNext w:val="0"/>
        <w:keepLines w:val="0"/>
        <w:pageBreakBefore w:val="0"/>
        <w:kinsoku/>
        <w:overflowPunct/>
        <w:topLinePunct w:val="0"/>
        <w:autoSpaceDN/>
        <w:bidi w:val="0"/>
        <w:spacing w:beforeAutospacing="0" w:after="0" w:afterAutospacing="0" w:line="480" w:lineRule="auto"/>
        <w:jc w:val="both"/>
        <w:textAlignment w:val="auto"/>
        <w:rPr>
          <w:rFonts w:ascii="微软雅黑" w:hAnsi="微软雅黑" w:eastAsia="微软雅黑" w:cs="微软雅黑"/>
          <w:i w:val="0"/>
          <w:iCs w:val="0"/>
          <w:caps w:val="0"/>
          <w:color w:val="24292F"/>
          <w:spacing w:val="0"/>
          <w:sz w:val="21"/>
          <w:szCs w:val="21"/>
          <w:shd w:val="clear" w:fill="FFFFFF"/>
        </w:rPr>
      </w:pPr>
    </w:p>
    <w:p w14:paraId="63C52BC1">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微软雅黑" w:cs="Times New Roman"/>
          <w:i w:val="0"/>
          <w:iCs w:val="0"/>
          <w:caps w:val="0"/>
          <w:color w:val="24292F"/>
          <w:spacing w:val="0"/>
          <w:sz w:val="24"/>
          <w:szCs w:val="24"/>
          <w:shd w:val="clear" w:fill="FFFFFF"/>
        </w:rPr>
      </w:pPr>
      <w:r>
        <w:rPr>
          <w:rFonts w:hint="default" w:ascii="Times New Roman" w:hAnsi="Times New Roman" w:eastAsia="楷体" w:cs="Times New Roman"/>
          <w:b/>
          <w:sz w:val="24"/>
          <w:szCs w:val="24"/>
        </w:rPr>
        <w:t>Nucleation of Li</w:t>
      </w:r>
      <w:r>
        <w:rPr>
          <w:rFonts w:hint="default" w:ascii="Times New Roman" w:hAnsi="Times New Roman" w:eastAsia="楷体" w:cs="Times New Roman"/>
          <w:b/>
          <w:sz w:val="24"/>
          <w:szCs w:val="24"/>
          <w:vertAlign w:val="subscript"/>
        </w:rPr>
        <w:t>2</w:t>
      </w:r>
      <w:r>
        <w:rPr>
          <w:rFonts w:hint="default" w:ascii="Times New Roman" w:hAnsi="Times New Roman" w:eastAsia="楷体" w:cs="Times New Roman"/>
          <w:b/>
          <w:sz w:val="24"/>
          <w:szCs w:val="24"/>
        </w:rPr>
        <w:t>S:</w:t>
      </w:r>
      <w:r>
        <w:rPr>
          <w:rFonts w:hint="default" w:ascii="Times New Roman" w:hAnsi="Times New Roman" w:eastAsia="楷体" w:cs="Times New Roman"/>
          <w:sz w:val="24"/>
          <w:szCs w:val="24"/>
        </w:rPr>
        <w:t xml:space="preserve"> </w:t>
      </w:r>
      <w:r>
        <w:rPr>
          <w:rFonts w:hint="default" w:ascii="Times New Roman" w:hAnsi="Times New Roman" w:eastAsia="微软雅黑" w:cs="Times New Roman"/>
          <w:i w:val="0"/>
          <w:iCs w:val="0"/>
          <w:caps w:val="0"/>
          <w:color w:val="24292F"/>
          <w:spacing w:val="0"/>
          <w:sz w:val="24"/>
          <w:szCs w:val="24"/>
          <w:shd w:val="clear" w:fill="FFFFFF"/>
        </w:rPr>
        <w:t>A 0.25 M Li</w:t>
      </w:r>
      <w:r>
        <w:rPr>
          <w:rFonts w:hint="default" w:ascii="Times New Roman" w:hAnsi="Times New Roman" w:eastAsia="楷体" w:cs="Times New Roman"/>
          <w:bCs/>
          <w:sz w:val="24"/>
          <w:szCs w:val="24"/>
          <w:vertAlign w:val="subscript"/>
        </w:rPr>
        <w:t>2</w:t>
      </w:r>
      <w:r>
        <w:rPr>
          <w:rFonts w:hint="default" w:ascii="Times New Roman" w:hAnsi="Times New Roman" w:eastAsia="微软雅黑" w:cs="Times New Roman"/>
          <w:i w:val="0"/>
          <w:iCs w:val="0"/>
          <w:caps w:val="0"/>
          <w:color w:val="24292F"/>
          <w:spacing w:val="0"/>
          <w:sz w:val="24"/>
          <w:szCs w:val="24"/>
          <w:shd w:val="clear" w:fill="FFFFFF"/>
        </w:rPr>
        <w:t>S</w:t>
      </w:r>
      <w:r>
        <w:rPr>
          <w:rFonts w:hint="default" w:ascii="Times New Roman" w:hAnsi="Times New Roman" w:eastAsia="楷体" w:cs="Times New Roman"/>
          <w:bCs/>
          <w:sz w:val="24"/>
          <w:szCs w:val="24"/>
          <w:vertAlign w:val="subscript"/>
        </w:rPr>
        <w:t>8</w:t>
      </w:r>
      <w:r>
        <w:rPr>
          <w:rFonts w:hint="default" w:ascii="Times New Roman" w:hAnsi="Times New Roman" w:eastAsia="微软雅黑" w:cs="Times New Roman"/>
          <w:i w:val="0"/>
          <w:iCs w:val="0"/>
          <w:caps w:val="0"/>
          <w:color w:val="24292F"/>
          <w:spacing w:val="0"/>
          <w:sz w:val="24"/>
          <w:szCs w:val="24"/>
          <w:shd w:val="clear" w:fill="FFFFFF"/>
        </w:rPr>
        <w:t xml:space="preserve"> solution was prepared by combining high-purity sulfur and Li</w:t>
      </w:r>
      <w:r>
        <w:rPr>
          <w:rFonts w:hint="default" w:ascii="Times New Roman" w:hAnsi="Times New Roman" w:eastAsia="楷体" w:cs="Times New Roman"/>
          <w:bCs/>
          <w:sz w:val="24"/>
          <w:szCs w:val="24"/>
          <w:vertAlign w:val="subscript"/>
        </w:rPr>
        <w:t>2</w:t>
      </w:r>
      <w:r>
        <w:rPr>
          <w:rFonts w:hint="default" w:ascii="Times New Roman" w:hAnsi="Times New Roman" w:eastAsia="微软雅黑" w:cs="Times New Roman"/>
          <w:i w:val="0"/>
          <w:iCs w:val="0"/>
          <w:caps w:val="0"/>
          <w:color w:val="24292F"/>
          <w:spacing w:val="0"/>
          <w:sz w:val="24"/>
          <w:szCs w:val="24"/>
          <w:shd w:val="clear" w:fill="FFFFFF"/>
        </w:rPr>
        <w:t>S (7:1 molar ratio) in tetraglyme (TEGDME, AR, &gt;98%) solvent, stirring at 50 °C for 24 h. Electrodes for Li</w:t>
      </w:r>
      <w:r>
        <w:rPr>
          <w:rFonts w:hint="default" w:ascii="Times New Roman" w:hAnsi="Times New Roman" w:eastAsia="楷体" w:cs="Times New Roman"/>
          <w:bCs/>
          <w:sz w:val="24"/>
          <w:szCs w:val="24"/>
          <w:vertAlign w:val="subscript"/>
        </w:rPr>
        <w:t>2</w:t>
      </w:r>
      <w:r>
        <w:rPr>
          <w:rFonts w:hint="default" w:ascii="Times New Roman" w:hAnsi="Times New Roman" w:eastAsia="微软雅黑" w:cs="Times New Roman"/>
          <w:i w:val="0"/>
          <w:iCs w:val="0"/>
          <w:caps w:val="0"/>
          <w:color w:val="24292F"/>
          <w:spacing w:val="0"/>
          <w:sz w:val="24"/>
          <w:szCs w:val="24"/>
          <w:shd w:val="clear" w:fill="FFFFFF"/>
        </w:rPr>
        <w:t xml:space="preserve">S deposition study (Fe-TCPP@Cu-BTC, Cu-BTC, Fe-TCPP, or CNTs) were prepared similarly to those used in symmetric cell experiments. </w:t>
      </w:r>
      <w:r>
        <w:rPr>
          <w:rFonts w:hint="eastAsia" w:ascii="Times New Roman" w:hAnsi="Times New Roman" w:cs="Times New Roman"/>
          <w:i w:val="0"/>
          <w:iCs w:val="0"/>
          <w:caps w:val="0"/>
          <w:color w:val="24292F"/>
          <w:spacing w:val="0"/>
          <w:sz w:val="24"/>
          <w:szCs w:val="24"/>
          <w:shd w:val="clear" w:fill="FFFFFF"/>
          <w:lang w:val="en-US" w:eastAsia="zh-CN"/>
        </w:rPr>
        <w:t>CR</w:t>
      </w:r>
      <w:r>
        <w:rPr>
          <w:rFonts w:hint="default" w:ascii="Times New Roman" w:hAnsi="Times New Roman" w:eastAsia="微软雅黑" w:cs="Times New Roman"/>
          <w:i w:val="0"/>
          <w:iCs w:val="0"/>
          <w:caps w:val="0"/>
          <w:color w:val="24292F"/>
          <w:spacing w:val="0"/>
          <w:sz w:val="24"/>
          <w:szCs w:val="24"/>
          <w:shd w:val="clear" w:fill="FFFFFF"/>
        </w:rPr>
        <w:t>2025 coin cells were assembled using these materials as cathodes, Li foil as anodes, and Celgard 2400 membranes as separators. Each cell contained 40 μL of Li</w:t>
      </w:r>
      <w:r>
        <w:rPr>
          <w:rFonts w:hint="default" w:ascii="Times New Roman" w:hAnsi="Times New Roman" w:eastAsia="楷体" w:cs="Times New Roman"/>
          <w:bCs/>
          <w:sz w:val="24"/>
          <w:szCs w:val="24"/>
          <w:vertAlign w:val="subscript"/>
        </w:rPr>
        <w:t>2</w:t>
      </w:r>
      <w:r>
        <w:rPr>
          <w:rFonts w:hint="default" w:ascii="Times New Roman" w:hAnsi="Times New Roman" w:eastAsia="微软雅黑" w:cs="Times New Roman"/>
          <w:i w:val="0"/>
          <w:iCs w:val="0"/>
          <w:caps w:val="0"/>
          <w:color w:val="24292F"/>
          <w:spacing w:val="0"/>
          <w:sz w:val="24"/>
          <w:szCs w:val="24"/>
          <w:shd w:val="clear" w:fill="FFFFFF"/>
        </w:rPr>
        <w:t>S</w:t>
      </w:r>
      <w:r>
        <w:rPr>
          <w:rFonts w:hint="default" w:ascii="Times New Roman" w:hAnsi="Times New Roman" w:eastAsia="楷体" w:cs="Times New Roman"/>
          <w:bCs/>
          <w:sz w:val="24"/>
          <w:szCs w:val="24"/>
          <w:vertAlign w:val="subscript"/>
        </w:rPr>
        <w:t>8</w:t>
      </w:r>
      <w:r>
        <w:rPr>
          <w:rFonts w:hint="default" w:ascii="Times New Roman" w:hAnsi="Times New Roman" w:eastAsia="微软雅黑" w:cs="Times New Roman"/>
          <w:i w:val="0"/>
          <w:iCs w:val="0"/>
          <w:caps w:val="0"/>
          <w:color w:val="24292F"/>
          <w:spacing w:val="0"/>
          <w:sz w:val="24"/>
          <w:szCs w:val="24"/>
          <w:shd w:val="clear" w:fill="FFFFFF"/>
        </w:rPr>
        <w:t xml:space="preserve"> solution as the catholyte and 40 μL of TEGDME solution as the anolyte. The assembled cells were initially discharged galvanostatically to 2.06 V at 0.112 mA, then held potentiostatically at 2.04 V using a CHI 760E electrochemical workstation. Current-time (i-t) curves were recorded to monitor the complete transformation of LiPSs into Li</w:t>
      </w:r>
      <w:r>
        <w:rPr>
          <w:rFonts w:hint="default" w:ascii="Times New Roman" w:hAnsi="Times New Roman" w:eastAsia="楷体" w:cs="Times New Roman"/>
          <w:bCs/>
          <w:sz w:val="24"/>
          <w:szCs w:val="24"/>
          <w:vertAlign w:val="subscript"/>
        </w:rPr>
        <w:t>2</w:t>
      </w:r>
      <w:r>
        <w:rPr>
          <w:rFonts w:hint="default" w:ascii="Times New Roman" w:hAnsi="Times New Roman" w:eastAsia="微软雅黑" w:cs="Times New Roman"/>
          <w:i w:val="0"/>
          <w:iCs w:val="0"/>
          <w:caps w:val="0"/>
          <w:color w:val="24292F"/>
          <w:spacing w:val="0"/>
          <w:sz w:val="24"/>
          <w:szCs w:val="24"/>
          <w:shd w:val="clear" w:fill="FFFFFF"/>
        </w:rPr>
        <w:t>S, with the process considered complete when the current dropped below 10</w:t>
      </w:r>
      <w:r>
        <w:rPr>
          <w:rFonts w:hint="default" w:ascii="Times New Roman" w:hAnsi="Times New Roman" w:eastAsia="微软雅黑" w:cs="Times New Roman"/>
          <w:i w:val="0"/>
          <w:iCs w:val="0"/>
          <w:caps w:val="0"/>
          <w:color w:val="24292F"/>
          <w:spacing w:val="0"/>
          <w:sz w:val="24"/>
          <w:szCs w:val="24"/>
          <w:shd w:val="clear" w:fill="FFFFFF"/>
          <w:vertAlign w:val="superscript"/>
        </w:rPr>
        <w:t>-5</w:t>
      </w:r>
      <w:r>
        <w:rPr>
          <w:rFonts w:hint="default" w:ascii="Times New Roman" w:hAnsi="Times New Roman" w:eastAsia="微软雅黑" w:cs="Times New Roman"/>
          <w:i w:val="0"/>
          <w:iCs w:val="0"/>
          <w:caps w:val="0"/>
          <w:color w:val="24292F"/>
          <w:spacing w:val="0"/>
          <w:sz w:val="24"/>
          <w:szCs w:val="24"/>
          <w:shd w:val="clear" w:fill="FFFFFF"/>
        </w:rPr>
        <w:t xml:space="preserve"> A.</w:t>
      </w:r>
    </w:p>
    <w:p w14:paraId="068CD73F">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微软雅黑" w:cs="Times New Roman"/>
          <w:i w:val="0"/>
          <w:iCs w:val="0"/>
          <w:caps w:val="0"/>
          <w:color w:val="24292F"/>
          <w:spacing w:val="0"/>
          <w:sz w:val="24"/>
          <w:szCs w:val="24"/>
          <w:shd w:val="clear" w:fill="FFFFFF"/>
        </w:rPr>
      </w:pPr>
    </w:p>
    <w:p w14:paraId="16F73FD7">
      <w:pPr>
        <w:keepNext w:val="0"/>
        <w:keepLines w:val="0"/>
        <w:pageBreakBefore w:val="0"/>
        <w:kinsoku/>
        <w:overflowPunct/>
        <w:topLinePunct w:val="0"/>
        <w:autoSpaceDN/>
        <w:bidi w:val="0"/>
        <w:spacing w:beforeAutospacing="0" w:after="0" w:afterAutospacing="0" w:line="480" w:lineRule="auto"/>
        <w:jc w:val="both"/>
        <w:textAlignment w:val="auto"/>
        <w:rPr>
          <w:rFonts w:ascii="微软雅黑" w:hAnsi="微软雅黑" w:eastAsia="微软雅黑" w:cs="微软雅黑"/>
          <w:i w:val="0"/>
          <w:iCs w:val="0"/>
          <w:caps w:val="0"/>
          <w:color w:val="24292F"/>
          <w:spacing w:val="0"/>
          <w:sz w:val="21"/>
          <w:szCs w:val="21"/>
          <w:shd w:val="clear" w:fill="FFFFFF"/>
        </w:rPr>
      </w:pPr>
      <w:r>
        <w:rPr>
          <w:rFonts w:hint="default" w:ascii="Times New Roman" w:hAnsi="Times New Roman" w:eastAsia="楷体" w:cs="Times New Roman"/>
          <w:b/>
          <w:bCs/>
          <w:i/>
          <w:iCs/>
          <w:sz w:val="24"/>
          <w:szCs w:val="24"/>
        </w:rPr>
        <w:t>In-situ</w:t>
      </w:r>
      <w:r>
        <w:rPr>
          <w:rFonts w:hint="default" w:ascii="Times New Roman" w:hAnsi="Times New Roman" w:eastAsia="楷体" w:cs="Times New Roman"/>
          <w:b/>
          <w:bCs/>
          <w:sz w:val="24"/>
          <w:szCs w:val="24"/>
        </w:rPr>
        <w:t xml:space="preserve"> UV–Vis spectroscopy measurements:</w:t>
      </w:r>
      <w:r>
        <w:rPr>
          <w:rFonts w:hint="default" w:ascii="Times New Roman" w:hAnsi="Times New Roman" w:eastAsia="楷体" w:cs="Times New Roman"/>
          <w:bCs/>
          <w:sz w:val="24"/>
          <w:szCs w:val="24"/>
        </w:rPr>
        <w:t xml:space="preserve"> </w:t>
      </w:r>
      <w:r>
        <w:rPr>
          <w:rFonts w:hint="default" w:ascii="Times New Roman" w:hAnsi="Times New Roman" w:eastAsia="楷体" w:cs="Times New Roman"/>
          <w:bCs/>
          <w:i/>
          <w:iCs/>
          <w:sz w:val="24"/>
          <w:szCs w:val="24"/>
        </w:rPr>
        <w:t>In-situ</w:t>
      </w:r>
      <w:r>
        <w:rPr>
          <w:rFonts w:hint="default" w:ascii="Times New Roman" w:hAnsi="Times New Roman" w:eastAsia="楷体" w:cs="Times New Roman"/>
          <w:bCs/>
          <w:sz w:val="24"/>
          <w:szCs w:val="24"/>
        </w:rPr>
        <w:t xml:space="preserve"> UV</w:t>
      </w:r>
      <w:bookmarkStart w:id="12" w:name="OLE_LINK2"/>
      <w:bookmarkStart w:id="13" w:name="OLE_LINK1"/>
      <w:r>
        <w:rPr>
          <w:rFonts w:hint="default" w:ascii="Times New Roman" w:hAnsi="Times New Roman" w:eastAsia="楷体" w:cs="Times New Roman"/>
          <w:bCs/>
          <w:sz w:val="24"/>
          <w:szCs w:val="24"/>
        </w:rPr>
        <w:t>–vis</w:t>
      </w:r>
      <w:bookmarkEnd w:id="12"/>
      <w:bookmarkEnd w:id="13"/>
      <w:r>
        <w:rPr>
          <w:rFonts w:hint="default" w:ascii="Times New Roman" w:hAnsi="Times New Roman" w:eastAsia="楷体" w:cs="Times New Roman"/>
          <w:bCs/>
          <w:sz w:val="24"/>
          <w:szCs w:val="24"/>
        </w:rPr>
        <w:t xml:space="preserve"> </w:t>
      </w:r>
      <w:r>
        <w:rPr>
          <w:rFonts w:hint="default" w:ascii="Times New Roman" w:hAnsi="Times New Roman" w:eastAsia="微软雅黑" w:cs="Times New Roman"/>
          <w:i w:val="0"/>
          <w:iCs w:val="0"/>
          <w:caps w:val="0"/>
          <w:color w:val="24292F"/>
          <w:spacing w:val="0"/>
          <w:sz w:val="24"/>
          <w:szCs w:val="24"/>
          <w:shd w:val="clear" w:fill="FFFFFF"/>
        </w:rPr>
        <w:t>spectroscopic measurements were conducted using an ultraviolet spectrophotometer (UV-1800, Malvern Panalytical). The experimental setup employed Fe-TCPP@Cu-BTC, Cu-BTC, Fe-TCPP, or CNTs on glassy carbon as the cathode and a platinum wire as the anode. The electrolyte consisted of a 0.25×10</w:t>
      </w:r>
      <w:r>
        <w:rPr>
          <w:rFonts w:hint="default" w:ascii="Times New Roman" w:hAnsi="Times New Roman" w:eastAsia="微软雅黑" w:cs="Times New Roman"/>
          <w:i w:val="0"/>
          <w:iCs w:val="0"/>
          <w:caps w:val="0"/>
          <w:color w:val="24292F"/>
          <w:spacing w:val="0"/>
          <w:sz w:val="24"/>
          <w:szCs w:val="24"/>
          <w:shd w:val="clear" w:fill="FFFFFF"/>
          <w:vertAlign w:val="superscript"/>
        </w:rPr>
        <w:t>-3</w:t>
      </w:r>
      <w:r>
        <w:rPr>
          <w:rFonts w:hint="default" w:ascii="Times New Roman" w:hAnsi="Times New Roman" w:eastAsia="微软雅黑" w:cs="Times New Roman"/>
          <w:i w:val="0"/>
          <w:iCs w:val="0"/>
          <w:caps w:val="0"/>
          <w:color w:val="24292F"/>
          <w:spacing w:val="0"/>
          <w:sz w:val="24"/>
          <w:szCs w:val="24"/>
          <w:shd w:val="clear" w:fill="FFFFFF"/>
        </w:rPr>
        <w:t xml:space="preserve"> M Li</w:t>
      </w:r>
      <w:r>
        <w:rPr>
          <w:rFonts w:hint="default" w:ascii="Times New Roman" w:hAnsi="Times New Roman" w:eastAsia="楷体" w:cs="Times New Roman"/>
          <w:bCs/>
          <w:sz w:val="24"/>
          <w:szCs w:val="24"/>
          <w:vertAlign w:val="subscript"/>
        </w:rPr>
        <w:t>2</w:t>
      </w:r>
      <w:r>
        <w:rPr>
          <w:rFonts w:hint="default" w:ascii="Times New Roman" w:hAnsi="Times New Roman" w:eastAsia="微软雅黑" w:cs="Times New Roman"/>
          <w:i w:val="0"/>
          <w:iCs w:val="0"/>
          <w:caps w:val="0"/>
          <w:color w:val="24292F"/>
          <w:spacing w:val="0"/>
          <w:sz w:val="24"/>
          <w:szCs w:val="24"/>
          <w:shd w:val="clear" w:fill="FFFFFF"/>
        </w:rPr>
        <w:t>S</w:t>
      </w:r>
      <w:r>
        <w:rPr>
          <w:rFonts w:hint="default" w:ascii="Times New Roman" w:hAnsi="Times New Roman" w:eastAsia="楷体" w:cs="Times New Roman"/>
          <w:bCs/>
          <w:sz w:val="24"/>
          <w:szCs w:val="24"/>
          <w:vertAlign w:val="subscript"/>
        </w:rPr>
        <w:t>8</w:t>
      </w:r>
      <w:r>
        <w:rPr>
          <w:rFonts w:hint="default" w:ascii="Times New Roman" w:hAnsi="Times New Roman" w:eastAsia="微软雅黑" w:cs="Times New Roman"/>
          <w:i w:val="0"/>
          <w:iCs w:val="0"/>
          <w:caps w:val="0"/>
          <w:color w:val="24292F"/>
          <w:spacing w:val="0"/>
          <w:sz w:val="24"/>
          <w:szCs w:val="24"/>
          <w:shd w:val="clear" w:fill="FFFFFF"/>
        </w:rPr>
        <w:t xml:space="preserve"> solution, prepared by combining high-purity sulfur and Li</w:t>
      </w:r>
      <w:r>
        <w:rPr>
          <w:rFonts w:hint="default" w:ascii="Times New Roman" w:hAnsi="Times New Roman" w:eastAsia="楷体" w:cs="Times New Roman"/>
          <w:bCs/>
          <w:sz w:val="24"/>
          <w:szCs w:val="24"/>
          <w:vertAlign w:val="subscript"/>
        </w:rPr>
        <w:t>2</w:t>
      </w:r>
      <w:r>
        <w:rPr>
          <w:rFonts w:hint="default" w:ascii="Times New Roman" w:hAnsi="Times New Roman" w:eastAsia="微软雅黑" w:cs="Times New Roman"/>
          <w:i w:val="0"/>
          <w:iCs w:val="0"/>
          <w:caps w:val="0"/>
          <w:color w:val="24292F"/>
          <w:spacing w:val="0"/>
          <w:sz w:val="24"/>
          <w:szCs w:val="24"/>
          <w:shd w:val="clear" w:fill="FFFFFF"/>
        </w:rPr>
        <w:t>S in a 7:1 molar ratio in dimethyl sulfoxide (DMSO, Aladdin) and stirring for 24 h in an Ar-filled glovebox. During measurements, potential control was maintained using an electrochemical workstation (CHI 760E). To facilitate comparison, the UV-vis absorbance data were normalized by setting the absorbance at 2.8 V as the reference value.</w:t>
      </w:r>
    </w:p>
    <w:p w14:paraId="23293BC2">
      <w:pPr>
        <w:keepNext w:val="0"/>
        <w:keepLines w:val="0"/>
        <w:pageBreakBefore w:val="0"/>
        <w:kinsoku/>
        <w:overflowPunct/>
        <w:topLinePunct w:val="0"/>
        <w:autoSpaceDN/>
        <w:bidi w:val="0"/>
        <w:spacing w:beforeAutospacing="0" w:after="0" w:afterAutospacing="0" w:line="480" w:lineRule="auto"/>
        <w:jc w:val="both"/>
        <w:textAlignment w:val="auto"/>
        <w:rPr>
          <w:rFonts w:ascii="微软雅黑" w:hAnsi="微软雅黑" w:eastAsia="微软雅黑" w:cs="微软雅黑"/>
          <w:i w:val="0"/>
          <w:iCs w:val="0"/>
          <w:caps w:val="0"/>
          <w:color w:val="24292F"/>
          <w:spacing w:val="0"/>
          <w:sz w:val="21"/>
          <w:szCs w:val="21"/>
          <w:shd w:val="clear" w:fill="FFFFFF"/>
        </w:rPr>
      </w:pPr>
    </w:p>
    <w:p w14:paraId="54FC3772">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微软雅黑" w:cs="Times New Roman"/>
          <w:i w:val="0"/>
          <w:iCs w:val="0"/>
          <w:caps w:val="0"/>
          <w:color w:val="24292F"/>
          <w:spacing w:val="0"/>
          <w:sz w:val="24"/>
          <w:szCs w:val="24"/>
          <w:shd w:val="clear" w:fill="FFFFFF"/>
        </w:rPr>
      </w:pPr>
      <w:r>
        <w:rPr>
          <w:rFonts w:hint="default" w:ascii="Times New Roman" w:hAnsi="Times New Roman" w:eastAsia="楷体" w:cs="Times New Roman"/>
          <w:b/>
          <w:bCs/>
          <w:i/>
          <w:iCs/>
          <w:sz w:val="24"/>
          <w:szCs w:val="24"/>
        </w:rPr>
        <w:t>In-situ</w:t>
      </w:r>
      <w:r>
        <w:rPr>
          <w:rFonts w:hint="default" w:ascii="Times New Roman" w:hAnsi="Times New Roman" w:eastAsia="楷体" w:cs="Times New Roman"/>
          <w:b/>
          <w:bCs/>
          <w:sz w:val="24"/>
          <w:szCs w:val="24"/>
        </w:rPr>
        <w:t xml:space="preserve"> Raman spectroscopic characterization:</w:t>
      </w:r>
      <w:r>
        <w:rPr>
          <w:rFonts w:hint="default" w:ascii="Times New Roman" w:hAnsi="Times New Roman" w:eastAsia="楷体" w:cs="Times New Roman"/>
          <w:bCs/>
          <w:sz w:val="24"/>
          <w:szCs w:val="24"/>
        </w:rPr>
        <w:t xml:space="preserve"> </w:t>
      </w:r>
      <w:r>
        <w:rPr>
          <w:rFonts w:hint="default" w:ascii="Times New Roman" w:hAnsi="Times New Roman" w:eastAsia="微软雅黑" w:cs="Times New Roman"/>
          <w:i/>
          <w:iCs/>
          <w:caps w:val="0"/>
          <w:color w:val="24292F"/>
          <w:spacing w:val="0"/>
          <w:sz w:val="24"/>
          <w:szCs w:val="24"/>
          <w:shd w:val="clear" w:fill="FFFFFF"/>
        </w:rPr>
        <w:t>In-situ</w:t>
      </w:r>
      <w:r>
        <w:rPr>
          <w:rFonts w:hint="default" w:ascii="Times New Roman" w:hAnsi="Times New Roman" w:eastAsia="微软雅黑" w:cs="Times New Roman"/>
          <w:i w:val="0"/>
          <w:iCs w:val="0"/>
          <w:caps w:val="0"/>
          <w:color w:val="24292F"/>
          <w:spacing w:val="0"/>
          <w:sz w:val="24"/>
          <w:szCs w:val="24"/>
          <w:shd w:val="clear" w:fill="FFFFFF"/>
        </w:rPr>
        <w:t xml:space="preserve"> Raman spectroscopy was performed using a Renishaw inVia Raman microscope equipped with a 532 nm Ar-ion laser. The in-situ spectro-electrochemical cell was controlled by a CHI 760E electrochemical workstation with a scan rate of 0.15 mV s</w:t>
      </w:r>
      <w:r>
        <w:rPr>
          <w:rFonts w:hint="default" w:ascii="Times New Roman" w:hAnsi="Times New Roman" w:eastAsia="微软雅黑" w:cs="Times New Roman"/>
          <w:i w:val="0"/>
          <w:iCs w:val="0"/>
          <w:caps w:val="0"/>
          <w:color w:val="24292F"/>
          <w:spacing w:val="0"/>
          <w:sz w:val="24"/>
          <w:szCs w:val="24"/>
          <w:shd w:val="clear" w:fill="FFFFFF"/>
          <w:vertAlign w:val="superscript"/>
        </w:rPr>
        <w:t>-1</w:t>
      </w:r>
      <w:r>
        <w:rPr>
          <w:rFonts w:hint="default" w:ascii="Times New Roman" w:hAnsi="Times New Roman" w:eastAsia="微软雅黑" w:cs="Times New Roman"/>
          <w:i w:val="0"/>
          <w:iCs w:val="0"/>
          <w:caps w:val="0"/>
          <w:color w:val="24292F"/>
          <w:spacing w:val="0"/>
          <w:sz w:val="24"/>
          <w:szCs w:val="24"/>
          <w:shd w:val="clear" w:fill="FFFFFF"/>
        </w:rPr>
        <w:t xml:space="preserve">. Cathode preparation followed a method similar to that used in battery performance experiments, with the exception that carbon papers (CPs) were employed as current collectors. The </w:t>
      </w:r>
      <w:r>
        <w:rPr>
          <w:rFonts w:hint="default" w:ascii="Times New Roman" w:hAnsi="Times New Roman" w:eastAsia="微软雅黑" w:cs="Times New Roman"/>
          <w:i/>
          <w:iCs/>
          <w:caps w:val="0"/>
          <w:color w:val="24292F"/>
          <w:spacing w:val="0"/>
          <w:sz w:val="24"/>
          <w:szCs w:val="24"/>
          <w:shd w:val="clear" w:fill="FFFFFF"/>
        </w:rPr>
        <w:t xml:space="preserve">in-situ </w:t>
      </w:r>
      <w:r>
        <w:rPr>
          <w:rFonts w:hint="default" w:ascii="Times New Roman" w:hAnsi="Times New Roman" w:eastAsia="微软雅黑" w:cs="Times New Roman"/>
          <w:i w:val="0"/>
          <w:iCs w:val="0"/>
          <w:caps w:val="0"/>
          <w:color w:val="24292F"/>
          <w:spacing w:val="0"/>
          <w:sz w:val="24"/>
          <w:szCs w:val="24"/>
          <w:shd w:val="clear" w:fill="FFFFFF"/>
        </w:rPr>
        <w:t>spectro-electrochemical cell was assembled in an Ar-filled glovebox, comprising the cathode (with the material side facing the optical window), a Celgard 2400 separator, and a Li foil anode.</w:t>
      </w:r>
    </w:p>
    <w:p w14:paraId="18E1948C">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微软雅黑" w:cs="Times New Roman"/>
          <w:i w:val="0"/>
          <w:iCs w:val="0"/>
          <w:caps w:val="0"/>
          <w:color w:val="24292F"/>
          <w:spacing w:val="0"/>
          <w:sz w:val="24"/>
          <w:szCs w:val="24"/>
          <w:shd w:val="clear" w:fill="FFFFFF"/>
        </w:rPr>
      </w:pPr>
    </w:p>
    <w:p w14:paraId="45D504E5">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微软雅黑" w:cs="Times New Roman"/>
          <w:i w:val="0"/>
          <w:iCs w:val="0"/>
          <w:caps w:val="0"/>
          <w:color w:val="24292F"/>
          <w:spacing w:val="0"/>
          <w:sz w:val="24"/>
          <w:szCs w:val="24"/>
          <w:shd w:val="clear" w:fill="FFFFFF"/>
        </w:rPr>
      </w:pPr>
      <w:r>
        <w:rPr>
          <w:rFonts w:hint="default" w:ascii="Times New Roman" w:hAnsi="Times New Roman" w:eastAsia="楷体" w:cs="Times New Roman"/>
          <w:b/>
          <w:bCs/>
          <w:sz w:val="24"/>
          <w:szCs w:val="24"/>
        </w:rPr>
        <w:t xml:space="preserve">Shuttle current measurements: </w:t>
      </w:r>
      <w:r>
        <w:rPr>
          <w:rFonts w:hint="default" w:ascii="Times New Roman" w:hAnsi="Times New Roman" w:eastAsia="微软雅黑" w:cs="Times New Roman"/>
          <w:i w:val="0"/>
          <w:iCs w:val="0"/>
          <w:caps w:val="0"/>
          <w:color w:val="24292F"/>
          <w:spacing w:val="0"/>
          <w:sz w:val="24"/>
          <w:szCs w:val="24"/>
          <w:shd w:val="clear" w:fill="FFFFFF"/>
        </w:rPr>
        <w:t>The cells underwent three charge-discharge cycles at 0.2 C, followed by charging to 2.7 V and a subsequent 10-min</w:t>
      </w:r>
      <w:r>
        <w:rPr>
          <w:rFonts w:hint="eastAsia" w:ascii="Times New Roman" w:hAnsi="Times New Roman" w:cs="Times New Roman"/>
          <w:i w:val="0"/>
          <w:iCs w:val="0"/>
          <w:caps w:val="0"/>
          <w:color w:val="24292F"/>
          <w:spacing w:val="0"/>
          <w:sz w:val="24"/>
          <w:szCs w:val="24"/>
          <w:shd w:val="clear" w:fill="FFFFFF"/>
          <w:lang w:val="en-US" w:eastAsia="zh-CN"/>
        </w:rPr>
        <w:t xml:space="preserve"> </w:t>
      </w:r>
      <w:r>
        <w:rPr>
          <w:rFonts w:hint="default" w:ascii="Times New Roman" w:hAnsi="Times New Roman" w:eastAsia="微软雅黑" w:cs="Times New Roman"/>
          <w:i w:val="0"/>
          <w:iCs w:val="0"/>
          <w:caps w:val="0"/>
          <w:color w:val="24292F"/>
          <w:spacing w:val="0"/>
          <w:sz w:val="24"/>
          <w:szCs w:val="24"/>
          <w:shd w:val="clear" w:fill="FFFFFF"/>
        </w:rPr>
        <w:t>rest period at open circuit. After this preparatory phase, the cells were maintained at the measured open circuit voltage, and the current applied to the cell was monitored for a minimum of 1×10</w:t>
      </w:r>
      <w:r>
        <w:rPr>
          <w:rFonts w:hint="default" w:ascii="Times New Roman" w:hAnsi="Times New Roman" w:eastAsia="微软雅黑" w:cs="Times New Roman"/>
          <w:i w:val="0"/>
          <w:iCs w:val="0"/>
          <w:caps w:val="0"/>
          <w:color w:val="24292F"/>
          <w:spacing w:val="0"/>
          <w:sz w:val="24"/>
          <w:szCs w:val="24"/>
          <w:shd w:val="clear" w:fill="FFFFFF"/>
          <w:vertAlign w:val="superscript"/>
        </w:rPr>
        <w:t>4</w:t>
      </w:r>
      <w:r>
        <w:rPr>
          <w:rFonts w:hint="default" w:ascii="Times New Roman" w:hAnsi="Times New Roman" w:eastAsia="微软雅黑" w:cs="Times New Roman"/>
          <w:i w:val="0"/>
          <w:iCs w:val="0"/>
          <w:caps w:val="0"/>
          <w:color w:val="24292F"/>
          <w:spacing w:val="0"/>
          <w:sz w:val="24"/>
          <w:szCs w:val="24"/>
          <w:shd w:val="clear" w:fill="FFFFFF"/>
        </w:rPr>
        <w:t xml:space="preserve"> s, during which the current stabilized to a steady-state value. This final steady-state current was recorded and designated as the shuttle current.</w:t>
      </w:r>
    </w:p>
    <w:p w14:paraId="3F47CCDC">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微软雅黑" w:cs="Times New Roman"/>
          <w:i w:val="0"/>
          <w:iCs w:val="0"/>
          <w:caps w:val="0"/>
          <w:color w:val="24292F"/>
          <w:spacing w:val="0"/>
          <w:sz w:val="24"/>
          <w:szCs w:val="24"/>
          <w:shd w:val="clear" w:fill="FFFFFF"/>
        </w:rPr>
      </w:pPr>
    </w:p>
    <w:p w14:paraId="2C5370B1">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ScalaSansPro-Regular" w:cs="Times New Roman"/>
          <w:b/>
          <w:bCs/>
          <w:sz w:val="24"/>
          <w:szCs w:val="24"/>
        </w:rPr>
      </w:pPr>
      <w:bookmarkStart w:id="14" w:name="OLE_LINK39"/>
      <w:bookmarkStart w:id="15" w:name="OLE_LINK38"/>
      <w:r>
        <w:rPr>
          <w:rFonts w:hint="default" w:ascii="Times New Roman" w:hAnsi="Times New Roman" w:eastAsia="宋体" w:cs="Times New Roman"/>
          <w:b/>
          <w:iCs/>
          <w:sz w:val="24"/>
          <w:szCs w:val="24"/>
        </w:rPr>
        <w:t>Activation energy determinations</w:t>
      </w:r>
      <w:r>
        <w:rPr>
          <w:rFonts w:hint="default" w:ascii="Times New Roman" w:hAnsi="Times New Roman" w:eastAsia="宋体" w:cs="Times New Roman"/>
          <w:b/>
          <w:sz w:val="24"/>
          <w:szCs w:val="24"/>
        </w:rPr>
        <w:t>:</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sz w:val="24"/>
          <w:szCs w:val="24"/>
        </w:rPr>
        <w:t>The charge transfer resistance (</w:t>
      </w:r>
      <w:r>
        <w:rPr>
          <w:rFonts w:hint="default" w:ascii="Times New Roman" w:hAnsi="Times New Roman" w:eastAsia="宋体" w:cs="Times New Roman"/>
          <w:i/>
          <w:iCs/>
          <w:sz w:val="24"/>
          <w:szCs w:val="24"/>
        </w:rPr>
        <w:t>R</w:t>
      </w:r>
      <w:r>
        <w:rPr>
          <w:rFonts w:hint="default" w:ascii="Times New Roman" w:hAnsi="Times New Roman" w:eastAsia="宋体" w:cs="Times New Roman"/>
          <w:sz w:val="24"/>
          <w:szCs w:val="24"/>
          <w:vertAlign w:val="subscript"/>
        </w:rPr>
        <w:t>ct</w:t>
      </w:r>
      <w:r>
        <w:rPr>
          <w:rFonts w:hint="default" w:ascii="Times New Roman" w:hAnsi="Times New Roman" w:eastAsia="宋体" w:cs="Times New Roman"/>
          <w:sz w:val="24"/>
          <w:szCs w:val="24"/>
        </w:rPr>
        <w:t xml:space="preserve">) at each discharge/charge potential under various temperatures was determined at the assembled cells by electrochemical impedance spectroscopy (EIS, frequency range: 100 kHz to 0.01 Hz, current amplitude: 5 mV). Thermostat was used to control the temperature and </w:t>
      </w:r>
      <w:r>
        <w:rPr>
          <w:rFonts w:hint="default" w:ascii="Times New Roman" w:hAnsi="Times New Roman" w:eastAsia="楷体" w:cs="Times New Roman"/>
          <w:bCs/>
          <w:sz w:val="24"/>
          <w:szCs w:val="24"/>
        </w:rPr>
        <w:t>electrochemical workstation (CHI 760E, scan rate: 0.1 mV s</w:t>
      </w:r>
      <w:r>
        <w:rPr>
          <w:rFonts w:hint="default" w:ascii="Times New Roman" w:hAnsi="Times New Roman" w:eastAsia="楷体" w:cs="Times New Roman"/>
          <w:bCs/>
          <w:sz w:val="24"/>
          <w:szCs w:val="24"/>
          <w:vertAlign w:val="superscript"/>
        </w:rPr>
        <w:t>−1</w:t>
      </w:r>
      <w:r>
        <w:rPr>
          <w:rFonts w:hint="default" w:ascii="Times New Roman" w:hAnsi="Times New Roman" w:eastAsia="楷体" w:cs="Times New Roman"/>
          <w:bCs/>
          <w:sz w:val="24"/>
          <w:szCs w:val="24"/>
        </w:rPr>
        <w:t xml:space="preserve">) was used to control the potential </w:t>
      </w:r>
      <w:r>
        <w:rPr>
          <w:rFonts w:hint="default" w:ascii="Times New Roman" w:hAnsi="Times New Roman" w:eastAsia="宋体" w:cs="Times New Roman"/>
          <w:sz w:val="24"/>
          <w:szCs w:val="24"/>
        </w:rPr>
        <w:t xml:space="preserve">during the measurements. By fitting the </w:t>
      </w:r>
      <w:r>
        <w:rPr>
          <w:rFonts w:hint="default" w:ascii="Times New Roman" w:hAnsi="Times New Roman" w:eastAsia="宋体" w:cs="Times New Roman"/>
          <w:i/>
          <w:iCs/>
          <w:sz w:val="24"/>
          <w:szCs w:val="24"/>
        </w:rPr>
        <w:t>R</w:t>
      </w:r>
      <w:r>
        <w:rPr>
          <w:rFonts w:hint="default" w:ascii="Times New Roman" w:hAnsi="Times New Roman" w:eastAsia="宋体" w:cs="Times New Roman"/>
          <w:sz w:val="24"/>
          <w:szCs w:val="24"/>
          <w:vertAlign w:val="subscript"/>
        </w:rPr>
        <w:t>ct</w:t>
      </w:r>
      <w:r>
        <w:rPr>
          <w:rFonts w:hint="default" w:ascii="Times New Roman" w:hAnsi="Times New Roman" w:eastAsia="宋体" w:cs="Times New Roman"/>
          <w:sz w:val="24"/>
          <w:szCs w:val="24"/>
        </w:rPr>
        <w:t xml:space="preserve"> with the Arrhenius equation (Equation (1)), the activation energy (</w:t>
      </w:r>
      <w:r>
        <w:rPr>
          <w:rFonts w:hint="default" w:ascii="Times New Roman" w:hAnsi="Times New Roman" w:eastAsia="ScalaSansPro-Regular" w:cs="Times New Roman"/>
          <w:i/>
          <w:iCs/>
          <w:sz w:val="24"/>
          <w:szCs w:val="24"/>
        </w:rPr>
        <w:t>E</w:t>
      </w:r>
      <w:r>
        <w:rPr>
          <w:rFonts w:hint="default" w:ascii="Times New Roman" w:hAnsi="Times New Roman" w:eastAsia="ScalaSansPro-Regular" w:cs="Times New Roman"/>
          <w:sz w:val="24"/>
          <w:szCs w:val="24"/>
          <w:vertAlign w:val="subscript"/>
        </w:rPr>
        <w:t>a</w:t>
      </w:r>
      <w:r>
        <w:rPr>
          <w:rFonts w:hint="default" w:ascii="Times New Roman" w:hAnsi="Times New Roman" w:eastAsia="ScalaSansPro-Regular" w:cs="Times New Roman"/>
          <w:sz w:val="24"/>
          <w:szCs w:val="24"/>
        </w:rPr>
        <w:t>) was evaluated.</w:t>
      </w:r>
    </w:p>
    <w:p w14:paraId="6FE4EA4B">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i/>
          <w:sz w:val="24"/>
          <w:szCs w:val="24"/>
        </w:rPr>
        <w:t>R</w:t>
      </w:r>
      <w:r>
        <w:rPr>
          <w:rFonts w:hint="default" w:ascii="Times New Roman" w:hAnsi="Times New Roman" w:eastAsia="宋体" w:cs="Times New Roman"/>
          <w:i/>
          <w:sz w:val="24"/>
          <w:szCs w:val="24"/>
          <w:vertAlign w:val="subscript"/>
        </w:rPr>
        <w:t>Ct</w:t>
      </w:r>
      <w:r>
        <w:rPr>
          <w:rFonts w:hint="default" w:ascii="Times New Roman" w:hAnsi="Times New Roman" w:eastAsia="宋体" w:cs="Times New Roman"/>
          <w:sz w:val="24"/>
          <w:szCs w:val="24"/>
        </w:rPr>
        <w:t xml:space="preserve"> = </w:t>
      </w:r>
      <w:r>
        <w:rPr>
          <w:rFonts w:hint="default" w:ascii="Times New Roman" w:hAnsi="Times New Roman" w:eastAsia="宋体" w:cs="Times New Roman"/>
          <w:i/>
          <w:sz w:val="24"/>
          <w:szCs w:val="24"/>
        </w:rPr>
        <w:t>A</w:t>
      </w:r>
      <w:r>
        <w:rPr>
          <w:rFonts w:hint="default" w:ascii="Times New Roman" w:hAnsi="Times New Roman" w:eastAsia="宋体" w:cs="Times New Roman"/>
          <w:sz w:val="24"/>
          <w:szCs w:val="24"/>
        </w:rPr>
        <w:t>exp(</w:t>
      </w:r>
      <m:oMath>
        <m:f>
          <m:fPr>
            <m:ctrlPr>
              <w:rPr>
                <w:rFonts w:hint="default" w:ascii="Cambria Math" w:hAnsi="Cambria Math" w:eastAsia="宋体" w:cs="Times New Roman"/>
                <w:sz w:val="24"/>
                <w:szCs w:val="24"/>
              </w:rPr>
            </m:ctrlPr>
          </m:fPr>
          <m:num>
            <m:r>
              <m:rPr>
                <m:sty m:val="p"/>
              </m:rPr>
              <w:rPr>
                <w:rFonts w:hint="default" w:ascii="Cambria Math" w:hAnsi="Cambria Math" w:eastAsia="宋体" w:cs="Times New Roman"/>
                <w:sz w:val="24"/>
                <w:szCs w:val="24"/>
              </w:rPr>
              <m:t>−</m:t>
            </m:r>
            <m:r>
              <m:rPr/>
              <w:rPr>
                <w:rFonts w:hint="default" w:ascii="Cambria Math" w:hAnsi="Cambria Math" w:eastAsia="宋体" w:cs="Times New Roman"/>
                <w:sz w:val="24"/>
                <w:szCs w:val="24"/>
              </w:rPr>
              <m:t>Ea</m:t>
            </m:r>
            <m:ctrlPr>
              <w:rPr>
                <w:rFonts w:hint="default" w:ascii="Cambria Math" w:hAnsi="Cambria Math" w:eastAsia="宋体" w:cs="Times New Roman"/>
                <w:sz w:val="24"/>
                <w:szCs w:val="24"/>
              </w:rPr>
            </m:ctrlPr>
          </m:num>
          <m:den>
            <m:r>
              <m:rPr/>
              <w:rPr>
                <w:rFonts w:hint="default" w:ascii="Cambria Math" w:hAnsi="Cambria Math" w:eastAsia="宋体" w:cs="Times New Roman"/>
                <w:sz w:val="24"/>
                <w:szCs w:val="24"/>
              </w:rPr>
              <m:t>RT</m:t>
            </m:r>
            <m:ctrlPr>
              <w:rPr>
                <w:rFonts w:hint="default" w:ascii="Cambria Math" w:hAnsi="Cambria Math" w:eastAsia="宋体" w:cs="Times New Roman"/>
                <w:sz w:val="24"/>
                <w:szCs w:val="24"/>
              </w:rPr>
            </m:ctrlPr>
          </m:den>
        </m:f>
      </m:oMath>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(1)                                          </w:t>
      </w:r>
    </w:p>
    <w:p w14:paraId="43F5F897">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where A is the apparent rate constant, R is molar gas constant (8.314 J mol</w:t>
      </w:r>
      <w:r>
        <w:rPr>
          <w:rFonts w:hint="default" w:ascii="Times New Roman" w:hAnsi="Times New Roman" w:eastAsia="宋体" w:cs="Times New Roman"/>
          <w:sz w:val="24"/>
          <w:szCs w:val="24"/>
          <w:vertAlign w:val="superscript"/>
        </w:rPr>
        <w:t>−1</w:t>
      </w:r>
      <w:r>
        <w:rPr>
          <w:rFonts w:hint="default" w:ascii="Times New Roman" w:hAnsi="Times New Roman" w:eastAsia="宋体" w:cs="Times New Roman"/>
          <w:sz w:val="24"/>
          <w:szCs w:val="24"/>
        </w:rPr>
        <w:t xml:space="preserve"> K</w:t>
      </w:r>
      <w:r>
        <w:rPr>
          <w:rFonts w:hint="default" w:ascii="Times New Roman" w:hAnsi="Times New Roman" w:eastAsia="宋体" w:cs="Times New Roman"/>
          <w:sz w:val="24"/>
          <w:szCs w:val="24"/>
          <w:vertAlign w:val="superscript"/>
        </w:rPr>
        <w:t>−1</w:t>
      </w:r>
      <w:r>
        <w:rPr>
          <w:rFonts w:hint="default" w:ascii="Times New Roman" w:hAnsi="Times New Roman" w:eastAsia="宋体" w:cs="Times New Roman"/>
          <w:sz w:val="24"/>
          <w:szCs w:val="24"/>
        </w:rPr>
        <w:t xml:space="preserve">), and </w:t>
      </w:r>
      <w:r>
        <w:rPr>
          <w:rFonts w:hint="default" w:ascii="Times New Roman" w:hAnsi="Times New Roman" w:eastAsia="宋体" w:cs="Times New Roman"/>
          <w:i/>
          <w:iCs/>
          <w:sz w:val="24"/>
          <w:szCs w:val="24"/>
        </w:rPr>
        <w:t>T</w:t>
      </w:r>
      <w:r>
        <w:rPr>
          <w:rFonts w:hint="default" w:ascii="Times New Roman" w:hAnsi="Times New Roman" w:eastAsia="宋体" w:cs="Times New Roman"/>
          <w:sz w:val="24"/>
          <w:szCs w:val="24"/>
        </w:rPr>
        <w:t xml:space="preserve"> is absolute temperature.</w:t>
      </w:r>
    </w:p>
    <w:p w14:paraId="5799C74E">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Cs/>
          <w:sz w:val="24"/>
          <w:szCs w:val="24"/>
        </w:rPr>
      </w:pPr>
      <w:r>
        <w:rPr>
          <w:rFonts w:hint="default" w:ascii="Times New Roman" w:hAnsi="Times New Roman" w:eastAsia="楷体" w:cs="Times New Roman"/>
          <w:bCs/>
          <w:sz w:val="24"/>
          <w:szCs w:val="24"/>
        </w:rPr>
        <w:t xml:space="preserve">This equation can be converted to a linear relationship between </w:t>
      </w:r>
      <m:oMath>
        <m:func>
          <m:funcPr>
            <m:ctrlPr>
              <w:rPr>
                <w:rFonts w:hint="default" w:ascii="Cambria Math" w:hAnsi="Cambria Math" w:eastAsia="楷体" w:cs="Times New Roman"/>
                <w:bCs/>
                <w:sz w:val="24"/>
                <w:szCs w:val="24"/>
              </w:rPr>
            </m:ctrlPr>
          </m:funcPr>
          <m:fName>
            <m:r>
              <m:rPr>
                <m:sty m:val="p"/>
              </m:rPr>
              <w:rPr>
                <w:rFonts w:hint="default" w:ascii="Cambria Math" w:hAnsi="Cambria Math" w:cs="Times New Roman"/>
                <w:sz w:val="24"/>
                <w:szCs w:val="24"/>
              </w:rPr>
              <m:t>ln</m:t>
            </m:r>
            <m:ctrlPr>
              <w:rPr>
                <w:rFonts w:hint="default" w:ascii="Cambria Math" w:hAnsi="Cambria Math" w:eastAsia="楷体" w:cs="Times New Roman"/>
                <w:bCs/>
                <w:sz w:val="24"/>
                <w:szCs w:val="24"/>
              </w:rPr>
            </m:ctrlPr>
          </m:fName>
          <m:e>
            <m:f>
              <m:fPr>
                <m:ctrlPr>
                  <w:rPr>
                    <w:rFonts w:hint="default" w:ascii="Cambria Math" w:hAnsi="Cambria Math" w:eastAsia="楷体" w:cs="Times New Roman"/>
                    <w:bCs/>
                    <w:sz w:val="24"/>
                    <w:szCs w:val="24"/>
                  </w:rPr>
                </m:ctrlPr>
              </m:fPr>
              <m:num>
                <m:r>
                  <m:rPr>
                    <m:sty m:val="p"/>
                  </m:rPr>
                  <w:rPr>
                    <w:rFonts w:hint="default" w:ascii="Cambria Math" w:hAnsi="Cambria Math" w:eastAsia="楷体" w:cs="Times New Roman"/>
                    <w:sz w:val="24"/>
                    <w:szCs w:val="24"/>
                  </w:rPr>
                  <m:t>1</m:t>
                </m:r>
                <m:ctrlPr>
                  <w:rPr>
                    <w:rFonts w:hint="default" w:ascii="Cambria Math" w:hAnsi="Cambria Math" w:eastAsia="楷体" w:cs="Times New Roman"/>
                    <w:bCs/>
                    <w:sz w:val="24"/>
                    <w:szCs w:val="24"/>
                  </w:rPr>
                </m:ctrlPr>
              </m:num>
              <m:den>
                <m:sSub>
                  <m:sSubPr>
                    <m:ctrlPr>
                      <w:rPr>
                        <w:rFonts w:hint="default" w:ascii="Cambria Math" w:hAnsi="Cambria Math" w:eastAsia="楷体" w:cs="Times New Roman"/>
                        <w:i/>
                        <w:sz w:val="24"/>
                        <w:szCs w:val="24"/>
                      </w:rPr>
                    </m:ctrlPr>
                  </m:sSubPr>
                  <m:e>
                    <m:r>
                      <m:rPr/>
                      <w:rPr>
                        <w:rFonts w:hint="default" w:ascii="Cambria Math" w:hAnsi="Cambria Math" w:eastAsia="楷体" w:cs="Times New Roman"/>
                        <w:sz w:val="24"/>
                        <w:szCs w:val="24"/>
                      </w:rPr>
                      <m:t>R</m:t>
                    </m:r>
                    <m:ctrlPr>
                      <w:rPr>
                        <w:rFonts w:hint="default" w:ascii="Cambria Math" w:hAnsi="Cambria Math" w:eastAsia="楷体" w:cs="Times New Roman"/>
                        <w:i/>
                        <w:sz w:val="24"/>
                        <w:szCs w:val="24"/>
                      </w:rPr>
                    </m:ctrlPr>
                  </m:e>
                  <m:sub>
                    <m:r>
                      <m:rPr/>
                      <w:rPr>
                        <w:rFonts w:hint="default" w:ascii="Cambria Math" w:hAnsi="Cambria Math" w:eastAsia="楷体" w:cs="Times New Roman"/>
                        <w:sz w:val="24"/>
                        <w:szCs w:val="24"/>
                      </w:rPr>
                      <m:t>Ct</m:t>
                    </m:r>
                    <m:ctrlPr>
                      <w:rPr>
                        <w:rFonts w:hint="default" w:ascii="Cambria Math" w:hAnsi="Cambria Math" w:eastAsia="楷体" w:cs="Times New Roman"/>
                        <w:i/>
                        <w:sz w:val="24"/>
                        <w:szCs w:val="24"/>
                      </w:rPr>
                    </m:ctrlPr>
                  </m:sub>
                </m:sSub>
                <m:ctrlPr>
                  <w:rPr>
                    <w:rFonts w:hint="default" w:ascii="Cambria Math" w:hAnsi="Cambria Math" w:eastAsia="楷体" w:cs="Times New Roman"/>
                    <w:bCs/>
                    <w:sz w:val="24"/>
                    <w:szCs w:val="24"/>
                  </w:rPr>
                </m:ctrlPr>
              </m:den>
            </m:f>
            <m:ctrlPr>
              <w:rPr>
                <w:rFonts w:hint="default" w:ascii="Cambria Math" w:hAnsi="Cambria Math" w:eastAsia="楷体" w:cs="Times New Roman"/>
                <w:bCs/>
                <w:sz w:val="24"/>
                <w:szCs w:val="24"/>
              </w:rPr>
            </m:ctrlPr>
          </m:e>
        </m:func>
      </m:oMath>
      <w:r>
        <w:rPr>
          <w:rFonts w:hint="default" w:ascii="Times New Roman" w:hAnsi="Times New Roman" w:eastAsia="楷体" w:cs="Times New Roman"/>
          <w:bCs/>
          <w:sz w:val="24"/>
          <w:szCs w:val="24"/>
        </w:rPr>
        <w:t xml:space="preserve"> and </w:t>
      </w:r>
      <m:oMath>
        <m:f>
          <m:fPr>
            <m:ctrlPr>
              <w:rPr>
                <w:rFonts w:hint="default" w:ascii="Cambria Math" w:hAnsi="Cambria Math" w:eastAsia="楷体" w:cs="Times New Roman"/>
                <w:bCs/>
                <w:sz w:val="24"/>
                <w:szCs w:val="24"/>
              </w:rPr>
            </m:ctrlPr>
          </m:fPr>
          <m:num>
            <m:r>
              <m:rPr>
                <m:sty m:val="p"/>
              </m:rPr>
              <w:rPr>
                <w:rFonts w:hint="default" w:ascii="Cambria Math" w:hAnsi="Cambria Math" w:eastAsia="楷体" w:cs="Times New Roman"/>
                <w:sz w:val="24"/>
                <w:szCs w:val="24"/>
              </w:rPr>
              <m:t>1</m:t>
            </m:r>
            <m:ctrlPr>
              <w:rPr>
                <w:rFonts w:hint="default" w:ascii="Cambria Math" w:hAnsi="Cambria Math" w:eastAsia="楷体" w:cs="Times New Roman"/>
                <w:bCs/>
                <w:sz w:val="24"/>
                <w:szCs w:val="24"/>
              </w:rPr>
            </m:ctrlPr>
          </m:num>
          <m:den>
            <m:r>
              <m:rPr/>
              <w:rPr>
                <w:rFonts w:hint="default" w:ascii="Cambria Math" w:hAnsi="Cambria Math" w:eastAsia="楷体" w:cs="Times New Roman"/>
                <w:sz w:val="24"/>
                <w:szCs w:val="24"/>
              </w:rPr>
              <m:t>T</m:t>
            </m:r>
            <m:ctrlPr>
              <w:rPr>
                <w:rFonts w:hint="default" w:ascii="Cambria Math" w:hAnsi="Cambria Math" w:eastAsia="楷体" w:cs="Times New Roman"/>
                <w:bCs/>
                <w:sz w:val="24"/>
                <w:szCs w:val="24"/>
              </w:rPr>
            </m:ctrlPr>
          </m:den>
        </m:f>
      </m:oMath>
      <w:r>
        <w:rPr>
          <w:rFonts w:hint="default" w:ascii="Times New Roman" w:hAnsi="Times New Roman" w:eastAsia="楷体" w:cs="Times New Roman"/>
          <w:bCs/>
          <w:sz w:val="24"/>
          <w:szCs w:val="24"/>
        </w:rPr>
        <w:t xml:space="preserve"> by logarithmic processing:</w:t>
      </w:r>
    </w:p>
    <w:p w14:paraId="4A765CF9">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bCs/>
          <w:sz w:val="24"/>
          <w:szCs w:val="24"/>
        </w:rPr>
      </w:pPr>
      <m:oMath>
        <m:func>
          <m:funcPr>
            <m:ctrlPr>
              <w:rPr>
                <w:rFonts w:hint="default" w:ascii="Cambria Math" w:hAnsi="Cambria Math" w:eastAsia="楷体" w:cs="Times New Roman"/>
                <w:bCs/>
                <w:sz w:val="24"/>
                <w:szCs w:val="24"/>
              </w:rPr>
            </m:ctrlPr>
          </m:funcPr>
          <m:fName>
            <m:r>
              <m:rPr>
                <m:sty m:val="p"/>
              </m:rPr>
              <w:rPr>
                <w:rFonts w:hint="default" w:ascii="Cambria Math" w:hAnsi="Cambria Math" w:cs="Times New Roman"/>
                <w:sz w:val="24"/>
                <w:szCs w:val="24"/>
              </w:rPr>
              <m:t>ln</m:t>
            </m:r>
            <m:ctrlPr>
              <w:rPr>
                <w:rFonts w:hint="default" w:ascii="Cambria Math" w:hAnsi="Cambria Math" w:eastAsia="楷体" w:cs="Times New Roman"/>
                <w:bCs/>
                <w:sz w:val="24"/>
                <w:szCs w:val="24"/>
              </w:rPr>
            </m:ctrlPr>
          </m:fName>
          <m:e>
            <m:f>
              <m:fPr>
                <m:ctrlPr>
                  <w:rPr>
                    <w:rFonts w:hint="default" w:ascii="Cambria Math" w:hAnsi="Cambria Math" w:eastAsia="楷体" w:cs="Times New Roman"/>
                    <w:bCs/>
                    <w:sz w:val="24"/>
                    <w:szCs w:val="24"/>
                  </w:rPr>
                </m:ctrlPr>
              </m:fPr>
              <m:num>
                <m:r>
                  <m:rPr>
                    <m:sty m:val="p"/>
                  </m:rPr>
                  <w:rPr>
                    <w:rFonts w:hint="default" w:ascii="Cambria Math" w:hAnsi="Cambria Math" w:eastAsia="楷体" w:cs="Times New Roman"/>
                    <w:sz w:val="24"/>
                    <w:szCs w:val="24"/>
                  </w:rPr>
                  <m:t>1</m:t>
                </m:r>
                <m:ctrlPr>
                  <w:rPr>
                    <w:rFonts w:hint="default" w:ascii="Cambria Math" w:hAnsi="Cambria Math" w:eastAsia="楷体" w:cs="Times New Roman"/>
                    <w:bCs/>
                    <w:sz w:val="24"/>
                    <w:szCs w:val="24"/>
                  </w:rPr>
                </m:ctrlPr>
              </m:num>
              <m:den>
                <m:sSub>
                  <m:sSubPr>
                    <m:ctrlPr>
                      <w:rPr>
                        <w:rFonts w:hint="default" w:ascii="Cambria Math" w:hAnsi="Cambria Math" w:eastAsia="楷体" w:cs="Times New Roman"/>
                        <w:i/>
                        <w:sz w:val="24"/>
                        <w:szCs w:val="24"/>
                      </w:rPr>
                    </m:ctrlPr>
                  </m:sSubPr>
                  <m:e>
                    <m:r>
                      <m:rPr/>
                      <w:rPr>
                        <w:rFonts w:hint="default" w:ascii="Cambria Math" w:hAnsi="Cambria Math" w:eastAsia="楷体" w:cs="Times New Roman"/>
                        <w:sz w:val="24"/>
                        <w:szCs w:val="24"/>
                      </w:rPr>
                      <m:t>R</m:t>
                    </m:r>
                    <m:ctrlPr>
                      <w:rPr>
                        <w:rFonts w:hint="default" w:ascii="Cambria Math" w:hAnsi="Cambria Math" w:eastAsia="楷体" w:cs="Times New Roman"/>
                        <w:i/>
                        <w:sz w:val="24"/>
                        <w:szCs w:val="24"/>
                      </w:rPr>
                    </m:ctrlPr>
                  </m:e>
                  <m:sub>
                    <m:r>
                      <m:rPr/>
                      <w:rPr>
                        <w:rFonts w:hint="default" w:ascii="Cambria Math" w:hAnsi="Cambria Math" w:eastAsia="楷体" w:cs="Times New Roman"/>
                        <w:sz w:val="24"/>
                        <w:szCs w:val="24"/>
                      </w:rPr>
                      <m:t>Ct</m:t>
                    </m:r>
                    <m:ctrlPr>
                      <w:rPr>
                        <w:rFonts w:hint="default" w:ascii="Cambria Math" w:hAnsi="Cambria Math" w:eastAsia="楷体" w:cs="Times New Roman"/>
                        <w:i/>
                        <w:sz w:val="24"/>
                        <w:szCs w:val="24"/>
                      </w:rPr>
                    </m:ctrlPr>
                  </m:sub>
                </m:sSub>
                <m:ctrlPr>
                  <w:rPr>
                    <w:rFonts w:hint="default" w:ascii="Cambria Math" w:hAnsi="Cambria Math" w:eastAsia="楷体" w:cs="Times New Roman"/>
                    <w:bCs/>
                    <w:sz w:val="24"/>
                    <w:szCs w:val="24"/>
                  </w:rPr>
                </m:ctrlPr>
              </m:den>
            </m:f>
            <m:ctrlPr>
              <w:rPr>
                <w:rFonts w:hint="default" w:ascii="Cambria Math" w:hAnsi="Cambria Math" w:eastAsia="楷体" w:cs="Times New Roman"/>
                <w:bCs/>
                <w:sz w:val="24"/>
                <w:szCs w:val="24"/>
              </w:rPr>
            </m:ctrlPr>
          </m:e>
        </m:func>
      </m:oMath>
      <w:r>
        <w:rPr>
          <w:rFonts w:hint="default" w:ascii="Times New Roman" w:hAnsi="Times New Roman" w:eastAsia="楷体" w:cs="Times New Roman"/>
          <w:bCs/>
          <w:sz w:val="24"/>
          <w:szCs w:val="24"/>
        </w:rPr>
        <w:t xml:space="preserve"> = </w:t>
      </w:r>
      <m:oMath>
        <m:f>
          <m:fPr>
            <m:ctrlPr>
              <w:rPr>
                <w:rFonts w:hint="default" w:ascii="Cambria Math" w:hAnsi="Cambria Math" w:eastAsia="楷体" w:cs="Times New Roman"/>
                <w:bCs/>
                <w:sz w:val="24"/>
                <w:szCs w:val="24"/>
              </w:rPr>
            </m:ctrlPr>
          </m:fPr>
          <m:num>
            <m:sSub>
              <m:sSubPr>
                <m:ctrlPr>
                  <w:rPr>
                    <w:rFonts w:hint="default" w:ascii="Cambria Math" w:hAnsi="Cambria Math" w:eastAsia="楷体" w:cs="Times New Roman"/>
                    <w:bCs/>
                    <w:i/>
                    <w:sz w:val="24"/>
                    <w:szCs w:val="24"/>
                  </w:rPr>
                </m:ctrlPr>
              </m:sSubPr>
              <m:e>
                <m:r>
                  <m:rPr/>
                  <w:rPr>
                    <w:rFonts w:hint="default" w:ascii="Cambria Math" w:hAnsi="Cambria Math" w:eastAsia="楷体" w:cs="Times New Roman"/>
                    <w:sz w:val="24"/>
                    <w:szCs w:val="24"/>
                  </w:rPr>
                  <m:t>E</m:t>
                </m:r>
                <m:ctrlPr>
                  <w:rPr>
                    <w:rFonts w:hint="default" w:ascii="Cambria Math" w:hAnsi="Cambria Math" w:eastAsia="楷体" w:cs="Times New Roman"/>
                    <w:bCs/>
                    <w:i/>
                    <w:sz w:val="24"/>
                    <w:szCs w:val="24"/>
                  </w:rPr>
                </m:ctrlPr>
              </m:e>
              <m:sub>
                <m:r>
                  <m:rPr/>
                  <w:rPr>
                    <w:rFonts w:hint="default" w:ascii="Cambria Math" w:hAnsi="Cambria Math" w:eastAsia="楷体" w:cs="Times New Roman"/>
                    <w:sz w:val="24"/>
                    <w:szCs w:val="24"/>
                  </w:rPr>
                  <m:t>a</m:t>
                </m:r>
                <m:ctrlPr>
                  <w:rPr>
                    <w:rFonts w:hint="default" w:ascii="Cambria Math" w:hAnsi="Cambria Math" w:eastAsia="楷体" w:cs="Times New Roman"/>
                    <w:bCs/>
                    <w:i/>
                    <w:sz w:val="24"/>
                    <w:szCs w:val="24"/>
                  </w:rPr>
                </m:ctrlPr>
              </m:sub>
            </m:sSub>
            <m:ctrlPr>
              <w:rPr>
                <w:rFonts w:hint="default" w:ascii="Cambria Math" w:hAnsi="Cambria Math" w:eastAsia="楷体" w:cs="Times New Roman"/>
                <w:bCs/>
                <w:sz w:val="24"/>
                <w:szCs w:val="24"/>
              </w:rPr>
            </m:ctrlPr>
          </m:num>
          <m:den>
            <m:r>
              <m:rPr/>
              <w:rPr>
                <w:rFonts w:hint="default" w:ascii="Cambria Math" w:hAnsi="Cambria Math" w:eastAsia="楷体" w:cs="Times New Roman"/>
                <w:sz w:val="24"/>
                <w:szCs w:val="24"/>
              </w:rPr>
              <m:t>R</m:t>
            </m:r>
            <m:ctrlPr>
              <w:rPr>
                <w:rFonts w:hint="default" w:ascii="Cambria Math" w:hAnsi="Cambria Math" w:eastAsia="楷体" w:cs="Times New Roman"/>
                <w:bCs/>
                <w:sz w:val="24"/>
                <w:szCs w:val="24"/>
              </w:rPr>
            </m:ctrlPr>
          </m:den>
        </m:f>
      </m:oMath>
      <w:r>
        <w:rPr>
          <w:rFonts w:hint="default" w:ascii="Times New Roman" w:hAnsi="Times New Roman" w:eastAsia="楷体" w:cs="Times New Roman"/>
          <w:bCs/>
          <w:sz w:val="24"/>
          <w:szCs w:val="24"/>
        </w:rPr>
        <w:t>×</w:t>
      </w:r>
      <m:oMath>
        <m:f>
          <m:fPr>
            <m:ctrlPr>
              <w:rPr>
                <w:rFonts w:hint="default" w:ascii="Cambria Math" w:hAnsi="Cambria Math" w:eastAsia="楷体" w:cs="Times New Roman"/>
                <w:bCs/>
                <w:sz w:val="24"/>
                <w:szCs w:val="24"/>
              </w:rPr>
            </m:ctrlPr>
          </m:fPr>
          <m:num>
            <m:r>
              <m:rPr>
                <m:sty m:val="p"/>
              </m:rPr>
              <w:rPr>
                <w:rFonts w:hint="default" w:ascii="Cambria Math" w:hAnsi="Cambria Math" w:eastAsia="楷体" w:cs="Times New Roman"/>
                <w:sz w:val="24"/>
                <w:szCs w:val="24"/>
              </w:rPr>
              <m:t>1</m:t>
            </m:r>
            <m:ctrlPr>
              <w:rPr>
                <w:rFonts w:hint="default" w:ascii="Cambria Math" w:hAnsi="Cambria Math" w:eastAsia="楷体" w:cs="Times New Roman"/>
                <w:bCs/>
                <w:sz w:val="24"/>
                <w:szCs w:val="24"/>
              </w:rPr>
            </m:ctrlPr>
          </m:num>
          <m:den>
            <m:r>
              <m:rPr>
                <m:sty m:val="p"/>
              </m:rPr>
              <w:rPr>
                <w:rFonts w:hint="default" w:ascii="Cambria Math" w:hAnsi="Cambria Math" w:eastAsia="楷体" w:cs="Times New Roman"/>
                <w:sz w:val="24"/>
                <w:szCs w:val="24"/>
              </w:rPr>
              <m:t>T</m:t>
            </m:r>
            <m:ctrlPr>
              <w:rPr>
                <w:rFonts w:hint="default" w:ascii="Cambria Math" w:hAnsi="Cambria Math" w:eastAsia="楷体" w:cs="Times New Roman"/>
                <w:bCs/>
                <w:sz w:val="24"/>
                <w:szCs w:val="24"/>
              </w:rPr>
            </m:ctrlPr>
          </m:den>
        </m:f>
        <m:r>
          <m:rPr>
            <m:sty m:val="p"/>
          </m:rPr>
          <w:rPr>
            <w:rFonts w:hint="default" w:ascii="Cambria Math" w:hAnsi="Cambria Math" w:eastAsia="楷体" w:cs="Times New Roman"/>
            <w:sz w:val="24"/>
            <w:szCs w:val="24"/>
          </w:rPr>
          <m:t>−</m:t>
        </m:r>
        <m:func>
          <m:funcPr>
            <m:ctrlPr>
              <w:rPr>
                <w:rFonts w:hint="default" w:ascii="Cambria Math" w:hAnsi="Cambria Math" w:eastAsia="楷体" w:cs="Times New Roman"/>
                <w:bCs/>
                <w:sz w:val="24"/>
                <w:szCs w:val="24"/>
              </w:rPr>
            </m:ctrlPr>
          </m:funcPr>
          <m:fName>
            <m:r>
              <m:rPr>
                <m:sty m:val="p"/>
              </m:rPr>
              <w:rPr>
                <w:rFonts w:hint="default" w:ascii="Cambria Math" w:hAnsi="Cambria Math" w:eastAsia="楷体" w:cs="Times New Roman"/>
                <w:sz w:val="24"/>
                <w:szCs w:val="24"/>
              </w:rPr>
              <m:t>ln</m:t>
            </m:r>
            <m:ctrlPr>
              <w:rPr>
                <w:rFonts w:hint="default" w:ascii="Cambria Math" w:hAnsi="Cambria Math" w:eastAsia="楷体" w:cs="Times New Roman"/>
                <w:bCs/>
                <w:sz w:val="24"/>
                <w:szCs w:val="24"/>
              </w:rPr>
            </m:ctrlPr>
          </m:fName>
          <m:e>
            <m:r>
              <m:rPr>
                <m:sty m:val="p"/>
              </m:rPr>
              <w:rPr>
                <w:rFonts w:hint="default" w:ascii="Cambria Math" w:hAnsi="Cambria Math" w:eastAsia="楷体" w:cs="Times New Roman"/>
                <w:sz w:val="24"/>
                <w:szCs w:val="24"/>
              </w:rPr>
              <m:t>A</m:t>
            </m:r>
            <m:ctrlPr>
              <w:rPr>
                <w:rFonts w:hint="default" w:ascii="Cambria Math" w:hAnsi="Cambria Math" w:eastAsia="楷体" w:cs="Times New Roman"/>
                <w:bCs/>
                <w:sz w:val="24"/>
                <w:szCs w:val="24"/>
              </w:rPr>
            </m:ctrlPr>
          </m:e>
        </m:func>
      </m:oMath>
      <w:r>
        <w:rPr>
          <w:rFonts w:hint="default" w:ascii="Times New Roman" w:hAnsi="Times New Roman" w:eastAsia="楷体" w:cs="Times New Roman"/>
          <w:bCs/>
          <w:sz w:val="24"/>
          <w:szCs w:val="24"/>
        </w:rPr>
        <w:t xml:space="preserv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(2)    </w:t>
      </w:r>
    </w:p>
    <w:p w14:paraId="13F0D50A">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Whereby fitting the slope </w:t>
      </w:r>
      <m:oMath>
        <m:f>
          <m:fPr>
            <m:ctrlPr>
              <w:rPr>
                <w:rFonts w:hint="default" w:ascii="Cambria Math" w:hAnsi="Cambria Math" w:eastAsia="楷体" w:cs="Times New Roman"/>
                <w:bCs/>
                <w:sz w:val="24"/>
                <w:szCs w:val="24"/>
              </w:rPr>
            </m:ctrlPr>
          </m:fPr>
          <m:num>
            <m:sSub>
              <m:sSubPr>
                <m:ctrlPr>
                  <w:rPr>
                    <w:rFonts w:hint="default" w:ascii="Cambria Math" w:hAnsi="Cambria Math" w:eastAsia="楷体" w:cs="Times New Roman"/>
                    <w:bCs/>
                    <w:i/>
                    <w:sz w:val="24"/>
                    <w:szCs w:val="24"/>
                  </w:rPr>
                </m:ctrlPr>
              </m:sSubPr>
              <m:e>
                <m:r>
                  <m:rPr/>
                  <w:rPr>
                    <w:rFonts w:hint="default" w:ascii="Cambria Math" w:hAnsi="Cambria Math" w:eastAsia="楷体" w:cs="Times New Roman"/>
                    <w:sz w:val="24"/>
                    <w:szCs w:val="24"/>
                  </w:rPr>
                  <m:t>E</m:t>
                </m:r>
                <m:ctrlPr>
                  <w:rPr>
                    <w:rFonts w:hint="default" w:ascii="Cambria Math" w:hAnsi="Cambria Math" w:eastAsia="楷体" w:cs="Times New Roman"/>
                    <w:bCs/>
                    <w:i/>
                    <w:sz w:val="24"/>
                    <w:szCs w:val="24"/>
                  </w:rPr>
                </m:ctrlPr>
              </m:e>
              <m:sub>
                <m:r>
                  <m:rPr/>
                  <w:rPr>
                    <w:rFonts w:hint="default" w:ascii="Cambria Math" w:hAnsi="Cambria Math" w:eastAsia="楷体" w:cs="Times New Roman"/>
                    <w:sz w:val="24"/>
                    <w:szCs w:val="24"/>
                  </w:rPr>
                  <m:t>a</m:t>
                </m:r>
                <m:ctrlPr>
                  <w:rPr>
                    <w:rFonts w:hint="default" w:ascii="Cambria Math" w:hAnsi="Cambria Math" w:eastAsia="楷体" w:cs="Times New Roman"/>
                    <w:bCs/>
                    <w:i/>
                    <w:sz w:val="24"/>
                    <w:szCs w:val="24"/>
                  </w:rPr>
                </m:ctrlPr>
              </m:sub>
            </m:sSub>
            <m:ctrlPr>
              <w:rPr>
                <w:rFonts w:hint="default" w:ascii="Cambria Math" w:hAnsi="Cambria Math" w:eastAsia="楷体" w:cs="Times New Roman"/>
                <w:bCs/>
                <w:sz w:val="24"/>
                <w:szCs w:val="24"/>
              </w:rPr>
            </m:ctrlPr>
          </m:num>
          <m:den>
            <m:r>
              <m:rPr/>
              <w:rPr>
                <w:rFonts w:hint="default" w:ascii="Cambria Math" w:hAnsi="Cambria Math" w:eastAsia="楷体" w:cs="Times New Roman"/>
                <w:sz w:val="24"/>
                <w:szCs w:val="24"/>
              </w:rPr>
              <m:t>R</m:t>
            </m:r>
            <m:ctrlPr>
              <w:rPr>
                <w:rFonts w:hint="default" w:ascii="Cambria Math" w:hAnsi="Cambria Math" w:eastAsia="楷体" w:cs="Times New Roman"/>
                <w:bCs/>
                <w:sz w:val="24"/>
                <w:szCs w:val="24"/>
              </w:rPr>
            </m:ctrlPr>
          </m:den>
        </m:f>
      </m:oMath>
      <w:r>
        <w:rPr>
          <w:rFonts w:hint="default" w:ascii="Times New Roman" w:hAnsi="Times New Roman" w:cs="Times New Roman"/>
          <w:bCs/>
          <w:sz w:val="24"/>
          <w:szCs w:val="24"/>
        </w:rPr>
        <w:t xml:space="preserve"> </w:t>
      </w:r>
      <w:r>
        <w:rPr>
          <w:rFonts w:hint="default" w:ascii="Times New Roman" w:hAnsi="Times New Roman" w:cs="Times New Roman"/>
          <w:sz w:val="24"/>
          <w:szCs w:val="24"/>
        </w:rPr>
        <w:t xml:space="preserve">of this linear equation, the </w:t>
      </w:r>
      <w:r>
        <w:rPr>
          <w:rFonts w:hint="default" w:ascii="Times New Roman" w:hAnsi="Times New Roman" w:cs="Times New Roman"/>
          <w:i/>
          <w:iCs/>
          <w:sz w:val="24"/>
          <w:szCs w:val="24"/>
        </w:rPr>
        <w:t>E</w:t>
      </w:r>
      <w:r>
        <w:rPr>
          <w:rFonts w:hint="default" w:ascii="Times New Roman" w:hAnsi="Times New Roman" w:cs="Times New Roman"/>
          <w:i/>
          <w:iCs/>
          <w:sz w:val="24"/>
          <w:szCs w:val="24"/>
          <w:vertAlign w:val="subscript"/>
        </w:rPr>
        <w:t>a</w:t>
      </w:r>
      <w:r>
        <w:rPr>
          <w:rFonts w:hint="default" w:ascii="Times New Roman" w:hAnsi="Times New Roman" w:cs="Times New Roman"/>
          <w:sz w:val="24"/>
          <w:szCs w:val="24"/>
        </w:rPr>
        <w:t xml:space="preserve"> can be obtained.</w:t>
      </w:r>
      <w:bookmarkEnd w:id="14"/>
      <w:bookmarkEnd w:id="15"/>
    </w:p>
    <w:p w14:paraId="3BD03ED9">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b/>
          <w:bCs/>
          <w:sz w:val="24"/>
          <w:szCs w:val="24"/>
        </w:rPr>
      </w:pPr>
    </w:p>
    <w:p w14:paraId="2840E005">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b/>
          <w:bCs/>
          <w:sz w:val="24"/>
          <w:szCs w:val="24"/>
        </w:rPr>
      </w:pPr>
      <w:bookmarkStart w:id="16" w:name="OLE_LINK9"/>
      <w:r>
        <w:rPr>
          <w:rFonts w:hint="default" w:ascii="Times New Roman" w:hAnsi="Times New Roman" w:cs="Times New Roman"/>
          <w:b/>
          <w:bCs/>
          <w:sz w:val="24"/>
          <w:szCs w:val="24"/>
        </w:rPr>
        <w:t>Computational Methods</w:t>
      </w:r>
      <w:bookmarkEnd w:id="16"/>
      <w:r>
        <w:rPr>
          <w:rFonts w:hint="default" w:ascii="Times New Roman" w:hAnsi="Times New Roman" w:cs="Times New Roman"/>
          <w:b/>
          <w:bCs/>
          <w:sz w:val="24"/>
          <w:szCs w:val="24"/>
        </w:rPr>
        <w:t xml:space="preserve">: </w:t>
      </w:r>
      <w:r>
        <w:rPr>
          <w:rFonts w:hint="default" w:ascii="Times New Roman" w:hAnsi="Times New Roman" w:cs="Times New Roman"/>
          <w:sz w:val="24"/>
          <w:szCs w:val="24"/>
        </w:rPr>
        <w:t>All the Density-Functional Theory (DFT) calculations were performed using the CP2K package</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based on the GPW (hybrid Gaussian and Plane Waves wavefunctions) method,</w:t>
      </w:r>
      <w:r>
        <w:rPr>
          <w:rFonts w:hint="default" w:ascii="Times New Roman" w:hAnsi="Times New Roman" w:cs="Times New Roman"/>
          <w:sz w:val="24"/>
          <w:szCs w:val="24"/>
          <w:vertAlign w:val="superscript"/>
        </w:rPr>
        <w:t>2,3</w:t>
      </w:r>
      <w:r>
        <w:rPr>
          <w:rFonts w:hint="default" w:ascii="Times New Roman" w:hAnsi="Times New Roman" w:cs="Times New Roman"/>
          <w:sz w:val="24"/>
          <w:szCs w:val="24"/>
        </w:rPr>
        <w:t xml:space="preserve"> where the Perdew-Burke-Ernzerhof (PBE) functional</w:t>
      </w:r>
      <w:r>
        <w:rPr>
          <w:rFonts w:hint="default" w:ascii="Times New Roman" w:hAnsi="Times New Roman" w:cs="Times New Roman"/>
          <w:sz w:val="24"/>
          <w:szCs w:val="24"/>
          <w:vertAlign w:val="superscript"/>
        </w:rPr>
        <w:t>4</w:t>
      </w:r>
      <w:r>
        <w:rPr>
          <w:rFonts w:hint="default" w:ascii="Times New Roman" w:hAnsi="Times New Roman" w:cs="Times New Roman"/>
          <w:sz w:val="24"/>
          <w:szCs w:val="24"/>
        </w:rPr>
        <w:t xml:space="preserve"> and the MOLOPT DZVP-MOLOPT-SR-GTH basis set</w:t>
      </w:r>
      <w:r>
        <w:rPr>
          <w:rFonts w:hint="default" w:ascii="Times New Roman" w:hAnsi="Times New Roman" w:cs="Times New Roman"/>
          <w:sz w:val="24"/>
          <w:szCs w:val="24"/>
          <w:vertAlign w:val="superscript"/>
        </w:rPr>
        <w:t>5</w:t>
      </w:r>
      <w:r>
        <w:rPr>
          <w:rFonts w:hint="default" w:ascii="Times New Roman" w:hAnsi="Times New Roman" w:cs="Times New Roman"/>
          <w:sz w:val="24"/>
          <w:szCs w:val="24"/>
        </w:rPr>
        <w:t xml:space="preserve"> along with its relativistic, norm-conserving Godecker-Teter-Hutter (GTH)</w:t>
      </w:r>
      <w:r>
        <w:rPr>
          <w:rFonts w:hint="default" w:ascii="Times New Roman" w:hAnsi="Times New Roman" w:cs="Times New Roman"/>
          <w:sz w:val="24"/>
          <w:szCs w:val="24"/>
          <w:vertAlign w:val="superscript"/>
        </w:rPr>
        <w:t>6-8</w:t>
      </w:r>
      <w:r>
        <w:rPr>
          <w:rFonts w:hint="default" w:ascii="Times New Roman" w:hAnsi="Times New Roman" w:cs="Times New Roman"/>
          <w:sz w:val="24"/>
          <w:szCs w:val="24"/>
        </w:rPr>
        <w:t xml:space="preserve"> pseudopotentials were employed to expand the valence electron density and represent the interaction between atomic nuclei, respectively. A kinetic-energy cutoff of 450 Ry was truncated for the density expansion in an auxiliary plane waves basis, and a 50 Ry cutoff for the Gaussian distribution grid. To minimize the interatomic forces, the quasi-Newton Broyden-Fletcher-Goldfarb-Shanno (BFGS) algorithm for geometric optimization was applied with a convergence criterion of 6*10</w:t>
      </w:r>
      <w:r>
        <w:rPr>
          <w:rFonts w:hint="default" w:ascii="Times New Roman" w:hAnsi="Times New Roman" w:cs="Times New Roman"/>
          <w:sz w:val="24"/>
          <w:szCs w:val="24"/>
          <w:vertAlign w:val="superscript"/>
        </w:rPr>
        <w:t>-4</w:t>
      </w:r>
      <w:r>
        <w:rPr>
          <w:rFonts w:hint="default" w:ascii="Times New Roman" w:hAnsi="Times New Roman" w:cs="Times New Roman"/>
          <w:sz w:val="24"/>
          <w:szCs w:val="24"/>
        </w:rPr>
        <w:t xml:space="preserve"> Ha bohr</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in the energy gradients. </w:t>
      </w:r>
    </w:p>
    <w:p w14:paraId="70876654">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70F628B6">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p>
    <w:p w14:paraId="5F792D22">
      <w:pPr>
        <w:keepNext w:val="0"/>
        <w:keepLines w:val="0"/>
        <w:pageBreakBefore w:val="0"/>
        <w:kinsoku/>
        <w:overflowPunct/>
        <w:topLinePunct w:val="0"/>
        <w:autoSpaceDE w:val="0"/>
        <w:autoSpaceDN/>
        <w:bidi w:val="0"/>
        <w:spacing w:beforeAutospacing="0" w:after="0" w:afterAutospacing="0" w:line="480" w:lineRule="auto"/>
        <w:textAlignment w:val="auto"/>
        <w:rPr>
          <w:rFonts w:hint="default" w:ascii="Times New Roman" w:hAnsi="Times New Roman" w:eastAsia="楷体" w:cs="Times New Roman"/>
          <w:sz w:val="24"/>
          <w:szCs w:val="24"/>
        </w:rPr>
      </w:pPr>
      <w:r>
        <w:rPr>
          <w:rFonts w:hint="default" w:ascii="Times New Roman" w:hAnsi="Times New Roman" w:eastAsia="楷体" w:cs="Times New Roman"/>
          <w:sz w:val="24"/>
          <w:szCs w:val="24"/>
        </w:rPr>
        <w:t xml:space="preserve"> </w:t>
      </w:r>
    </w:p>
    <w:p w14:paraId="67A258A4">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5F89BA73">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5E7E0B59">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656655B8">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3875D64A">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0C6D23D2">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043EE494">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45249FC1">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37F3186B">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267ACAFA">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431C66EC">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sz w:val="24"/>
          <w:szCs w:val="24"/>
        </w:rPr>
      </w:pPr>
    </w:p>
    <w:p w14:paraId="32C60192">
      <w:pPr>
        <w:keepNext w:val="0"/>
        <w:keepLines w:val="0"/>
        <w:pageBreakBefore w:val="0"/>
        <w:widowControl/>
        <w:kinsoku/>
        <w:wordWrap/>
        <w:overflowPunct/>
        <w:topLinePunct w:val="0"/>
        <w:autoSpaceDE/>
        <w:autoSpaceDN/>
        <w:bidi w:val="0"/>
        <w:adjustRightInd w:val="0"/>
        <w:snapToGrid w:val="0"/>
        <w:spacing w:beforeAutospacing="0" w:after="0" w:afterAutospacing="0" w:line="480" w:lineRule="auto"/>
        <w:jc w:val="both"/>
        <w:textAlignment w:val="auto"/>
        <w:rPr>
          <w:rFonts w:hint="eastAsia" w:ascii="Times New Roman" w:hAnsi="Times New Roman" w:cs="Times New Roman"/>
          <w:b/>
          <w:sz w:val="28"/>
          <w:szCs w:val="28"/>
          <w:lang w:val="en-US" w:eastAsia="zh-CN"/>
        </w:rPr>
      </w:pPr>
      <w:bookmarkStart w:id="17" w:name="OLE_LINK6"/>
      <w:r>
        <w:rPr>
          <w:rFonts w:hint="eastAsia" w:ascii="Times New Roman" w:hAnsi="Times New Roman" w:cs="Times New Roman"/>
          <w:b/>
          <w:sz w:val="28"/>
          <w:szCs w:val="28"/>
          <w:lang w:val="en-US" w:eastAsia="zh-CN"/>
        </w:rPr>
        <w:t>2. Supporting Figures</w:t>
      </w:r>
      <w:bookmarkEnd w:id="17"/>
      <w:r>
        <w:rPr>
          <w:rFonts w:hint="eastAsia" w:ascii="Times New Roman" w:hAnsi="Times New Roman" w:cs="Times New Roman"/>
          <w:b/>
          <w:sz w:val="28"/>
          <w:szCs w:val="28"/>
          <w:lang w:val="en-US" w:eastAsia="zh-CN"/>
        </w:rPr>
        <w:t xml:space="preserve"> </w:t>
      </w:r>
    </w:p>
    <w:p w14:paraId="137BCEE2">
      <w:pPr>
        <w:keepNext w:val="0"/>
        <w:keepLines w:val="0"/>
        <w:pageBreakBefore w:val="0"/>
        <w:widowControl/>
        <w:kinsoku/>
        <w:wordWrap/>
        <w:overflowPunct/>
        <w:topLinePunct w:val="0"/>
        <w:autoSpaceDE/>
        <w:autoSpaceDN/>
        <w:bidi w:val="0"/>
        <w:adjustRightInd w:val="0"/>
        <w:snapToGrid w:val="0"/>
        <w:spacing w:beforeAutospacing="0" w:after="0" w:afterAutospacing="0" w:line="480" w:lineRule="auto"/>
        <w:jc w:val="both"/>
        <w:textAlignment w:val="auto"/>
        <w:rPr>
          <w:rFonts w:hint="default" w:ascii="Times New Roman" w:hAnsi="Times New Roman" w:cs="Times New Roman"/>
          <w:b/>
          <w:sz w:val="28"/>
          <w:szCs w:val="28"/>
          <w:lang w:val="en-US" w:eastAsia="zh-CN"/>
        </w:rPr>
      </w:pPr>
    </w:p>
    <w:p w14:paraId="76CFD0B7">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eastAsia="楷体" w:cs="Times New Roman"/>
          <w:sz w:val="24"/>
          <w:szCs w:val="24"/>
        </w:rPr>
        <w:t xml:space="preserve"> </w:t>
      </w:r>
      <w:r>
        <w:rPr>
          <w:rFonts w:hint="default" w:ascii="Times New Roman" w:hAnsi="Times New Roman" w:cs="Times New Roman"/>
        </w:rPr>
        <w:drawing>
          <wp:inline distT="0" distB="0" distL="0" distR="0">
            <wp:extent cx="5219700" cy="2203450"/>
            <wp:effectExtent l="0" t="0" r="7620" b="6350"/>
            <wp:docPr id="2" name="图片 1" descr="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tif"/>
                    <pic:cNvPicPr>
                      <a:picLocks noChangeAspect="1"/>
                    </pic:cNvPicPr>
                  </pic:nvPicPr>
                  <pic:blipFill>
                    <a:blip r:embed="rId5" cstate="print"/>
                    <a:stretch>
                      <a:fillRect/>
                    </a:stretch>
                  </pic:blipFill>
                  <pic:spPr>
                    <a:xfrm>
                      <a:off x="0" y="0"/>
                      <a:ext cx="5219700" cy="2203704"/>
                    </a:xfrm>
                    <a:prstGeom prst="rect">
                      <a:avLst/>
                    </a:prstGeom>
                  </pic:spPr>
                </pic:pic>
              </a:graphicData>
            </a:graphic>
          </wp:inline>
        </w:drawing>
      </w:r>
    </w:p>
    <w:p w14:paraId="2FE60B96">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Fig.1</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SEM images of (a) Cu-BTC and (b) Fe-TCPP@Cu-BTC.</w:t>
      </w:r>
    </w:p>
    <w:p w14:paraId="10555611">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p>
    <w:p w14:paraId="307BDEDD">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p>
    <w:p w14:paraId="4758B227">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p>
    <w:p w14:paraId="4C7E07F1">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5062855" cy="1319530"/>
            <wp:effectExtent l="0" t="0" r="0" b="0"/>
            <wp:docPr id="7" name="图片 7" descr="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I-2"/>
                    <pic:cNvPicPr>
                      <a:picLocks noChangeAspect="1"/>
                    </pic:cNvPicPr>
                  </pic:nvPicPr>
                  <pic:blipFill>
                    <a:blip r:embed="rId6"/>
                    <a:srcRect r="3870"/>
                    <a:stretch>
                      <a:fillRect/>
                    </a:stretch>
                  </pic:blipFill>
                  <pic:spPr>
                    <a:xfrm>
                      <a:off x="0" y="0"/>
                      <a:ext cx="5062855" cy="1319530"/>
                    </a:xfrm>
                    <a:prstGeom prst="rect">
                      <a:avLst/>
                    </a:prstGeom>
                  </pic:spPr>
                </pic:pic>
              </a:graphicData>
            </a:graphic>
          </wp:inline>
        </w:drawing>
      </w:r>
    </w:p>
    <w:p w14:paraId="2F948130">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EDS mapping of Fe-TCPP@Cu-BTC.</w:t>
      </w:r>
    </w:p>
    <w:p w14:paraId="504FB038">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p>
    <w:p w14:paraId="60EB184F">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1066785A">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3088640" cy="2831465"/>
            <wp:effectExtent l="0" t="0" r="5080" b="3175"/>
            <wp:docPr id="24" name="图片 24" descr="SI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SI4"/>
                    <pic:cNvPicPr>
                      <a:picLocks noChangeAspect="1"/>
                    </pic:cNvPicPr>
                  </pic:nvPicPr>
                  <pic:blipFill>
                    <a:blip r:embed="rId7"/>
                    <a:stretch>
                      <a:fillRect/>
                    </a:stretch>
                  </pic:blipFill>
                  <pic:spPr>
                    <a:xfrm>
                      <a:off x="0" y="0"/>
                      <a:ext cx="3088640" cy="2831465"/>
                    </a:xfrm>
                    <a:prstGeom prst="rect">
                      <a:avLst/>
                    </a:prstGeom>
                  </pic:spPr>
                </pic:pic>
              </a:graphicData>
            </a:graphic>
          </wp:inline>
        </w:drawing>
      </w:r>
    </w:p>
    <w:p w14:paraId="2B706B99">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rPr>
      </w:pPr>
      <w:r>
        <w:rPr>
          <w:rFonts w:hint="default" w:ascii="Times New Roman" w:hAnsi="Times New Roman" w:cs="Times New Roman"/>
          <w:b/>
          <w:bCs/>
          <w:sz w:val="24"/>
          <w:szCs w:val="24"/>
        </w:rPr>
        <w:t xml:space="preserve"> Supplementary Fig.3</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w:t>
      </w:r>
      <w:r>
        <w:rPr>
          <w:rFonts w:hint="default" w:ascii="Times New Roman" w:hAnsi="Times New Roman" w:eastAsia="楷体" w:cs="Times New Roman"/>
          <w:sz w:val="24"/>
          <w:szCs w:val="24"/>
        </w:rPr>
        <w:t xml:space="preserve">The 3-Dimensional tetragonal </w:t>
      </w:r>
      <w:r>
        <w:rPr>
          <w:rFonts w:hint="default" w:ascii="Times New Roman" w:hAnsi="Times New Roman" w:cs="Times New Roman"/>
          <w:sz w:val="24"/>
          <w:szCs w:val="24"/>
        </w:rPr>
        <w:t>framework</w:t>
      </w:r>
      <w:r>
        <w:rPr>
          <w:rFonts w:hint="default" w:ascii="Times New Roman" w:hAnsi="Times New Roman" w:eastAsia="楷体" w:cs="Times New Roman"/>
          <w:sz w:val="24"/>
          <w:szCs w:val="24"/>
        </w:rPr>
        <w:t xml:space="preserve"> of Fe-TCPP@Cu-BTC, a) Fe-TCPP; b) Cu-BTC; c, d) different angles of Fe-TCPP in Cu-BTC). </w:t>
      </w:r>
    </w:p>
    <w:p w14:paraId="79FA960B">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5351E6AB">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rPr>
      </w:pPr>
    </w:p>
    <w:p w14:paraId="1363FB12">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4012565" cy="3070860"/>
            <wp:effectExtent l="0" t="0" r="6985" b="15240"/>
            <wp:docPr id="1" name="图片 0" descr="SI-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SI-2.tif"/>
                    <pic:cNvPicPr>
                      <a:picLocks noChangeAspect="1"/>
                    </pic:cNvPicPr>
                  </pic:nvPicPr>
                  <pic:blipFill>
                    <a:blip r:embed="rId8" cstate="print"/>
                    <a:stretch>
                      <a:fillRect/>
                    </a:stretch>
                  </pic:blipFill>
                  <pic:spPr>
                    <a:xfrm>
                      <a:off x="0" y="0"/>
                      <a:ext cx="4012565" cy="3070860"/>
                    </a:xfrm>
                    <a:prstGeom prst="rect">
                      <a:avLst/>
                    </a:prstGeom>
                  </pic:spPr>
                </pic:pic>
              </a:graphicData>
            </a:graphic>
          </wp:inline>
        </w:drawing>
      </w:r>
    </w:p>
    <w:p w14:paraId="3B3840E4">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Fig.4</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N</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 xml:space="preserve"> adsorption isotherms of Fe-TCPP@Cu-BTC and Cu-BTC.</w:t>
      </w:r>
    </w:p>
    <w:p w14:paraId="499A37BB">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38C823D4">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p>
    <w:p w14:paraId="5DAA25C5">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p>
    <w:p w14:paraId="5C9FE2BF">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4217035" cy="2366645"/>
            <wp:effectExtent l="0" t="0" r="12065" b="14605"/>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9"/>
                    <a:stretch>
                      <a:fillRect/>
                    </a:stretch>
                  </pic:blipFill>
                  <pic:spPr>
                    <a:xfrm>
                      <a:off x="0" y="0"/>
                      <a:ext cx="4217035" cy="2366645"/>
                    </a:xfrm>
                    <a:prstGeom prst="rect">
                      <a:avLst/>
                    </a:prstGeom>
                    <a:noFill/>
                    <a:ln>
                      <a:noFill/>
                    </a:ln>
                  </pic:spPr>
                </pic:pic>
              </a:graphicData>
            </a:graphic>
          </wp:inline>
        </w:drawing>
      </w:r>
    </w:p>
    <w:p w14:paraId="0FD79678">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Fig.5</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a) N</w:t>
      </w:r>
      <w:r>
        <w:rPr>
          <w:rFonts w:hint="default" w:ascii="Times New Roman" w:hAnsi="Times New Roman" w:eastAsia="楷体" w:cs="Times New Roman"/>
        </w:rPr>
        <w:t xml:space="preserve"> 1s, b) O 1s and c) Cl 1sXPS sepctra of Fe-TCPP</w:t>
      </w:r>
      <w:r>
        <w:rPr>
          <w:rFonts w:hint="default" w:ascii="Times New Roman" w:hAnsi="Times New Roman" w:cs="Times New Roman"/>
        </w:rPr>
        <w:t xml:space="preserve"> and </w:t>
      </w:r>
      <w:r>
        <w:rPr>
          <w:rFonts w:hint="default" w:ascii="Times New Roman" w:hAnsi="Times New Roman" w:eastAsia="楷体" w:cs="Times New Roman"/>
        </w:rPr>
        <w:t>Fe-TCPP@</w:t>
      </w:r>
      <w:r>
        <w:rPr>
          <w:rFonts w:hint="default" w:ascii="Times New Roman" w:hAnsi="Times New Roman" w:cs="Times New Roman"/>
        </w:rPr>
        <w:t>Cu-BTC</w:t>
      </w:r>
      <w:r>
        <w:rPr>
          <w:rFonts w:hint="default" w:ascii="Times New Roman" w:hAnsi="Times New Roman" w:cs="Times New Roman"/>
          <w:sz w:val="24"/>
          <w:szCs w:val="24"/>
        </w:rPr>
        <w:t>.</w:t>
      </w:r>
    </w:p>
    <w:p w14:paraId="30625390">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p>
    <w:p w14:paraId="6B65F957">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p>
    <w:p w14:paraId="4F005F8E">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p>
    <w:p w14:paraId="6851992D">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3051175" cy="2099945"/>
            <wp:effectExtent l="0" t="0" r="15875" b="14605"/>
            <wp:docPr id="3" name="图片 2" descr="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tif"/>
                    <pic:cNvPicPr>
                      <a:picLocks noChangeAspect="1"/>
                    </pic:cNvPicPr>
                  </pic:nvPicPr>
                  <pic:blipFill>
                    <a:blip r:embed="rId10" cstate="print"/>
                    <a:stretch>
                      <a:fillRect/>
                    </a:stretch>
                  </pic:blipFill>
                  <pic:spPr>
                    <a:xfrm>
                      <a:off x="0" y="0"/>
                      <a:ext cx="3051175" cy="2099945"/>
                    </a:xfrm>
                    <a:prstGeom prst="rect">
                      <a:avLst/>
                    </a:prstGeom>
                  </pic:spPr>
                </pic:pic>
              </a:graphicData>
            </a:graphic>
          </wp:inline>
        </w:drawing>
      </w:r>
    </w:p>
    <w:p w14:paraId="101E73B3">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Fig.6</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Solubility test of Fe-TCPP, Cu-BTC and Fe-TCPP@Cu-BTC in electrolyte. </w:t>
      </w:r>
    </w:p>
    <w:p w14:paraId="0B178361">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69C48BA1">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p>
    <w:p w14:paraId="27D85AAA">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3789045" cy="2079625"/>
            <wp:effectExtent l="0" t="0" r="1905" b="15875"/>
            <wp:docPr id="8" name="图片 3" descr="SI-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SI-4.tif"/>
                    <pic:cNvPicPr>
                      <a:picLocks noChangeAspect="1"/>
                    </pic:cNvPicPr>
                  </pic:nvPicPr>
                  <pic:blipFill>
                    <a:blip r:embed="rId11" cstate="print"/>
                    <a:stretch>
                      <a:fillRect/>
                    </a:stretch>
                  </pic:blipFill>
                  <pic:spPr>
                    <a:xfrm>
                      <a:off x="0" y="0"/>
                      <a:ext cx="3789045" cy="2079625"/>
                    </a:xfrm>
                    <a:prstGeom prst="rect">
                      <a:avLst/>
                    </a:prstGeom>
                  </pic:spPr>
                </pic:pic>
              </a:graphicData>
            </a:graphic>
          </wp:inline>
        </w:drawing>
      </w:r>
    </w:p>
    <w:p w14:paraId="4D3F8EC9">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Fig.7</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Visualized adsorption tests of Li</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S</w:t>
      </w:r>
      <w:r>
        <w:rPr>
          <w:rFonts w:hint="default" w:ascii="Times New Roman" w:hAnsi="Times New Roman" w:cs="Times New Roman"/>
          <w:sz w:val="24"/>
          <w:szCs w:val="24"/>
          <w:vertAlign w:val="subscript"/>
        </w:rPr>
        <w:t>6</w:t>
      </w:r>
      <w:r>
        <w:rPr>
          <w:rFonts w:hint="default" w:ascii="Times New Roman" w:hAnsi="Times New Roman" w:cs="Times New Roman"/>
          <w:sz w:val="24"/>
          <w:szCs w:val="24"/>
        </w:rPr>
        <w:t>. Polysulfide adsorption tests of Fe-TCPP@Cu-BTC, Fe-TCPP, Cu-BTC and CNTs.</w:t>
      </w:r>
    </w:p>
    <w:p w14:paraId="0905F326">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p>
    <w:p w14:paraId="11FAABAC">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2049780" cy="3928110"/>
            <wp:effectExtent l="0" t="0" r="7620" b="1524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2"/>
                    <a:stretch>
                      <a:fillRect/>
                    </a:stretch>
                  </pic:blipFill>
                  <pic:spPr>
                    <a:xfrm>
                      <a:off x="0" y="0"/>
                      <a:ext cx="2049780" cy="3928110"/>
                    </a:xfrm>
                    <a:prstGeom prst="rect">
                      <a:avLst/>
                    </a:prstGeom>
                    <a:noFill/>
                    <a:ln>
                      <a:noFill/>
                    </a:ln>
                  </pic:spPr>
                </pic:pic>
              </a:graphicData>
            </a:graphic>
          </wp:inline>
        </w:drawing>
      </w:r>
    </w:p>
    <w:p w14:paraId="70CF38E0">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eastAsia="楷体" w:cs="Times New Roman"/>
          <w:sz w:val="24"/>
          <w:szCs w:val="24"/>
        </w:rPr>
      </w:pPr>
      <w:r>
        <w:rPr>
          <w:rFonts w:hint="default" w:ascii="Times New Roman" w:hAnsi="Times New Roman" w:cs="Times New Roman"/>
          <w:b/>
          <w:bCs/>
          <w:sz w:val="24"/>
          <w:szCs w:val="24"/>
        </w:rPr>
        <w:t>Supplementary Fig.8</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w:t>
      </w:r>
      <w:r>
        <w:rPr>
          <w:rFonts w:hint="default" w:ascii="Times New Roman" w:hAnsi="Times New Roman" w:eastAsia="楷体" w:cs="Times New Roman"/>
          <w:sz w:val="24"/>
          <w:szCs w:val="24"/>
        </w:rPr>
        <w:t>Li 1s  XPS spectra of Li</w:t>
      </w:r>
      <w:r>
        <w:rPr>
          <w:rFonts w:hint="default" w:ascii="Times New Roman" w:hAnsi="Times New Roman" w:eastAsia="楷体" w:cs="Times New Roman"/>
          <w:sz w:val="24"/>
          <w:szCs w:val="24"/>
          <w:vertAlign w:val="subscript"/>
        </w:rPr>
        <w:t>2</w:t>
      </w:r>
      <w:r>
        <w:rPr>
          <w:rFonts w:hint="default" w:ascii="Times New Roman" w:hAnsi="Times New Roman" w:eastAsia="楷体" w:cs="Times New Roman"/>
          <w:sz w:val="24"/>
          <w:szCs w:val="24"/>
        </w:rPr>
        <w:t>S</w:t>
      </w:r>
      <w:r>
        <w:rPr>
          <w:rFonts w:hint="default" w:ascii="Times New Roman" w:hAnsi="Times New Roman" w:eastAsia="楷体" w:cs="Times New Roman"/>
          <w:sz w:val="24"/>
          <w:szCs w:val="24"/>
          <w:vertAlign w:val="subscript"/>
        </w:rPr>
        <w:t>6</w:t>
      </w:r>
      <w:r>
        <w:rPr>
          <w:rFonts w:hint="default" w:ascii="Times New Roman" w:hAnsi="Times New Roman" w:eastAsia="楷体" w:cs="Times New Roman"/>
          <w:sz w:val="24"/>
          <w:szCs w:val="24"/>
        </w:rPr>
        <w:t xml:space="preserve"> treated Fe-TCPP@Cu-BTC, Cu-BTC, Fe-TCPP and CNTs.</w:t>
      </w:r>
    </w:p>
    <w:p w14:paraId="19D2A333">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r>
        <w:rPr>
          <w:rFonts w:hint="default" w:ascii="Times New Roman" w:hAnsi="Times New Roman" w:cs="Times New Roman"/>
        </w:rPr>
        <w:br w:type="page"/>
      </w:r>
    </w:p>
    <w:p w14:paraId="2A77ECFE">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4731385" cy="1932940"/>
            <wp:effectExtent l="0" t="0" r="12065" b="10160"/>
            <wp:docPr id="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
                    <pic:cNvPicPr>
                      <a:picLocks noChangeAspect="1"/>
                    </pic:cNvPicPr>
                  </pic:nvPicPr>
                  <pic:blipFill>
                    <a:blip r:embed="rId13"/>
                    <a:stretch>
                      <a:fillRect/>
                    </a:stretch>
                  </pic:blipFill>
                  <pic:spPr>
                    <a:xfrm>
                      <a:off x="0" y="0"/>
                      <a:ext cx="4731385" cy="1932940"/>
                    </a:xfrm>
                    <a:prstGeom prst="rect">
                      <a:avLst/>
                    </a:prstGeom>
                    <a:noFill/>
                    <a:ln>
                      <a:noFill/>
                    </a:ln>
                  </pic:spPr>
                </pic:pic>
              </a:graphicData>
            </a:graphic>
          </wp:inline>
        </w:drawing>
      </w:r>
    </w:p>
    <w:p w14:paraId="4AB1BD07">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eastAsia="楷体" w:cs="Times New Roman"/>
        </w:rPr>
      </w:pPr>
      <w:r>
        <w:rPr>
          <w:rFonts w:hint="default" w:ascii="Times New Roman" w:hAnsi="Times New Roman" w:cs="Times New Roman"/>
          <w:b/>
          <w:bCs/>
          <w:sz w:val="24"/>
          <w:szCs w:val="24"/>
        </w:rPr>
        <w:t>Supplementary Fig.9</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a) </w:t>
      </w:r>
      <w:r>
        <w:rPr>
          <w:rFonts w:hint="default" w:ascii="Times New Roman" w:hAnsi="Times New Roman" w:eastAsia="楷体" w:cs="Times New Roman"/>
          <w:sz w:val="24"/>
          <w:szCs w:val="24"/>
        </w:rPr>
        <w:t>O 1s XPS spectra of Li</w:t>
      </w:r>
      <w:r>
        <w:rPr>
          <w:rFonts w:hint="default" w:ascii="Times New Roman" w:hAnsi="Times New Roman" w:eastAsia="楷体" w:cs="Times New Roman"/>
          <w:sz w:val="24"/>
          <w:szCs w:val="24"/>
          <w:vertAlign w:val="subscript"/>
        </w:rPr>
        <w:t>2</w:t>
      </w:r>
      <w:r>
        <w:rPr>
          <w:rFonts w:hint="default" w:ascii="Times New Roman" w:hAnsi="Times New Roman" w:eastAsia="楷体" w:cs="Times New Roman"/>
          <w:sz w:val="24"/>
          <w:szCs w:val="24"/>
        </w:rPr>
        <w:t>S</w:t>
      </w:r>
      <w:r>
        <w:rPr>
          <w:rFonts w:hint="default" w:ascii="Times New Roman" w:hAnsi="Times New Roman" w:eastAsia="楷体" w:cs="Times New Roman"/>
          <w:sz w:val="24"/>
          <w:szCs w:val="24"/>
          <w:vertAlign w:val="subscript"/>
        </w:rPr>
        <w:t>6</w:t>
      </w:r>
      <w:r>
        <w:rPr>
          <w:rFonts w:hint="default" w:ascii="Times New Roman" w:hAnsi="Times New Roman" w:eastAsia="楷体" w:cs="Times New Roman"/>
          <w:sz w:val="24"/>
          <w:szCs w:val="24"/>
        </w:rPr>
        <w:t xml:space="preserve"> treated Fe-TCPP@Cu-BTC and Cu-BTC; b) O 1s XPS spectra of Li</w:t>
      </w:r>
      <w:r>
        <w:rPr>
          <w:rFonts w:hint="default" w:ascii="Times New Roman" w:hAnsi="Times New Roman" w:eastAsia="楷体" w:cs="Times New Roman"/>
          <w:sz w:val="24"/>
          <w:szCs w:val="24"/>
          <w:vertAlign w:val="subscript"/>
        </w:rPr>
        <w:t>2</w:t>
      </w:r>
      <w:r>
        <w:rPr>
          <w:rFonts w:hint="default" w:ascii="Times New Roman" w:hAnsi="Times New Roman" w:eastAsia="楷体" w:cs="Times New Roman"/>
          <w:sz w:val="24"/>
          <w:szCs w:val="24"/>
        </w:rPr>
        <w:t>S</w:t>
      </w:r>
      <w:r>
        <w:rPr>
          <w:rFonts w:hint="default" w:ascii="Times New Roman" w:hAnsi="Times New Roman" w:eastAsia="楷体" w:cs="Times New Roman"/>
          <w:sz w:val="24"/>
          <w:szCs w:val="24"/>
          <w:vertAlign w:val="subscript"/>
        </w:rPr>
        <w:t>6</w:t>
      </w:r>
      <w:r>
        <w:rPr>
          <w:rFonts w:hint="default" w:ascii="Times New Roman" w:hAnsi="Times New Roman" w:eastAsia="楷体" w:cs="Times New Roman"/>
          <w:sz w:val="24"/>
          <w:szCs w:val="24"/>
        </w:rPr>
        <w:t xml:space="preserve"> treated Fe-TCPP@Cu-BTC and Fe-TCPP.</w:t>
      </w:r>
    </w:p>
    <w:p w14:paraId="361F4B0F">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7ED068C8">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0BCB9994">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245C2532">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6C39E789">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3397250" cy="2807970"/>
            <wp:effectExtent l="0" t="0" r="12700" b="11430"/>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noChangeArrowheads="1"/>
                    </pic:cNvPicPr>
                  </pic:nvPicPr>
                  <pic:blipFill>
                    <a:blip r:embed="rId14" cstate="print"/>
                    <a:srcRect/>
                    <a:stretch>
                      <a:fillRect/>
                    </a:stretch>
                  </pic:blipFill>
                  <pic:spPr>
                    <a:xfrm>
                      <a:off x="0" y="0"/>
                      <a:ext cx="3397250" cy="2807970"/>
                    </a:xfrm>
                    <a:prstGeom prst="rect">
                      <a:avLst/>
                    </a:prstGeom>
                    <a:noFill/>
                    <a:ln w="9525">
                      <a:noFill/>
                      <a:miter lim="800000"/>
                      <a:headEnd/>
                      <a:tailEnd/>
                    </a:ln>
                  </pic:spPr>
                </pic:pic>
              </a:graphicData>
            </a:graphic>
          </wp:inline>
        </w:drawing>
      </w:r>
    </w:p>
    <w:p w14:paraId="0B346987">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Fig.10</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CV profiles of the Fe-TCPP@Cu-BTC, Fe-TCPP, Cu-BTC and CNTs electrodes in Li</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S</w:t>
      </w:r>
      <w:r>
        <w:rPr>
          <w:rFonts w:hint="default" w:ascii="Times New Roman" w:hAnsi="Times New Roman" w:cs="Times New Roman"/>
          <w:sz w:val="24"/>
          <w:szCs w:val="24"/>
          <w:vertAlign w:val="subscript"/>
        </w:rPr>
        <w:t>6</w:t>
      </w:r>
      <w:r>
        <w:rPr>
          <w:rFonts w:hint="default" w:ascii="Times New Roman" w:hAnsi="Times New Roman" w:cs="Times New Roman"/>
          <w:sz w:val="24"/>
          <w:szCs w:val="24"/>
        </w:rPr>
        <w:t xml:space="preserve"> symmetric cells.</w:t>
      </w:r>
    </w:p>
    <w:p w14:paraId="6081E91D">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32AC9775">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4221480" cy="3298190"/>
            <wp:effectExtent l="0" t="0" r="7620" b="16510"/>
            <wp:docPr id="33" name="图片 16" descr="SI-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6" descr="SI-6.png"/>
                    <pic:cNvPicPr>
                      <a:picLocks noChangeAspect="1"/>
                    </pic:cNvPicPr>
                  </pic:nvPicPr>
                  <pic:blipFill>
                    <a:blip r:embed="rId15" cstate="print"/>
                    <a:stretch>
                      <a:fillRect/>
                    </a:stretch>
                  </pic:blipFill>
                  <pic:spPr>
                    <a:xfrm>
                      <a:off x="0" y="0"/>
                      <a:ext cx="4221480" cy="3298190"/>
                    </a:xfrm>
                    <a:prstGeom prst="rect">
                      <a:avLst/>
                    </a:prstGeom>
                  </pic:spPr>
                </pic:pic>
              </a:graphicData>
            </a:graphic>
          </wp:inline>
        </w:drawing>
      </w:r>
    </w:p>
    <w:p w14:paraId="4ED7AE97">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Fig.11</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CV profiles of (a) Fe-TCPP@Cu-BTC, (b) Cu-BTC, (c) Fe-TCPP, and (d) CNTs cathode between 1.6 and 2.8 V for the first four cycles, recorded at a scan rate of 0.1 mV s</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w:t>
      </w:r>
    </w:p>
    <w:p w14:paraId="78CE786A">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4E6A2E18">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525A1F51">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4629785" cy="1741805"/>
            <wp:effectExtent l="0" t="0" r="18415" b="10795"/>
            <wp:docPr id="34" name="图片 20" descr="SI-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0" descr="SI-7.png"/>
                    <pic:cNvPicPr>
                      <a:picLocks noChangeAspect="1"/>
                    </pic:cNvPicPr>
                  </pic:nvPicPr>
                  <pic:blipFill>
                    <a:blip r:embed="rId16" cstate="print"/>
                    <a:srcRect t="6686"/>
                    <a:stretch>
                      <a:fillRect/>
                    </a:stretch>
                  </pic:blipFill>
                  <pic:spPr>
                    <a:xfrm>
                      <a:off x="0" y="0"/>
                      <a:ext cx="4629785" cy="1741805"/>
                    </a:xfrm>
                    <a:prstGeom prst="rect">
                      <a:avLst/>
                    </a:prstGeom>
                  </pic:spPr>
                </pic:pic>
              </a:graphicData>
            </a:graphic>
          </wp:inline>
        </w:drawing>
      </w:r>
    </w:p>
    <w:p w14:paraId="7EE088A0">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Supplementary Fig.12 (a) CV profiles of Fe-TCPP@Cu-BTC, Cu-BTC, Fe-TCPP, and CNTs cathodes at a scanning rate of 0.1 mV s</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and a voltage range of 1.6–2.8 V. The insets are magnifications of the corresponding reduction curvesat 2.30–2.45 and 2.00–2.10 V. (b) Peak voltage in the second CV cycle of Fe-TCPP@Cu-BTC, Cu-BTC, Fe-TCPP, and CNTs cathodes.</w:t>
      </w:r>
    </w:p>
    <w:p w14:paraId="6AF0CE02">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3053080" cy="2440940"/>
            <wp:effectExtent l="0" t="0" r="13970" b="16510"/>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pic:cNvPicPr>
                  </pic:nvPicPr>
                  <pic:blipFill>
                    <a:blip r:embed="rId17"/>
                    <a:stretch>
                      <a:fillRect/>
                    </a:stretch>
                  </pic:blipFill>
                  <pic:spPr>
                    <a:xfrm>
                      <a:off x="0" y="0"/>
                      <a:ext cx="3053080" cy="2440940"/>
                    </a:xfrm>
                    <a:prstGeom prst="rect">
                      <a:avLst/>
                    </a:prstGeom>
                    <a:noFill/>
                    <a:ln>
                      <a:noFill/>
                    </a:ln>
                  </pic:spPr>
                </pic:pic>
              </a:graphicData>
            </a:graphic>
          </wp:inline>
        </w:drawing>
      </w:r>
    </w:p>
    <w:p w14:paraId="5FB8733B">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Fig.13</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w:t>
      </w:r>
      <w:r>
        <w:rPr>
          <w:rFonts w:hint="default" w:ascii="Times New Roman" w:hAnsi="Times New Roman" w:eastAsia="楷体" w:cs="Times New Roman"/>
          <w:sz w:val="24"/>
          <w:szCs w:val="24"/>
        </w:rPr>
        <w:t>Tafel plots corresponding to the reductions of Li</w:t>
      </w:r>
      <w:r>
        <w:rPr>
          <w:rFonts w:hint="default" w:ascii="Times New Roman" w:hAnsi="Times New Roman" w:eastAsia="楷体" w:cs="Times New Roman"/>
          <w:sz w:val="24"/>
          <w:szCs w:val="24"/>
          <w:vertAlign w:val="subscript"/>
        </w:rPr>
        <w:t>2</w:t>
      </w:r>
      <w:r>
        <w:rPr>
          <w:rFonts w:hint="default" w:ascii="Times New Roman" w:hAnsi="Times New Roman" w:eastAsia="楷体" w:cs="Times New Roman"/>
          <w:sz w:val="24"/>
          <w:szCs w:val="24"/>
        </w:rPr>
        <w:t>S to Li</w:t>
      </w:r>
      <w:r>
        <w:rPr>
          <w:rFonts w:hint="default" w:ascii="Times New Roman" w:hAnsi="Times New Roman" w:eastAsia="楷体" w:cs="Times New Roman"/>
          <w:sz w:val="24"/>
          <w:szCs w:val="24"/>
          <w:vertAlign w:val="subscript"/>
        </w:rPr>
        <w:t>2</w:t>
      </w:r>
      <w:r>
        <w:rPr>
          <w:rFonts w:hint="default" w:ascii="Times New Roman" w:hAnsi="Times New Roman" w:eastAsia="楷体" w:cs="Times New Roman"/>
          <w:sz w:val="24"/>
          <w:szCs w:val="24"/>
        </w:rPr>
        <w:t>S</w:t>
      </w:r>
      <w:r>
        <w:rPr>
          <w:rFonts w:hint="default" w:ascii="Times New Roman" w:hAnsi="Times New Roman" w:eastAsia="楷体" w:cs="Times New Roman"/>
          <w:sz w:val="24"/>
          <w:szCs w:val="24"/>
          <w:vertAlign w:val="subscript"/>
        </w:rPr>
        <w:t xml:space="preserve">n </w:t>
      </w:r>
      <w:r>
        <w:rPr>
          <w:rFonts w:hint="default" w:ascii="Times New Roman" w:hAnsi="Times New Roman" w:eastAsia="楷体" w:cs="Times New Roman"/>
          <w:sz w:val="24"/>
          <w:szCs w:val="24"/>
        </w:rPr>
        <w:t>for</w:t>
      </w:r>
      <w:r>
        <w:rPr>
          <w:rFonts w:hint="default" w:ascii="Times New Roman" w:hAnsi="Times New Roman" w:cs="Times New Roman"/>
          <w:sz w:val="24"/>
          <w:szCs w:val="24"/>
        </w:rPr>
        <w:t xml:space="preserve"> Fe-TCPP@Cu-BTC, Cu-BTC, Fe-TCPP, and CNTs cathodes.</w:t>
      </w:r>
    </w:p>
    <w:p w14:paraId="5BDAE604">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rPr>
      </w:pPr>
    </w:p>
    <w:p w14:paraId="50A5EF57">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rPr>
      </w:pPr>
    </w:p>
    <w:p w14:paraId="40698F65">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rPr>
      </w:pPr>
    </w:p>
    <w:p w14:paraId="606E9D4E">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rPr>
      </w:pPr>
    </w:p>
    <w:p w14:paraId="72387A50">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2718435" cy="2280285"/>
            <wp:effectExtent l="0" t="0" r="5715" b="5715"/>
            <wp:docPr id="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
                    <pic:cNvPicPr>
                      <a:picLocks noChangeAspect="1"/>
                    </pic:cNvPicPr>
                  </pic:nvPicPr>
                  <pic:blipFill>
                    <a:blip r:embed="rId18"/>
                    <a:stretch>
                      <a:fillRect/>
                    </a:stretch>
                  </pic:blipFill>
                  <pic:spPr>
                    <a:xfrm>
                      <a:off x="0" y="0"/>
                      <a:ext cx="2718435" cy="2280285"/>
                    </a:xfrm>
                    <a:prstGeom prst="rect">
                      <a:avLst/>
                    </a:prstGeom>
                    <a:noFill/>
                    <a:ln>
                      <a:noFill/>
                    </a:ln>
                  </pic:spPr>
                </pic:pic>
              </a:graphicData>
            </a:graphic>
          </wp:inline>
        </w:drawing>
      </w:r>
    </w:p>
    <w:p w14:paraId="63B999C7">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rPr>
      </w:pPr>
      <w:r>
        <w:rPr>
          <w:rFonts w:hint="default" w:ascii="Times New Roman" w:hAnsi="Times New Roman" w:cs="Times New Roman"/>
          <w:b/>
          <w:bCs/>
          <w:sz w:val="24"/>
          <w:szCs w:val="24"/>
        </w:rPr>
        <w:t>Supplementary Fig.14</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CV curves at scanning rates ranging from 0.10 to 0.30 mV s</w:t>
      </w:r>
      <w:r>
        <w:rPr>
          <w:rFonts w:hint="default" w:ascii="Times New Roman" w:hAnsi="Times New Roman" w:cs="Times New Roman"/>
          <w:sz w:val="24"/>
          <w:szCs w:val="24"/>
          <w:vertAlign w:val="superscript"/>
        </w:rPr>
        <w:t xml:space="preserve">–1 </w:t>
      </w:r>
      <w:r>
        <w:rPr>
          <w:rFonts w:hint="default" w:ascii="Times New Roman" w:hAnsi="Times New Roman" w:cs="Times New Roman"/>
          <w:sz w:val="24"/>
          <w:szCs w:val="24"/>
        </w:rPr>
        <w:t>of Fe-TCPP@Cu-BTC</w:t>
      </w:r>
      <w:r>
        <w:rPr>
          <w:rFonts w:hint="default" w:ascii="Times New Roman" w:hAnsi="Times New Roman" w:eastAsia="楷体" w:cs="Times New Roman"/>
          <w:sz w:val="24"/>
          <w:szCs w:val="24"/>
        </w:rPr>
        <w:t>.</w:t>
      </w:r>
    </w:p>
    <w:p w14:paraId="0BFF1FC3">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rPr>
      </w:pPr>
    </w:p>
    <w:p w14:paraId="67E03FBA">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6143E6FA">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25820D89">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5019040" cy="2769870"/>
            <wp:effectExtent l="0" t="0" r="10160" b="11430"/>
            <wp:docPr id="9" name="图片 8" descr="SI-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SI-8.png"/>
                    <pic:cNvPicPr>
                      <a:picLocks noChangeAspect="1"/>
                    </pic:cNvPicPr>
                  </pic:nvPicPr>
                  <pic:blipFill>
                    <a:blip r:embed="rId19" cstate="print"/>
                    <a:stretch>
                      <a:fillRect/>
                    </a:stretch>
                  </pic:blipFill>
                  <pic:spPr>
                    <a:xfrm>
                      <a:off x="0" y="0"/>
                      <a:ext cx="5019040" cy="2769870"/>
                    </a:xfrm>
                    <a:prstGeom prst="rect">
                      <a:avLst/>
                    </a:prstGeom>
                  </pic:spPr>
                </pic:pic>
              </a:graphicData>
            </a:graphic>
          </wp:inline>
        </w:drawing>
      </w:r>
    </w:p>
    <w:p w14:paraId="6E05AFE8">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Fig.15</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CV curves at scanning rates ranging from 0.10 to 0.30 mV s</w:t>
      </w: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 (a) Fe-TCPP, (b) Cu-BTC, and (c) CNTs and the scanning rate dependent peak currents at A, B, and C positions (as marked by dashed lines) for the calculation of Li</w:t>
      </w:r>
      <w:r>
        <w:rPr>
          <w:rFonts w:hint="default" w:ascii="Times New Roman" w:hAnsi="Times New Roman" w:cs="Times New Roman"/>
          <w:sz w:val="24"/>
          <w:szCs w:val="24"/>
          <w:vertAlign w:val="superscript"/>
        </w:rPr>
        <w:t>+</w:t>
      </w:r>
      <w:r>
        <w:rPr>
          <w:rFonts w:hint="default" w:ascii="Times New Roman" w:hAnsi="Times New Roman" w:cs="Times New Roman"/>
          <w:sz w:val="24"/>
          <w:szCs w:val="24"/>
        </w:rPr>
        <w:t xml:space="preserve"> diffusion coefficients of (d) Fe-TCPP, (e) Cu-BTC, and (f) CNTs.</w:t>
      </w:r>
    </w:p>
    <w:p w14:paraId="51BEDAD0">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431C761C">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625F47E1">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p>
    <w:p w14:paraId="31DEF333">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3422015" cy="2397760"/>
            <wp:effectExtent l="0" t="0" r="6985" b="2540"/>
            <wp:docPr id="37" name="图片 9" descr="SI-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 descr="SI-9.tif"/>
                    <pic:cNvPicPr>
                      <a:picLocks noChangeAspect="1"/>
                    </pic:cNvPicPr>
                  </pic:nvPicPr>
                  <pic:blipFill>
                    <a:blip r:embed="rId20" cstate="print"/>
                    <a:srcRect l="6798" t="8040" r="1880" b="1484"/>
                    <a:stretch>
                      <a:fillRect/>
                    </a:stretch>
                  </pic:blipFill>
                  <pic:spPr>
                    <a:xfrm>
                      <a:off x="0" y="0"/>
                      <a:ext cx="3422015" cy="2397760"/>
                    </a:xfrm>
                    <a:prstGeom prst="rect">
                      <a:avLst/>
                    </a:prstGeom>
                  </pic:spPr>
                </pic:pic>
              </a:graphicData>
            </a:graphic>
          </wp:inline>
        </w:drawing>
      </w:r>
    </w:p>
    <w:p w14:paraId="2C613293">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Fig.16</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Potentiostatic intermittent titration technique (PITT) </w:t>
      </w:r>
      <w:r>
        <w:rPr>
          <w:rFonts w:hint="eastAsia" w:ascii="Times New Roman" w:hAnsi="Times New Roman" w:cs="Times New Roman"/>
          <w:sz w:val="24"/>
          <w:szCs w:val="24"/>
          <w:lang w:val="en-US" w:eastAsia="zh-CN"/>
        </w:rPr>
        <w:t>mea</w:t>
      </w:r>
      <w:r>
        <w:rPr>
          <w:rFonts w:hint="default" w:ascii="Times New Roman" w:hAnsi="Times New Roman" w:cs="Times New Roman"/>
          <w:sz w:val="24"/>
          <w:szCs w:val="24"/>
        </w:rPr>
        <w:t>surements of Fe-TCPP@Cu-BTC, Cu-BTC, Fe-TCPP, and CNTs cells.</w:t>
      </w:r>
    </w:p>
    <w:p w14:paraId="2DDBABC4">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62E8EB4A">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4017010" cy="3281045"/>
            <wp:effectExtent l="0" t="0" r="2540" b="14605"/>
            <wp:docPr id="23" name="图片 22" descr="SI-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descr="SI-10.png"/>
                    <pic:cNvPicPr>
                      <a:picLocks noChangeAspect="1"/>
                    </pic:cNvPicPr>
                  </pic:nvPicPr>
                  <pic:blipFill>
                    <a:blip r:embed="rId21" cstate="print"/>
                    <a:stretch>
                      <a:fillRect/>
                    </a:stretch>
                  </pic:blipFill>
                  <pic:spPr>
                    <a:xfrm>
                      <a:off x="0" y="0"/>
                      <a:ext cx="4017010" cy="3281045"/>
                    </a:xfrm>
                    <a:prstGeom prst="rect">
                      <a:avLst/>
                    </a:prstGeom>
                  </pic:spPr>
                </pic:pic>
              </a:graphicData>
            </a:graphic>
          </wp:inline>
        </w:drawing>
      </w:r>
    </w:p>
    <w:p w14:paraId="3A8D8F24">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Fig.17</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Potentiostatic discharge profiles of Li</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S nucleation on Fe-TCPP@Cu-BTC, Cu-BTC, Fe-TCPP, and CNTs cells.</w:t>
      </w:r>
    </w:p>
    <w:p w14:paraId="421E24BC">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1A25BDEC">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33CE810C">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6065B26B">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3597275" cy="2905760"/>
            <wp:effectExtent l="0" t="0" r="0" b="8890"/>
            <wp:docPr id="25" name="图片 25" descr="SI-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SI-18"/>
                    <pic:cNvPicPr>
                      <a:picLocks noChangeAspect="1"/>
                    </pic:cNvPicPr>
                  </pic:nvPicPr>
                  <pic:blipFill>
                    <a:blip r:embed="rId22"/>
                    <a:stretch>
                      <a:fillRect/>
                    </a:stretch>
                  </pic:blipFill>
                  <pic:spPr>
                    <a:xfrm>
                      <a:off x="0" y="0"/>
                      <a:ext cx="3597275" cy="2905760"/>
                    </a:xfrm>
                    <a:prstGeom prst="rect">
                      <a:avLst/>
                    </a:prstGeom>
                  </pic:spPr>
                </pic:pic>
              </a:graphicData>
            </a:graphic>
          </wp:inline>
        </w:drawing>
      </w:r>
    </w:p>
    <w:p w14:paraId="33618536">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Fig.18</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In-situ UV-vis spectra of S</w:t>
      </w:r>
      <w:r>
        <w:rPr>
          <w:rFonts w:hint="default" w:ascii="Times New Roman" w:hAnsi="Times New Roman" w:cs="Times New Roman"/>
          <w:sz w:val="24"/>
          <w:szCs w:val="24"/>
          <w:vertAlign w:val="subscript"/>
        </w:rPr>
        <w:t>8</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 xml:space="preserve"> and S</w:t>
      </w:r>
      <w:r>
        <w:rPr>
          <w:rFonts w:hint="default" w:ascii="Times New Roman" w:hAnsi="Times New Roman" w:cs="Times New Roman"/>
          <w:sz w:val="24"/>
          <w:szCs w:val="24"/>
          <w:vertAlign w:val="subscript"/>
        </w:rPr>
        <w:t>3</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/S</w:t>
      </w:r>
      <w:r>
        <w:rPr>
          <w:rFonts w:hint="default" w:ascii="Times New Roman" w:hAnsi="Times New Roman" w:cs="Times New Roman"/>
          <w:sz w:val="24"/>
          <w:szCs w:val="24"/>
          <w:vertAlign w:val="subscript"/>
        </w:rPr>
        <w:t>3</w:t>
      </w:r>
      <w:r>
        <w:rPr>
          <w:rFonts w:hint="default" w:ascii="Times New Roman" w:hAnsi="Times New Roman" w:cs="Times New Roman"/>
          <w:sz w:val="24"/>
          <w:szCs w:val="24"/>
          <w:vertAlign w:val="superscript"/>
        </w:rPr>
        <w:t>*-</w:t>
      </w:r>
      <w:r>
        <w:rPr>
          <w:rFonts w:hint="default" w:ascii="Times New Roman" w:hAnsi="Times New Roman" w:cs="Times New Roman"/>
          <w:sz w:val="24"/>
          <w:szCs w:val="24"/>
        </w:rPr>
        <w:t xml:space="preserve"> in Li</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S</w:t>
      </w:r>
      <w:r>
        <w:rPr>
          <w:rFonts w:hint="default" w:ascii="Times New Roman" w:hAnsi="Times New Roman" w:cs="Times New Roman"/>
          <w:sz w:val="24"/>
          <w:szCs w:val="24"/>
          <w:vertAlign w:val="subscript"/>
        </w:rPr>
        <w:t>8</w:t>
      </w:r>
      <w:r>
        <w:rPr>
          <w:rFonts w:hint="default" w:ascii="Times New Roman" w:hAnsi="Times New Roman" w:cs="Times New Roman"/>
          <w:sz w:val="24"/>
          <w:szCs w:val="24"/>
        </w:rPr>
        <w:t xml:space="preserve"> solution of Cu-BTC, Fe-TCPP, and CNTs.</w:t>
      </w:r>
    </w:p>
    <w:p w14:paraId="577C02FB">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p>
    <w:p w14:paraId="08ED59D3">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p>
    <w:p w14:paraId="59D915F4">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p>
    <w:p w14:paraId="6B191953">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4192905" cy="3599815"/>
            <wp:effectExtent l="19050" t="0" r="0" b="0"/>
            <wp:docPr id="14" name="图片 13" descr="SI-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SI-13.png"/>
                    <pic:cNvPicPr>
                      <a:picLocks noChangeAspect="1"/>
                    </pic:cNvPicPr>
                  </pic:nvPicPr>
                  <pic:blipFill>
                    <a:blip r:embed="rId23" cstate="print"/>
                    <a:stretch>
                      <a:fillRect/>
                    </a:stretch>
                  </pic:blipFill>
                  <pic:spPr>
                    <a:xfrm>
                      <a:off x="0" y="0"/>
                      <a:ext cx="4192933" cy="3600000"/>
                    </a:xfrm>
                    <a:prstGeom prst="rect">
                      <a:avLst/>
                    </a:prstGeom>
                  </pic:spPr>
                </pic:pic>
              </a:graphicData>
            </a:graphic>
          </wp:inline>
        </w:drawing>
      </w:r>
    </w:p>
    <w:p w14:paraId="4E7025EA">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Fig.19</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In-situ UV-vis spectra of S</w:t>
      </w:r>
      <w:r>
        <w:rPr>
          <w:rFonts w:hint="default" w:ascii="Times New Roman" w:hAnsi="Times New Roman" w:cs="Times New Roman"/>
          <w:sz w:val="24"/>
          <w:szCs w:val="24"/>
          <w:vertAlign w:val="subscript"/>
        </w:rPr>
        <w:t>4</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 xml:space="preserve"> and S</w:t>
      </w:r>
      <w:r>
        <w:rPr>
          <w:rFonts w:hint="default" w:ascii="Times New Roman" w:hAnsi="Times New Roman" w:cs="Times New Roman"/>
          <w:sz w:val="24"/>
          <w:szCs w:val="24"/>
          <w:vertAlign w:val="subscript"/>
        </w:rPr>
        <w:t>3</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/S</w:t>
      </w:r>
      <w:r>
        <w:rPr>
          <w:rFonts w:hint="default" w:ascii="Times New Roman" w:hAnsi="Times New Roman" w:cs="Times New Roman"/>
          <w:sz w:val="24"/>
          <w:szCs w:val="24"/>
          <w:vertAlign w:val="subscript"/>
        </w:rPr>
        <w:t>3</w:t>
      </w:r>
      <w:r>
        <w:rPr>
          <w:rFonts w:hint="default" w:ascii="Times New Roman" w:hAnsi="Times New Roman" w:cs="Times New Roman"/>
          <w:sz w:val="24"/>
          <w:szCs w:val="24"/>
          <w:vertAlign w:val="superscript"/>
        </w:rPr>
        <w:t>*-</w:t>
      </w:r>
      <w:r>
        <w:rPr>
          <w:rFonts w:hint="default" w:ascii="Times New Roman" w:hAnsi="Times New Roman" w:cs="Times New Roman"/>
          <w:sz w:val="24"/>
          <w:szCs w:val="24"/>
        </w:rPr>
        <w:t xml:space="preserve"> in Li</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S</w:t>
      </w:r>
      <w:r>
        <w:rPr>
          <w:rFonts w:hint="default" w:ascii="Times New Roman" w:hAnsi="Times New Roman" w:cs="Times New Roman"/>
          <w:sz w:val="24"/>
          <w:szCs w:val="24"/>
          <w:vertAlign w:val="subscript"/>
        </w:rPr>
        <w:t>4</w:t>
      </w:r>
      <w:r>
        <w:rPr>
          <w:rFonts w:hint="default" w:ascii="Times New Roman" w:hAnsi="Times New Roman" w:cs="Times New Roman"/>
          <w:sz w:val="24"/>
          <w:szCs w:val="24"/>
        </w:rPr>
        <w:t xml:space="preserve"> solution of Fe-TCPP@Cu-BTC, Cu-BTC, Fe-TCPP, and CNTs.</w:t>
      </w:r>
    </w:p>
    <w:p w14:paraId="326D3F34">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sz w:val="24"/>
          <w:szCs w:val="24"/>
        </w:rPr>
        <w:br w:type="page"/>
      </w:r>
      <w:r>
        <w:rPr>
          <w:rFonts w:hint="default" w:ascii="Times New Roman" w:hAnsi="Times New Roman" w:cs="Times New Roman"/>
        </w:rPr>
        <w:drawing>
          <wp:inline distT="0" distB="0" distL="0" distR="0">
            <wp:extent cx="3641090" cy="3924935"/>
            <wp:effectExtent l="0" t="0" r="16510" b="18415"/>
            <wp:docPr id="15" name="图片 14" descr="SI-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SI-14.png"/>
                    <pic:cNvPicPr>
                      <a:picLocks noChangeAspect="1"/>
                    </pic:cNvPicPr>
                  </pic:nvPicPr>
                  <pic:blipFill>
                    <a:blip r:embed="rId24" cstate="print"/>
                    <a:stretch>
                      <a:fillRect/>
                    </a:stretch>
                  </pic:blipFill>
                  <pic:spPr>
                    <a:xfrm>
                      <a:off x="0" y="0"/>
                      <a:ext cx="3641090" cy="3924935"/>
                    </a:xfrm>
                    <a:prstGeom prst="rect">
                      <a:avLst/>
                    </a:prstGeom>
                  </pic:spPr>
                </pic:pic>
              </a:graphicData>
            </a:graphic>
          </wp:inline>
        </w:drawing>
      </w:r>
    </w:p>
    <w:p w14:paraId="66120059">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Fig.20</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In-situ Raman spectra of the (a) Fe-TCPP@Cu-BTC, (b) Cu-BTC, (c) Fe-TCPP, and (d) CNTs electrodes.</w:t>
      </w:r>
    </w:p>
    <w:p w14:paraId="1DE7BAA9">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631F13C3">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744C1B91">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3967480" cy="2279015"/>
            <wp:effectExtent l="0" t="0" r="13970" b="6985"/>
            <wp:docPr id="16" name="图片 1" descr="D:\2.MOF包合MN4\组图\SI\SI-15\SI-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descr="D:\2.MOF包合MN4\组图\SI\SI-15\SI-15.png"/>
                    <pic:cNvPicPr>
                      <a:picLocks noChangeAspect="1" noChangeArrowheads="1"/>
                    </pic:cNvPicPr>
                  </pic:nvPicPr>
                  <pic:blipFill>
                    <a:blip r:embed="rId25" cstate="print"/>
                    <a:srcRect/>
                    <a:stretch>
                      <a:fillRect/>
                    </a:stretch>
                  </pic:blipFill>
                  <pic:spPr>
                    <a:xfrm>
                      <a:off x="0" y="0"/>
                      <a:ext cx="3967480" cy="2279015"/>
                    </a:xfrm>
                    <a:prstGeom prst="rect">
                      <a:avLst/>
                    </a:prstGeom>
                    <a:noFill/>
                    <a:ln w="9525">
                      <a:noFill/>
                      <a:miter lim="800000"/>
                      <a:headEnd/>
                      <a:tailEnd/>
                    </a:ln>
                  </pic:spPr>
                </pic:pic>
              </a:graphicData>
            </a:graphic>
          </wp:inline>
        </w:drawing>
      </w:r>
    </w:p>
    <w:p w14:paraId="243D8E69">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Fig.21</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Semi-in situ Cu 2p and Fe 2p XPS spectra of the cell with (a) Cu-BTC, (b) Fe-TCPP.</w:t>
      </w:r>
    </w:p>
    <w:p w14:paraId="7AC67CE2">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08226E08">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114300" distR="114300">
            <wp:extent cx="4669155" cy="4963160"/>
            <wp:effectExtent l="0" t="0" r="0" b="0"/>
            <wp:docPr id="30" name="图片 30" descr="SI-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SI-22"/>
                    <pic:cNvPicPr>
                      <a:picLocks noChangeAspect="1"/>
                    </pic:cNvPicPr>
                  </pic:nvPicPr>
                  <pic:blipFill>
                    <a:blip r:embed="rId26"/>
                    <a:srcRect r="4618" b="1525"/>
                    <a:stretch>
                      <a:fillRect/>
                    </a:stretch>
                  </pic:blipFill>
                  <pic:spPr>
                    <a:xfrm>
                      <a:off x="0" y="0"/>
                      <a:ext cx="4669155" cy="4963160"/>
                    </a:xfrm>
                    <a:prstGeom prst="rect">
                      <a:avLst/>
                    </a:prstGeom>
                  </pic:spPr>
                </pic:pic>
              </a:graphicData>
            </a:graphic>
          </wp:inline>
        </w:drawing>
      </w:r>
    </w:p>
    <w:p w14:paraId="296D867A">
      <w:pPr>
        <w:keepNext w:val="0"/>
        <w:keepLines w:val="0"/>
        <w:pageBreakBefore w:val="0"/>
        <w:kinsoku/>
        <w:overflowPunct/>
        <w:topLinePunct w:val="0"/>
        <w:autoSpaceDN/>
        <w:bidi w:val="0"/>
        <w:adjustRightInd/>
        <w:snapToGrid/>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Fig.22.</w:t>
      </w:r>
      <w:r>
        <w:rPr>
          <w:rFonts w:hint="default" w:ascii="Times New Roman" w:hAnsi="Times New Roman" w:cs="Times New Roman"/>
          <w:sz w:val="24"/>
          <w:szCs w:val="24"/>
        </w:rPr>
        <w:t xml:space="preserve"> </w:t>
      </w:r>
      <w:r>
        <w:rPr>
          <w:rFonts w:hint="default" w:ascii="Times New Roman" w:hAnsi="Times New Roman" w:eastAsia="宋体" w:cs="Times New Roman"/>
          <w:bCs/>
          <w:kern w:val="2"/>
          <w:sz w:val="24"/>
          <w:szCs w:val="24"/>
        </w:rPr>
        <w:t>Refinement of the fitting of S</w:t>
      </w:r>
      <w:r>
        <w:rPr>
          <w:rFonts w:hint="default" w:ascii="Times New Roman" w:hAnsi="Times New Roman" w:cs="Times New Roman"/>
          <w:sz w:val="24"/>
          <w:szCs w:val="24"/>
          <w:vertAlign w:val="subscript"/>
        </w:rPr>
        <w:t>3</w:t>
      </w:r>
      <w:r>
        <w:rPr>
          <w:rFonts w:hint="default" w:ascii="Times New Roman" w:hAnsi="Times New Roman" w:eastAsia="宋体" w:cs="Times New Roman"/>
          <w:bCs/>
          <w:kern w:val="2"/>
          <w:sz w:val="24"/>
          <w:szCs w:val="24"/>
          <w:vertAlign w:val="superscript"/>
        </w:rPr>
        <w:t>*‒</w:t>
      </w:r>
      <w:r>
        <w:rPr>
          <w:rFonts w:hint="default" w:ascii="Times New Roman" w:hAnsi="Times New Roman" w:eastAsia="宋体" w:cs="Times New Roman"/>
          <w:bCs/>
          <w:kern w:val="2"/>
          <w:sz w:val="24"/>
          <w:szCs w:val="24"/>
        </w:rPr>
        <w:t xml:space="preserve"> concentration within a cell containing  a, b) Cu-BTC, c, d) Fe-TCPP, and e) CNTs, respectively, by applying Michaelis-Menten kinetics during the discharge.</w:t>
      </w:r>
    </w:p>
    <w:p w14:paraId="6B9D7699">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2F60AD8B">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r>
        <w:rPr>
          <w:rFonts w:hint="default" w:ascii="Times New Roman" w:hAnsi="Times New Roman" w:cs="Times New Roman"/>
        </w:rPr>
        <w:drawing>
          <wp:inline distT="0" distB="0" distL="0" distR="0">
            <wp:extent cx="5219700" cy="4198620"/>
            <wp:effectExtent l="19050" t="0" r="0" b="0"/>
            <wp:docPr id="6" name="图片 5" descr="SI-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SI-16.tif"/>
                    <pic:cNvPicPr>
                      <a:picLocks noChangeAspect="1"/>
                    </pic:cNvPicPr>
                  </pic:nvPicPr>
                  <pic:blipFill>
                    <a:blip r:embed="rId27" cstate="print"/>
                    <a:stretch>
                      <a:fillRect/>
                    </a:stretch>
                  </pic:blipFill>
                  <pic:spPr>
                    <a:xfrm>
                      <a:off x="0" y="0"/>
                      <a:ext cx="5219700" cy="4198620"/>
                    </a:xfrm>
                    <a:prstGeom prst="rect">
                      <a:avLst/>
                    </a:prstGeom>
                  </pic:spPr>
                </pic:pic>
              </a:graphicData>
            </a:graphic>
          </wp:inline>
        </w:drawing>
      </w:r>
    </w:p>
    <w:p w14:paraId="11D9F464">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Fig.23</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EIS curves of the Fe-TCPP@Cu-BTC cathodes at different temperature and voltages during discharge process. a–i) The Nyquist plots of Fe-TCPP@Cu-BTC cathodes at various temperatures at the charge potential of (a) 2.8, (b) 2.6, (c) 2.4, (d) 2.2, (e) 2.1, (f) 2.0, (g) 1.9, (h) 1.8 V, and (i) 1.6 V.</w:t>
      </w:r>
    </w:p>
    <w:p w14:paraId="2B22981F">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481A98C5">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r>
        <w:rPr>
          <w:rFonts w:hint="default" w:ascii="Times New Roman" w:hAnsi="Times New Roman" w:cs="Times New Roman"/>
        </w:rPr>
        <w:drawing>
          <wp:inline distT="0" distB="0" distL="0" distR="0">
            <wp:extent cx="5219700" cy="4184650"/>
            <wp:effectExtent l="19050" t="0" r="0" b="0"/>
            <wp:docPr id="22" name="图片 21" descr="SI-1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SI-17.tif"/>
                    <pic:cNvPicPr>
                      <a:picLocks noChangeAspect="1"/>
                    </pic:cNvPicPr>
                  </pic:nvPicPr>
                  <pic:blipFill>
                    <a:blip r:embed="rId28" cstate="print"/>
                    <a:stretch>
                      <a:fillRect/>
                    </a:stretch>
                  </pic:blipFill>
                  <pic:spPr>
                    <a:xfrm>
                      <a:off x="0" y="0"/>
                      <a:ext cx="5219700" cy="4184904"/>
                    </a:xfrm>
                    <a:prstGeom prst="rect">
                      <a:avLst/>
                    </a:prstGeom>
                  </pic:spPr>
                </pic:pic>
              </a:graphicData>
            </a:graphic>
          </wp:inline>
        </w:drawing>
      </w:r>
    </w:p>
    <w:p w14:paraId="3C19C79B">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Fig.24</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EIS curves of the Cu-BTC cathodes at different temperature and voltages during discharge process. a–h) The Nyquist plots of Fe-TCPP@Cu-BTC cathodes at various temperatures at the charge potential of (a) 2.8, (b) 2.6, (c) 2.4, (d) 2.2, (e) 2.1, (f) 2.0, (g) 1.9, (h) 1.8 V, and (i) 1.6 V.</w:t>
      </w:r>
    </w:p>
    <w:p w14:paraId="3D9452AC">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4CF0B277">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r>
        <w:rPr>
          <w:rFonts w:hint="default" w:ascii="Times New Roman" w:hAnsi="Times New Roman" w:cs="Times New Roman"/>
        </w:rPr>
        <w:drawing>
          <wp:inline distT="0" distB="0" distL="0" distR="0">
            <wp:extent cx="5219700" cy="4295775"/>
            <wp:effectExtent l="19050" t="0" r="0" b="0"/>
            <wp:docPr id="18" name="图片 17" descr="SI-1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SI-18.tif"/>
                    <pic:cNvPicPr>
                      <a:picLocks noChangeAspect="1"/>
                    </pic:cNvPicPr>
                  </pic:nvPicPr>
                  <pic:blipFill>
                    <a:blip r:embed="rId29" cstate="print"/>
                    <a:stretch>
                      <a:fillRect/>
                    </a:stretch>
                  </pic:blipFill>
                  <pic:spPr>
                    <a:xfrm>
                      <a:off x="0" y="0"/>
                      <a:ext cx="5219700" cy="4296156"/>
                    </a:xfrm>
                    <a:prstGeom prst="rect">
                      <a:avLst/>
                    </a:prstGeom>
                  </pic:spPr>
                </pic:pic>
              </a:graphicData>
            </a:graphic>
          </wp:inline>
        </w:drawing>
      </w:r>
    </w:p>
    <w:p w14:paraId="0B98D64D">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Fig.25</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EIS curves of the Fe-TCPP cathodes at different temperature and voltages during discharge process. a–i) The Nyquist plots of Fe-TCPP@Cu-BTC cathodes at various temperatures at the charge potential of (a) 2.8, (b) 2.6, (c) 2.4, (d) 2.2, (e) 2.1, (f) 2.0, (g) 1.9, (h) 1.8 V, and (i) 1.6 V.</w:t>
      </w:r>
    </w:p>
    <w:p w14:paraId="3BB11177">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07E8B992">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r>
        <w:rPr>
          <w:rFonts w:hint="default" w:ascii="Times New Roman" w:hAnsi="Times New Roman" w:cs="Times New Roman"/>
        </w:rPr>
        <w:drawing>
          <wp:inline distT="0" distB="0" distL="0" distR="0">
            <wp:extent cx="5219700" cy="4201160"/>
            <wp:effectExtent l="19050" t="0" r="0" b="0"/>
            <wp:docPr id="19" name="图片 18" descr="SI-1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SI-19.tif"/>
                    <pic:cNvPicPr>
                      <a:picLocks noChangeAspect="1"/>
                    </pic:cNvPicPr>
                  </pic:nvPicPr>
                  <pic:blipFill>
                    <a:blip r:embed="rId30" cstate="print"/>
                    <a:stretch>
                      <a:fillRect/>
                    </a:stretch>
                  </pic:blipFill>
                  <pic:spPr>
                    <a:xfrm>
                      <a:off x="0" y="0"/>
                      <a:ext cx="5219700" cy="4201668"/>
                    </a:xfrm>
                    <a:prstGeom prst="rect">
                      <a:avLst/>
                    </a:prstGeom>
                  </pic:spPr>
                </pic:pic>
              </a:graphicData>
            </a:graphic>
          </wp:inline>
        </w:drawing>
      </w:r>
    </w:p>
    <w:p w14:paraId="4B12C014">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Fig.26</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EIS curves of the CNTs cathodes at different temperature and voltages during discharge process. a–i) The Nyquist plots of Fe-TCPP@Cu-BTC cathodes at various temperatures at the charge potential of (a) 2.8, (b) 2.6, (c) 2.4, (d) 2.2, (e) 2.1, (f) 2.0, (g) 1.9, (h) 1.8 V, and (i) 1.6 V.</w:t>
      </w:r>
    </w:p>
    <w:p w14:paraId="5A41D37E">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1739FEAA">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r>
        <w:rPr>
          <w:rFonts w:hint="default" w:ascii="Times New Roman" w:hAnsi="Times New Roman" w:cs="Times New Roman"/>
        </w:rPr>
        <w:drawing>
          <wp:inline distT="0" distB="0" distL="0" distR="0">
            <wp:extent cx="5219700" cy="4191000"/>
            <wp:effectExtent l="19050" t="0" r="0" b="0"/>
            <wp:docPr id="20" name="图片 19" descr="SI-2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SI-20.tif"/>
                    <pic:cNvPicPr>
                      <a:picLocks noChangeAspect="1"/>
                    </pic:cNvPicPr>
                  </pic:nvPicPr>
                  <pic:blipFill>
                    <a:blip r:embed="rId31" cstate="print"/>
                    <a:stretch>
                      <a:fillRect/>
                    </a:stretch>
                  </pic:blipFill>
                  <pic:spPr>
                    <a:xfrm>
                      <a:off x="0" y="0"/>
                      <a:ext cx="5219700" cy="4191000"/>
                    </a:xfrm>
                    <a:prstGeom prst="rect">
                      <a:avLst/>
                    </a:prstGeom>
                  </pic:spPr>
                </pic:pic>
              </a:graphicData>
            </a:graphic>
          </wp:inline>
        </w:drawing>
      </w:r>
    </w:p>
    <w:p w14:paraId="37D0689F">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Fig.27</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The corresponding linear fitting based on Arrhenius equation. An Arrhenius plot showing the linear relationship between logarithmic values of the reciprocal of charge transfer resistance in Figure Supplementary Fig.22–25 and the reciprocal of absolute temperatures.</w:t>
      </w:r>
    </w:p>
    <w:p w14:paraId="21CE11A1">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rPr>
      </w:pPr>
      <w:r>
        <w:rPr>
          <w:rFonts w:hint="default" w:ascii="Times New Roman" w:hAnsi="Times New Roman" w:cs="Times New Roman"/>
        </w:rPr>
        <w:br w:type="page"/>
      </w:r>
    </w:p>
    <w:p w14:paraId="78AA7680">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rPr>
      </w:pPr>
    </w:p>
    <w:p w14:paraId="329F2B8D">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rPr>
      </w:pPr>
    </w:p>
    <w:p w14:paraId="4B221A2B">
      <w:pPr>
        <w:keepNext w:val="0"/>
        <w:keepLines w:val="0"/>
        <w:pageBreakBefore w:val="0"/>
        <w:kinsoku/>
        <w:overflowPunct/>
        <w:topLinePunct w:val="0"/>
        <w:autoSpaceDN/>
        <w:bidi w:val="0"/>
        <w:adjustRightInd/>
        <w:snapToGrid/>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4742815" cy="1440180"/>
            <wp:effectExtent l="0" t="0" r="0" b="0"/>
            <wp:docPr id="26" name="图片 26" descr="SI-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SI-27"/>
                    <pic:cNvPicPr>
                      <a:picLocks noChangeAspect="1"/>
                    </pic:cNvPicPr>
                  </pic:nvPicPr>
                  <pic:blipFill>
                    <a:blip r:embed="rId32"/>
                    <a:srcRect l="7456" t="5358" r="4842" b="6238"/>
                    <a:stretch>
                      <a:fillRect/>
                    </a:stretch>
                  </pic:blipFill>
                  <pic:spPr>
                    <a:xfrm>
                      <a:off x="0" y="0"/>
                      <a:ext cx="4742815" cy="1440180"/>
                    </a:xfrm>
                    <a:prstGeom prst="rect">
                      <a:avLst/>
                    </a:prstGeom>
                  </pic:spPr>
                </pic:pic>
              </a:graphicData>
            </a:graphic>
          </wp:inline>
        </w:drawing>
      </w:r>
    </w:p>
    <w:p w14:paraId="64CC1759">
      <w:pPr>
        <w:keepNext w:val="0"/>
        <w:keepLines w:val="0"/>
        <w:pageBreakBefore w:val="0"/>
        <w:kinsoku/>
        <w:overflowPunct/>
        <w:topLinePunct w:val="0"/>
        <w:autoSpaceDN/>
        <w:bidi w:val="0"/>
        <w:adjustRightInd/>
        <w:snapToGrid/>
        <w:spacing w:beforeAutospacing="0" w:after="0" w:afterAutospacing="0" w:line="480" w:lineRule="auto"/>
        <w:jc w:val="both"/>
        <w:textAlignment w:val="auto"/>
        <w:rPr>
          <w:rFonts w:hint="default" w:ascii="Times New Roman" w:hAnsi="Times New Roman" w:cs="Times New Roman"/>
          <w:sz w:val="24"/>
          <w:szCs w:val="24"/>
          <w:highlight w:val="yellow"/>
        </w:rPr>
      </w:pPr>
      <w:r>
        <w:rPr>
          <w:rFonts w:hint="default" w:ascii="Times New Roman" w:hAnsi="Times New Roman" w:cs="Times New Roman"/>
          <w:b/>
          <w:bCs/>
          <w:sz w:val="24"/>
          <w:szCs w:val="24"/>
        </w:rPr>
        <w:t>Supplementary Fig.28</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w:t>
      </w:r>
      <w:r>
        <w:rPr>
          <w:rFonts w:hint="default" w:ascii="Times New Roman" w:hAnsi="Times New Roman" w:eastAsia="宋体" w:cs="Times New Roman"/>
          <w:bCs/>
          <w:kern w:val="2"/>
          <w:sz w:val="24"/>
          <w:szCs w:val="24"/>
        </w:rPr>
        <w:t>Voltage-dependent activation ene</w:t>
      </w:r>
      <w:bookmarkStart w:id="18" w:name="_GoBack"/>
      <w:bookmarkEnd w:id="18"/>
      <w:r>
        <w:rPr>
          <w:rFonts w:hint="default" w:ascii="Times New Roman" w:hAnsi="Times New Roman" w:eastAsia="宋体" w:cs="Times New Roman"/>
          <w:bCs/>
          <w:kern w:val="2"/>
          <w:sz w:val="24"/>
          <w:szCs w:val="24"/>
        </w:rPr>
        <w:t xml:space="preserve">rgy plots collected from </w:t>
      </w:r>
      <w:r>
        <w:rPr>
          <w:rFonts w:hint="default" w:ascii="Times New Roman" w:hAnsi="Times New Roman" w:eastAsia="宋体" w:cs="Times New Roman"/>
          <w:kern w:val="2"/>
          <w:sz w:val="24"/>
          <w:szCs w:val="24"/>
        </w:rPr>
        <w:t>EIS spectra at various</w:t>
      </w:r>
      <w:r>
        <w:rPr>
          <w:rFonts w:hint="default" w:ascii="Times New Roman" w:hAnsi="Times New Roman" w:eastAsia="宋体" w:cs="Times New Roman"/>
          <w:bCs/>
          <w:kern w:val="2"/>
          <w:sz w:val="24"/>
          <w:szCs w:val="24"/>
        </w:rPr>
        <w:t xml:space="preserve"> discharge</w:t>
      </w:r>
      <w:r>
        <w:rPr>
          <w:rFonts w:hint="default" w:ascii="Times New Roman" w:hAnsi="Times New Roman" w:eastAsia="宋体" w:cs="Times New Roman"/>
          <w:kern w:val="2"/>
          <w:sz w:val="24"/>
          <w:szCs w:val="24"/>
        </w:rPr>
        <w:t xml:space="preserve"> voltages and temperatures</w:t>
      </w:r>
      <w:r>
        <w:rPr>
          <w:rFonts w:hint="default" w:ascii="Times New Roman" w:hAnsi="Times New Roman" w:eastAsia="宋体" w:cs="Times New Roman"/>
          <w:bCs/>
          <w:kern w:val="2"/>
          <w:sz w:val="24"/>
          <w:szCs w:val="24"/>
        </w:rPr>
        <w:t xml:space="preserve"> for the </w:t>
      </w:r>
      <w:r>
        <w:rPr>
          <w:rFonts w:hint="default" w:ascii="Times New Roman" w:hAnsi="Times New Roman" w:cs="Times New Roman"/>
          <w:sz w:val="24"/>
          <w:szCs w:val="24"/>
        </w:rPr>
        <w:t>Fe-TCPP and Cu-BTC</w:t>
      </w:r>
      <w:r>
        <w:rPr>
          <w:rFonts w:hint="default" w:ascii="Times New Roman" w:hAnsi="Times New Roman" w:eastAsia="宋体" w:cs="Times New Roman"/>
          <w:bCs/>
          <w:kern w:val="2"/>
          <w:sz w:val="24"/>
          <w:szCs w:val="24"/>
        </w:rPr>
        <w:t xml:space="preserve"> cells.</w:t>
      </w:r>
    </w:p>
    <w:p w14:paraId="2EEC715E">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highlight w:val="yellow"/>
        </w:rPr>
      </w:pPr>
    </w:p>
    <w:p w14:paraId="6F6080BC">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highlight w:val="yellow"/>
        </w:rPr>
      </w:pPr>
    </w:p>
    <w:p w14:paraId="7A224FF5">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sz w:val="24"/>
          <w:szCs w:val="24"/>
          <w:highlight w:val="yellow"/>
        </w:rPr>
      </w:pPr>
    </w:p>
    <w:p w14:paraId="7C18ADB0">
      <w:pPr>
        <w:keepNext w:val="0"/>
        <w:keepLines w:val="0"/>
        <w:pageBreakBefore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drawing>
          <wp:inline distT="0" distB="0" distL="0" distR="0">
            <wp:extent cx="5274310" cy="1381760"/>
            <wp:effectExtent l="0" t="0" r="2540" b="8255"/>
            <wp:docPr id="38" name="图片 11" descr="SI-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1" descr="SI-11.png"/>
                    <pic:cNvPicPr>
                      <a:picLocks noChangeAspect="1"/>
                    </pic:cNvPicPr>
                  </pic:nvPicPr>
                  <pic:blipFill>
                    <a:blip r:embed="rId33" cstate="print"/>
                    <a:stretch>
                      <a:fillRect/>
                    </a:stretch>
                  </pic:blipFill>
                  <pic:spPr>
                    <a:xfrm>
                      <a:off x="0" y="0"/>
                      <a:ext cx="5274310" cy="1381760"/>
                    </a:xfrm>
                    <a:prstGeom prst="rect">
                      <a:avLst/>
                    </a:prstGeom>
                  </pic:spPr>
                </pic:pic>
              </a:graphicData>
            </a:graphic>
          </wp:inline>
        </w:drawing>
      </w:r>
    </w:p>
    <w:p w14:paraId="2833B9AD">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Fig.29</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EIS spectra of Fe-TCPP@Cu-BTC, Cu-BTC, Fe-TCPP, and CNTs after different cycles (a) fresh, (b) 3th, (c) 10th.</w:t>
      </w:r>
    </w:p>
    <w:p w14:paraId="3D6AF8D5">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1BBEBC77">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646D1A1E">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176655BD">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3D3232D1">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7770EA76">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34507DC9">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6686A5C5">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rPr>
      </w:pPr>
      <w:r>
        <w:rPr>
          <w:rFonts w:hint="default" w:ascii="Times New Roman" w:hAnsi="Times New Roman" w:cs="Times New Roman"/>
        </w:rPr>
        <w:drawing>
          <wp:inline distT="0" distB="0" distL="0" distR="0">
            <wp:extent cx="4533900" cy="2719705"/>
            <wp:effectExtent l="0" t="0" r="0" b="0"/>
            <wp:docPr id="3522735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273550" name="图片 1"/>
                    <pic:cNvPicPr>
                      <a:picLocks noChangeAspect="1"/>
                    </pic:cNvPicPr>
                  </pic:nvPicPr>
                  <pic:blipFill>
                    <a:blip r:embed="rId34">
                      <a:extLst>
                        <a:ext uri="{28A0092B-C50C-407E-A947-70E740481C1C}">
                          <a14:useLocalDpi xmlns:a14="http://schemas.microsoft.com/office/drawing/2010/main" val="0"/>
                        </a:ext>
                      </a:extLst>
                    </a:blip>
                    <a:srcRect l="6123" t="6953" r="5115" b="6623"/>
                    <a:stretch>
                      <a:fillRect/>
                    </a:stretch>
                  </pic:blipFill>
                  <pic:spPr>
                    <a:xfrm>
                      <a:off x="0" y="0"/>
                      <a:ext cx="4545254" cy="2726980"/>
                    </a:xfrm>
                    <a:prstGeom prst="rect">
                      <a:avLst/>
                    </a:prstGeom>
                    <a:ln>
                      <a:noFill/>
                    </a:ln>
                  </pic:spPr>
                </pic:pic>
              </a:graphicData>
            </a:graphic>
          </wp:inline>
        </w:drawing>
      </w:r>
    </w:p>
    <w:p w14:paraId="27861886">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Fig.30</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Long-term cycling performance of Cu-BTC and Fe-TCPP cells at 0.2 C.</w:t>
      </w:r>
    </w:p>
    <w:p w14:paraId="1792949C">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56D0A012">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4D76763B">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6654648D">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drawing>
          <wp:inline distT="0" distB="0" distL="0" distR="0">
            <wp:extent cx="5075555" cy="2238375"/>
            <wp:effectExtent l="0" t="0" r="0" b="0"/>
            <wp:docPr id="2439029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902905" name="图片 2"/>
                    <pic:cNvPicPr>
                      <a:picLocks noChangeAspect="1"/>
                    </pic:cNvPicPr>
                  </pic:nvPicPr>
                  <pic:blipFill>
                    <a:blip r:embed="rId35">
                      <a:extLst>
                        <a:ext uri="{28A0092B-C50C-407E-A947-70E740481C1C}">
                          <a14:useLocalDpi xmlns:a14="http://schemas.microsoft.com/office/drawing/2010/main" val="0"/>
                        </a:ext>
                      </a:extLst>
                    </a:blip>
                    <a:srcRect l="3612" t="7766" r="3022" b="3702"/>
                    <a:stretch>
                      <a:fillRect/>
                    </a:stretch>
                  </pic:blipFill>
                  <pic:spPr>
                    <a:xfrm>
                      <a:off x="0" y="0"/>
                      <a:ext cx="5077063" cy="2239014"/>
                    </a:xfrm>
                    <a:prstGeom prst="rect">
                      <a:avLst/>
                    </a:prstGeom>
                    <a:ln>
                      <a:noFill/>
                    </a:ln>
                  </pic:spPr>
                </pic:pic>
              </a:graphicData>
            </a:graphic>
          </wp:inline>
        </w:drawing>
      </w:r>
    </w:p>
    <w:p w14:paraId="19BD1351">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Supplementary Fig.31</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 xml:space="preserve"> Long-term cycling performance of Cu-BTC and Fe-TCPP cells at 1.0 C.</w:t>
      </w:r>
    </w:p>
    <w:p w14:paraId="48C2966A">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p>
    <w:p w14:paraId="1206F6F2">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10ED858F">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b/>
          <w:sz w:val="28"/>
          <w:szCs w:val="28"/>
          <w:lang w:val="en-US" w:eastAsia="zh-CN"/>
        </w:rPr>
      </w:pPr>
      <w:r>
        <w:rPr>
          <w:rFonts w:hint="eastAsia" w:ascii="Times New Roman" w:hAnsi="Times New Roman" w:cs="Times New Roman"/>
          <w:b/>
          <w:sz w:val="28"/>
          <w:szCs w:val="28"/>
          <w:lang w:val="en-US" w:eastAsia="zh-CN"/>
        </w:rPr>
        <w:t>3. Supporting Tables</w:t>
      </w:r>
    </w:p>
    <w:p w14:paraId="52D10926">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bCs/>
          <w:sz w:val="24"/>
          <w:szCs w:val="24"/>
        </w:rPr>
      </w:pPr>
    </w:p>
    <w:p w14:paraId="3EF52132">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 xml:space="preserve">Supplementary Table 1. </w:t>
      </w:r>
      <w:r>
        <w:rPr>
          <w:rFonts w:hint="default" w:ascii="Times New Roman" w:hAnsi="Times New Roman" w:cs="Times New Roman"/>
          <w:sz w:val="24"/>
          <w:szCs w:val="24"/>
        </w:rPr>
        <w:t>The</w:t>
      </w:r>
      <w:r>
        <w:rPr>
          <w:rFonts w:hint="default" w:ascii="Times New Roman" w:hAnsi="Times New Roman" w:cs="Times New Roman"/>
          <w:b/>
          <w:bCs/>
          <w:sz w:val="24"/>
          <w:szCs w:val="24"/>
        </w:rPr>
        <w:t xml:space="preserve"> </w:t>
      </w:r>
      <w:r>
        <w:rPr>
          <w:rFonts w:hint="default" w:ascii="Times New Roman" w:hAnsi="Times New Roman" w:eastAsia="宋体" w:cs="Times New Roman"/>
          <w:bCs/>
          <w:kern w:val="2"/>
          <w:sz w:val="24"/>
          <w:szCs w:val="24"/>
        </w:rPr>
        <w:t xml:space="preserve">Michaelis‒Menten constants </w:t>
      </w:r>
      <w:r>
        <w:rPr>
          <w:rFonts w:hint="default" w:ascii="Times New Roman" w:hAnsi="Times New Roman" w:cs="Times New Roman"/>
          <w:sz w:val="24"/>
          <w:szCs w:val="24"/>
        </w:rPr>
        <w:t>(</w:t>
      </w:r>
      <w:r>
        <w:rPr>
          <w:rFonts w:hint="default" w:ascii="Times New Roman" w:hAnsi="Times New Roman" w:eastAsia="宋体" w:cs="Times New Roman"/>
          <w:bCs/>
          <w:i/>
          <w:iCs/>
          <w:kern w:val="2"/>
          <w:sz w:val="24"/>
          <w:szCs w:val="24"/>
        </w:rPr>
        <w:t>K</w:t>
      </w:r>
      <w:r>
        <w:rPr>
          <w:rFonts w:hint="default" w:ascii="Times New Roman" w:hAnsi="Times New Roman" w:eastAsia="宋体" w:cs="Times New Roman"/>
          <w:bCs/>
          <w:i/>
          <w:iCs/>
          <w:kern w:val="2"/>
          <w:sz w:val="24"/>
          <w:szCs w:val="24"/>
          <w:vertAlign w:val="subscript"/>
        </w:rPr>
        <w:t>m</w:t>
      </w:r>
      <w:r>
        <w:rPr>
          <w:rFonts w:hint="default" w:ascii="Times New Roman" w:hAnsi="Times New Roman" w:cs="Times New Roman"/>
          <w:sz w:val="24"/>
          <w:szCs w:val="24"/>
        </w:rPr>
        <w:t xml:space="preserve">) is fitted by the </w:t>
      </w:r>
      <w:r>
        <w:rPr>
          <w:rFonts w:hint="default" w:ascii="Times New Roman" w:hAnsi="Times New Roman" w:eastAsia="宋体" w:cs="Times New Roman"/>
          <w:bCs/>
          <w:kern w:val="2"/>
          <w:sz w:val="24"/>
          <w:szCs w:val="24"/>
        </w:rPr>
        <w:t xml:space="preserve">Michaelis‒Menten equation for </w:t>
      </w:r>
      <w:r>
        <w:rPr>
          <w:rFonts w:hint="default" w:ascii="Times New Roman" w:hAnsi="Times New Roman" w:cs="Times New Roman"/>
          <w:sz w:val="24"/>
          <w:szCs w:val="24"/>
        </w:rPr>
        <w:t>Fe-TCPP@Cu-BTC, Fe-TCPP, Cu-BTC and CNTs.</w:t>
      </w:r>
    </w:p>
    <w:tbl>
      <w:tblPr>
        <w:tblStyle w:val="7"/>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42"/>
        <w:gridCol w:w="2439"/>
        <w:gridCol w:w="2439"/>
      </w:tblGrid>
      <w:tr w14:paraId="7FE52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642" w:type="dxa"/>
            <w:tcBorders>
              <w:top w:val="single" w:color="auto" w:sz="12" w:space="0"/>
              <w:left w:val="nil"/>
              <w:bottom w:val="single" w:color="auto" w:sz="12" w:space="0"/>
              <w:right w:val="nil"/>
            </w:tcBorders>
            <w:vAlign w:val="center"/>
          </w:tcPr>
          <w:p w14:paraId="1C863AC0">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eastAsia="MS Mincho" w:cs="Times New Roman"/>
              </w:rPr>
            </w:pPr>
            <w:r>
              <w:rPr>
                <w:rFonts w:hint="default" w:ascii="Times New Roman" w:hAnsi="Times New Roman" w:cs="Times New Roman"/>
              </w:rPr>
              <w:t>Material</w:t>
            </w:r>
          </w:p>
        </w:tc>
        <w:tc>
          <w:tcPr>
            <w:tcW w:w="2439" w:type="dxa"/>
            <w:tcBorders>
              <w:top w:val="single" w:color="auto" w:sz="12" w:space="0"/>
              <w:left w:val="nil"/>
              <w:bottom w:val="single" w:color="auto" w:sz="12" w:space="0"/>
              <w:right w:val="nil"/>
            </w:tcBorders>
            <w:vAlign w:val="center"/>
          </w:tcPr>
          <w:p w14:paraId="5BD8C5FD">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i/>
                <w:iCs/>
              </w:rPr>
            </w:pPr>
            <w:r>
              <w:rPr>
                <w:rFonts w:hint="default" w:ascii="Times New Roman" w:hAnsi="Times New Roman" w:cs="Times New Roman"/>
              </w:rPr>
              <w:t>Voltage range (V)</w:t>
            </w:r>
          </w:p>
        </w:tc>
        <w:tc>
          <w:tcPr>
            <w:tcW w:w="2439" w:type="dxa"/>
            <w:tcBorders>
              <w:top w:val="single" w:color="auto" w:sz="12" w:space="0"/>
              <w:left w:val="nil"/>
              <w:bottom w:val="single" w:color="auto" w:sz="12" w:space="0"/>
              <w:right w:val="nil"/>
            </w:tcBorders>
            <w:vAlign w:val="center"/>
          </w:tcPr>
          <w:p w14:paraId="54099C6A">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eastAsia="MS Mincho" w:cs="Times New Roman"/>
              </w:rPr>
            </w:pPr>
            <w:r>
              <w:rPr>
                <w:rFonts w:hint="default" w:ascii="Times New Roman" w:hAnsi="Times New Roman" w:cs="Times New Roman"/>
                <w:i/>
                <w:iCs/>
              </w:rPr>
              <w:t>K</w:t>
            </w:r>
            <w:r>
              <w:rPr>
                <w:rFonts w:hint="default" w:ascii="Times New Roman" w:hAnsi="Times New Roman" w:cs="Times New Roman"/>
                <w:i/>
                <w:iCs/>
                <w:vertAlign w:val="subscript"/>
              </w:rPr>
              <w:t>m</w:t>
            </w:r>
            <w:r>
              <w:rPr>
                <w:rFonts w:hint="default" w:ascii="Times New Roman" w:hAnsi="Times New Roman" w:cs="Times New Roman"/>
              </w:rPr>
              <w:t xml:space="preserve"> (mM)</w:t>
            </w:r>
          </w:p>
        </w:tc>
      </w:tr>
      <w:tr w14:paraId="7BB6B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642" w:type="dxa"/>
            <w:vMerge w:val="restart"/>
            <w:tcBorders>
              <w:top w:val="single" w:color="auto" w:sz="12" w:space="0"/>
              <w:left w:val="nil"/>
              <w:right w:val="nil"/>
            </w:tcBorders>
            <w:vAlign w:val="center"/>
          </w:tcPr>
          <w:p w14:paraId="0223BE23">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eastAsia="MS Mincho" w:cs="Times New Roman"/>
              </w:rPr>
            </w:pPr>
            <w:r>
              <w:rPr>
                <w:rFonts w:hint="default" w:ascii="Times New Roman" w:hAnsi="Times New Roman" w:cs="Times New Roman"/>
              </w:rPr>
              <w:t>Fe-TCPP@Cu-BTC</w:t>
            </w:r>
          </w:p>
        </w:tc>
        <w:tc>
          <w:tcPr>
            <w:tcW w:w="2439" w:type="dxa"/>
            <w:tcBorders>
              <w:top w:val="single" w:color="auto" w:sz="12" w:space="0"/>
              <w:left w:val="nil"/>
              <w:bottom w:val="nil"/>
              <w:right w:val="nil"/>
            </w:tcBorders>
            <w:vAlign w:val="center"/>
          </w:tcPr>
          <w:p w14:paraId="53A1EFC4">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bCs/>
                <w:kern w:val="2"/>
              </w:rPr>
              <w:t>2.8-2.2</w:t>
            </w:r>
          </w:p>
        </w:tc>
        <w:tc>
          <w:tcPr>
            <w:tcW w:w="2439" w:type="dxa"/>
            <w:tcBorders>
              <w:top w:val="single" w:color="auto" w:sz="12" w:space="0"/>
              <w:left w:val="nil"/>
              <w:bottom w:val="nil"/>
              <w:right w:val="nil"/>
            </w:tcBorders>
            <w:vAlign w:val="center"/>
          </w:tcPr>
          <w:p w14:paraId="67FBEA34">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5.92</w:t>
            </w:r>
            <w:r>
              <w:rPr>
                <w:rFonts w:hint="default" w:ascii="Times New Roman" w:hAnsi="Times New Roman" w:cs="Times New Roman"/>
                <w:bCs/>
                <w:kern w:val="2"/>
              </w:rPr>
              <w:t>×</w:t>
            </w:r>
            <w:r>
              <w:rPr>
                <w:rFonts w:hint="default" w:ascii="Times New Roman" w:hAnsi="Times New Roman" w:cs="Times New Roman"/>
              </w:rPr>
              <w:t>10</w:t>
            </w:r>
            <w:r>
              <w:rPr>
                <w:rFonts w:hint="default" w:ascii="Times New Roman" w:hAnsi="Times New Roman" w:cs="Times New Roman"/>
                <w:vertAlign w:val="superscript"/>
              </w:rPr>
              <w:t>-3</w:t>
            </w:r>
          </w:p>
        </w:tc>
      </w:tr>
      <w:tr w14:paraId="6A113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642" w:type="dxa"/>
            <w:vMerge w:val="continue"/>
            <w:tcBorders>
              <w:left w:val="nil"/>
              <w:bottom w:val="nil"/>
              <w:right w:val="nil"/>
            </w:tcBorders>
            <w:vAlign w:val="center"/>
          </w:tcPr>
          <w:p w14:paraId="0AA7EC1A">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p>
        </w:tc>
        <w:tc>
          <w:tcPr>
            <w:tcW w:w="2439" w:type="dxa"/>
            <w:tcBorders>
              <w:top w:val="nil"/>
              <w:left w:val="nil"/>
              <w:bottom w:val="nil"/>
              <w:right w:val="nil"/>
            </w:tcBorders>
            <w:vAlign w:val="center"/>
          </w:tcPr>
          <w:p w14:paraId="7407FC5F">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bCs/>
                <w:kern w:val="2"/>
              </w:rPr>
              <w:t>2.1-1.6</w:t>
            </w:r>
          </w:p>
        </w:tc>
        <w:tc>
          <w:tcPr>
            <w:tcW w:w="2439" w:type="dxa"/>
            <w:tcBorders>
              <w:top w:val="nil"/>
              <w:left w:val="nil"/>
              <w:bottom w:val="nil"/>
              <w:right w:val="nil"/>
            </w:tcBorders>
            <w:vAlign w:val="center"/>
          </w:tcPr>
          <w:p w14:paraId="189253FF">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t>7.79</w:t>
            </w:r>
            <w:r>
              <w:rPr>
                <w:rFonts w:hint="default" w:ascii="Times New Roman" w:hAnsi="Times New Roman" w:cs="Times New Roman"/>
                <w:bCs/>
                <w:kern w:val="2"/>
              </w:rPr>
              <w:t>×</w:t>
            </w:r>
            <w:r>
              <w:rPr>
                <w:rFonts w:hint="default" w:ascii="Times New Roman" w:hAnsi="Times New Roman" w:cs="Times New Roman"/>
              </w:rPr>
              <w:t>10</w:t>
            </w:r>
            <w:r>
              <w:rPr>
                <w:rFonts w:hint="default" w:ascii="Times New Roman" w:hAnsi="Times New Roman" w:cs="Times New Roman"/>
                <w:vertAlign w:val="superscript"/>
              </w:rPr>
              <w:t>-4</w:t>
            </w:r>
          </w:p>
        </w:tc>
      </w:tr>
      <w:tr w14:paraId="3F97B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642" w:type="dxa"/>
            <w:vMerge w:val="restart"/>
            <w:tcBorders>
              <w:top w:val="nil"/>
              <w:left w:val="nil"/>
              <w:right w:val="nil"/>
            </w:tcBorders>
            <w:vAlign w:val="center"/>
          </w:tcPr>
          <w:p w14:paraId="4E0277C9">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Cu-BTC</w:t>
            </w:r>
          </w:p>
        </w:tc>
        <w:tc>
          <w:tcPr>
            <w:tcW w:w="2439" w:type="dxa"/>
            <w:tcBorders>
              <w:top w:val="nil"/>
              <w:left w:val="nil"/>
              <w:bottom w:val="nil"/>
              <w:right w:val="nil"/>
            </w:tcBorders>
            <w:vAlign w:val="center"/>
          </w:tcPr>
          <w:p w14:paraId="01744DAB">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bCs/>
                <w:kern w:val="2"/>
              </w:rPr>
            </w:pPr>
            <w:r>
              <w:rPr>
                <w:rFonts w:hint="default" w:ascii="Times New Roman" w:hAnsi="Times New Roman" w:cs="Times New Roman"/>
                <w:bCs/>
                <w:kern w:val="2"/>
              </w:rPr>
              <w:t>2.8-2.2</w:t>
            </w:r>
          </w:p>
        </w:tc>
        <w:tc>
          <w:tcPr>
            <w:tcW w:w="2439" w:type="dxa"/>
            <w:tcBorders>
              <w:top w:val="nil"/>
              <w:left w:val="nil"/>
              <w:bottom w:val="nil"/>
              <w:right w:val="nil"/>
            </w:tcBorders>
            <w:vAlign w:val="center"/>
          </w:tcPr>
          <w:p w14:paraId="5E5DD0F6">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t>1.02</w:t>
            </w:r>
            <w:r>
              <w:rPr>
                <w:rFonts w:hint="default" w:ascii="Times New Roman" w:hAnsi="Times New Roman" w:cs="Times New Roman"/>
                <w:bCs/>
                <w:kern w:val="2"/>
              </w:rPr>
              <w:t>×</w:t>
            </w:r>
            <w:r>
              <w:rPr>
                <w:rFonts w:hint="default" w:ascii="Times New Roman" w:hAnsi="Times New Roman" w:cs="Times New Roman"/>
              </w:rPr>
              <w:t>10</w:t>
            </w:r>
            <w:r>
              <w:rPr>
                <w:rFonts w:hint="default" w:ascii="Times New Roman" w:hAnsi="Times New Roman" w:cs="Times New Roman"/>
                <w:vertAlign w:val="superscript"/>
              </w:rPr>
              <w:t xml:space="preserve">-3 </w:t>
            </w:r>
          </w:p>
        </w:tc>
      </w:tr>
      <w:tr w14:paraId="79129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642" w:type="dxa"/>
            <w:vMerge w:val="continue"/>
            <w:tcBorders>
              <w:left w:val="nil"/>
              <w:bottom w:val="nil"/>
              <w:right w:val="nil"/>
            </w:tcBorders>
            <w:vAlign w:val="center"/>
          </w:tcPr>
          <w:p w14:paraId="0535B263">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p>
        </w:tc>
        <w:tc>
          <w:tcPr>
            <w:tcW w:w="2439" w:type="dxa"/>
            <w:tcBorders>
              <w:top w:val="nil"/>
              <w:left w:val="nil"/>
              <w:bottom w:val="nil"/>
              <w:right w:val="nil"/>
            </w:tcBorders>
            <w:vAlign w:val="center"/>
          </w:tcPr>
          <w:p w14:paraId="1BDB7758">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bCs/>
                <w:kern w:val="2"/>
              </w:rPr>
              <w:t>2.1-1.6</w:t>
            </w:r>
          </w:p>
        </w:tc>
        <w:tc>
          <w:tcPr>
            <w:tcW w:w="2439" w:type="dxa"/>
            <w:tcBorders>
              <w:top w:val="nil"/>
              <w:left w:val="nil"/>
              <w:bottom w:val="nil"/>
              <w:right w:val="nil"/>
            </w:tcBorders>
            <w:vAlign w:val="center"/>
          </w:tcPr>
          <w:p w14:paraId="400480E4">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t>-</w:t>
            </w:r>
          </w:p>
        </w:tc>
      </w:tr>
      <w:tr w14:paraId="11B69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642" w:type="dxa"/>
            <w:vMerge w:val="restart"/>
            <w:tcBorders>
              <w:top w:val="nil"/>
              <w:left w:val="nil"/>
              <w:right w:val="nil"/>
            </w:tcBorders>
            <w:vAlign w:val="center"/>
          </w:tcPr>
          <w:p w14:paraId="61E9B24C">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eastAsia="MS Mincho" w:cs="Times New Roman"/>
              </w:rPr>
            </w:pPr>
            <w:r>
              <w:rPr>
                <w:rFonts w:hint="default" w:ascii="Times New Roman" w:hAnsi="Times New Roman" w:cs="Times New Roman"/>
              </w:rPr>
              <w:t>Fe-TCPP</w:t>
            </w:r>
          </w:p>
        </w:tc>
        <w:tc>
          <w:tcPr>
            <w:tcW w:w="2439" w:type="dxa"/>
            <w:tcBorders>
              <w:top w:val="nil"/>
              <w:left w:val="nil"/>
              <w:bottom w:val="nil"/>
              <w:right w:val="nil"/>
            </w:tcBorders>
            <w:vAlign w:val="center"/>
          </w:tcPr>
          <w:p w14:paraId="20719FC2">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bCs/>
                <w:kern w:val="2"/>
              </w:rPr>
            </w:pPr>
            <w:r>
              <w:rPr>
                <w:rFonts w:hint="default" w:ascii="Times New Roman" w:hAnsi="Times New Roman" w:cs="Times New Roman"/>
                <w:bCs/>
                <w:kern w:val="2"/>
              </w:rPr>
              <w:t>2.8-2.2</w:t>
            </w:r>
          </w:p>
        </w:tc>
        <w:tc>
          <w:tcPr>
            <w:tcW w:w="2439" w:type="dxa"/>
            <w:tcBorders>
              <w:top w:val="nil"/>
              <w:left w:val="nil"/>
              <w:bottom w:val="nil"/>
              <w:right w:val="nil"/>
            </w:tcBorders>
            <w:vAlign w:val="center"/>
          </w:tcPr>
          <w:p w14:paraId="310E807A">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w:t>
            </w:r>
          </w:p>
        </w:tc>
      </w:tr>
      <w:tr w14:paraId="051CF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642" w:type="dxa"/>
            <w:vMerge w:val="continue"/>
            <w:tcBorders>
              <w:left w:val="nil"/>
              <w:bottom w:val="nil"/>
              <w:right w:val="nil"/>
            </w:tcBorders>
            <w:vAlign w:val="center"/>
          </w:tcPr>
          <w:p w14:paraId="2558C044">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p>
        </w:tc>
        <w:tc>
          <w:tcPr>
            <w:tcW w:w="2439" w:type="dxa"/>
            <w:tcBorders>
              <w:top w:val="nil"/>
              <w:left w:val="nil"/>
              <w:bottom w:val="nil"/>
              <w:right w:val="nil"/>
            </w:tcBorders>
            <w:vAlign w:val="center"/>
          </w:tcPr>
          <w:p w14:paraId="391ABF9D">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bCs/>
                <w:kern w:val="2"/>
              </w:rPr>
              <w:t>2.1-1.6</w:t>
            </w:r>
          </w:p>
        </w:tc>
        <w:tc>
          <w:tcPr>
            <w:tcW w:w="2439" w:type="dxa"/>
            <w:tcBorders>
              <w:top w:val="nil"/>
              <w:left w:val="nil"/>
              <w:bottom w:val="nil"/>
              <w:right w:val="nil"/>
            </w:tcBorders>
            <w:vAlign w:val="center"/>
          </w:tcPr>
          <w:p w14:paraId="51773006">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t>3.89</w:t>
            </w:r>
            <w:r>
              <w:rPr>
                <w:rFonts w:hint="default" w:ascii="Times New Roman" w:hAnsi="Times New Roman" w:cs="Times New Roman"/>
                <w:bCs/>
                <w:kern w:val="2"/>
              </w:rPr>
              <w:t>×</w:t>
            </w:r>
            <w:r>
              <w:rPr>
                <w:rFonts w:hint="default" w:ascii="Times New Roman" w:hAnsi="Times New Roman" w:cs="Times New Roman"/>
              </w:rPr>
              <w:t>10</w:t>
            </w:r>
            <w:r>
              <w:rPr>
                <w:rFonts w:hint="default" w:ascii="Times New Roman" w:hAnsi="Times New Roman" w:cs="Times New Roman"/>
                <w:vertAlign w:val="superscript"/>
              </w:rPr>
              <w:t>-2</w:t>
            </w:r>
          </w:p>
        </w:tc>
      </w:tr>
      <w:tr w14:paraId="22C10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642" w:type="dxa"/>
            <w:tcBorders>
              <w:top w:val="nil"/>
              <w:left w:val="nil"/>
              <w:bottom w:val="single" w:color="auto" w:sz="12" w:space="0"/>
              <w:right w:val="nil"/>
            </w:tcBorders>
            <w:vAlign w:val="center"/>
          </w:tcPr>
          <w:p w14:paraId="33F351A0">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t>CNTs</w:t>
            </w:r>
          </w:p>
        </w:tc>
        <w:tc>
          <w:tcPr>
            <w:tcW w:w="2439" w:type="dxa"/>
            <w:tcBorders>
              <w:top w:val="nil"/>
              <w:left w:val="nil"/>
              <w:bottom w:val="single" w:color="auto" w:sz="12" w:space="0"/>
              <w:right w:val="nil"/>
            </w:tcBorders>
            <w:vAlign w:val="center"/>
          </w:tcPr>
          <w:p w14:paraId="38088788">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t>-</w:t>
            </w:r>
          </w:p>
        </w:tc>
        <w:tc>
          <w:tcPr>
            <w:tcW w:w="2439" w:type="dxa"/>
            <w:tcBorders>
              <w:top w:val="nil"/>
              <w:left w:val="nil"/>
              <w:bottom w:val="single" w:color="auto" w:sz="12" w:space="0"/>
              <w:right w:val="nil"/>
            </w:tcBorders>
            <w:vAlign w:val="center"/>
          </w:tcPr>
          <w:p w14:paraId="39DAE28C">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rPr>
            </w:pPr>
            <w:r>
              <w:rPr>
                <w:rFonts w:hint="default" w:ascii="Times New Roman" w:hAnsi="Times New Roman" w:cs="Times New Roman"/>
              </w:rPr>
              <w:t>-</w:t>
            </w:r>
          </w:p>
        </w:tc>
      </w:tr>
    </w:tbl>
    <w:p w14:paraId="6BABEF91">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b/>
          <w:bCs/>
          <w:sz w:val="24"/>
          <w:szCs w:val="24"/>
        </w:rPr>
      </w:pPr>
    </w:p>
    <w:p w14:paraId="5F7D8C6C">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b/>
          <w:bCs/>
          <w:sz w:val="24"/>
          <w:szCs w:val="24"/>
        </w:rPr>
      </w:pPr>
    </w:p>
    <w:p w14:paraId="45AF66D7">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br w:type="page"/>
      </w:r>
    </w:p>
    <w:p w14:paraId="081CA37E">
      <w:pPr>
        <w:keepNext w:val="0"/>
        <w:keepLines w:val="0"/>
        <w:pageBreakBefore w:val="0"/>
        <w:kinsoku/>
        <w:overflowPunct/>
        <w:topLinePunct w:val="0"/>
        <w:autoSpaceDN/>
        <w:bidi w:val="0"/>
        <w:spacing w:beforeAutospacing="0" w:after="0" w:afterAutospacing="0" w:line="480" w:lineRule="auto"/>
        <w:jc w:val="both"/>
        <w:textAlignment w:val="auto"/>
        <w:rPr>
          <w:rFonts w:hint="default" w:ascii="Times New Roman" w:hAnsi="Times New Roman" w:cs="Times New Roman"/>
          <w:sz w:val="24"/>
          <w:szCs w:val="24"/>
        </w:rPr>
      </w:pPr>
      <w:r>
        <w:rPr>
          <w:rFonts w:hint="default" w:ascii="Times New Roman" w:hAnsi="Times New Roman" w:cs="Times New Roman"/>
          <w:b/>
          <w:bCs/>
          <w:sz w:val="24"/>
          <w:szCs w:val="24"/>
        </w:rPr>
        <w:t xml:space="preserve">Supplementary Table 2. </w:t>
      </w:r>
      <w:r>
        <w:rPr>
          <w:rFonts w:hint="default" w:ascii="Times New Roman" w:hAnsi="Times New Roman" w:cs="Times New Roman"/>
          <w:sz w:val="24"/>
          <w:szCs w:val="24"/>
        </w:rPr>
        <w:t>The rate (</w:t>
      </w:r>
      <w:r>
        <w:rPr>
          <w:rFonts w:hint="default" w:ascii="Times New Roman" w:hAnsi="Times New Roman" w:eastAsia="宋体" w:cs="Times New Roman"/>
          <w:bCs/>
          <w:i/>
          <w:iCs/>
          <w:kern w:val="2"/>
          <w:sz w:val="24"/>
          <w:szCs w:val="24"/>
        </w:rPr>
        <w:t>V</w:t>
      </w:r>
      <w:r>
        <w:rPr>
          <w:rFonts w:hint="default" w:ascii="Times New Roman" w:hAnsi="Times New Roman" w:eastAsia="宋体" w:cs="Times New Roman"/>
          <w:bCs/>
          <w:i/>
          <w:iCs/>
          <w:kern w:val="2"/>
          <w:sz w:val="24"/>
          <w:szCs w:val="24"/>
          <w:vertAlign w:val="subscript"/>
        </w:rPr>
        <w:t>max</w:t>
      </w:r>
      <w:r>
        <w:rPr>
          <w:rFonts w:hint="default" w:ascii="Times New Roman" w:hAnsi="Times New Roman" w:cs="Times New Roman"/>
          <w:sz w:val="24"/>
          <w:szCs w:val="24"/>
        </w:rPr>
        <w:t xml:space="preserve">) at each voltage is fitted by the </w:t>
      </w:r>
      <w:r>
        <w:rPr>
          <w:rFonts w:hint="default" w:ascii="Times New Roman" w:hAnsi="Times New Roman" w:eastAsia="宋体" w:cs="Times New Roman"/>
          <w:bCs/>
          <w:kern w:val="2"/>
          <w:sz w:val="24"/>
          <w:szCs w:val="24"/>
        </w:rPr>
        <w:t xml:space="preserve">Michaelis‒Menten equation </w:t>
      </w:r>
      <w:r>
        <w:rPr>
          <w:rFonts w:hint="default" w:ascii="Times New Roman" w:hAnsi="Times New Roman" w:cs="Times New Roman"/>
          <w:sz w:val="24"/>
          <w:szCs w:val="24"/>
        </w:rPr>
        <w:t>of Fe-TCPP@Cu-BTC, Fe-TCPP, and Cu-BTC.</w:t>
      </w:r>
    </w:p>
    <w:tbl>
      <w:tblPr>
        <w:tblStyle w:val="7"/>
        <w:tblW w:w="82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5"/>
        <w:gridCol w:w="2214"/>
        <w:gridCol w:w="1603"/>
        <w:gridCol w:w="1819"/>
      </w:tblGrid>
      <w:tr w14:paraId="0CD8D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single" w:color="auto" w:sz="12" w:space="0"/>
              <w:left w:val="nil"/>
              <w:bottom w:val="single" w:color="auto" w:sz="12" w:space="0"/>
              <w:right w:val="nil"/>
            </w:tcBorders>
            <w:vAlign w:val="center"/>
          </w:tcPr>
          <w:p w14:paraId="58B24076">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Voltage</w:t>
            </w:r>
          </w:p>
          <w:p w14:paraId="7CE625BF">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(V vs. Li/Li</w:t>
            </w:r>
            <w:r>
              <w:rPr>
                <w:rFonts w:hint="default" w:ascii="Times New Roman" w:hAnsi="Times New Roman" w:eastAsia="宋体" w:cs="Times New Roman"/>
                <w:sz w:val="24"/>
                <w:szCs w:val="24"/>
                <w:vertAlign w:val="superscript"/>
              </w:rPr>
              <w:t>+</w:t>
            </w:r>
            <w:r>
              <w:rPr>
                <w:rFonts w:hint="default" w:ascii="Times New Roman" w:hAnsi="Times New Roman" w:eastAsia="宋体" w:cs="Times New Roman"/>
                <w:sz w:val="24"/>
                <w:szCs w:val="24"/>
              </w:rPr>
              <w:t>)</w:t>
            </w:r>
          </w:p>
        </w:tc>
        <w:tc>
          <w:tcPr>
            <w:tcW w:w="2214" w:type="dxa"/>
            <w:tcBorders>
              <w:top w:val="single" w:color="auto" w:sz="12" w:space="0"/>
              <w:left w:val="nil"/>
              <w:bottom w:val="single" w:color="auto" w:sz="12" w:space="0"/>
              <w:right w:val="nil"/>
            </w:tcBorders>
            <w:vAlign w:val="center"/>
          </w:tcPr>
          <w:p w14:paraId="51222A53">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Fe-TCPP@Cu-BTC</w:t>
            </w:r>
          </w:p>
          <w:p w14:paraId="21D95F16">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cs="Times New Roman"/>
                <w:sz w:val="24"/>
                <w:szCs w:val="24"/>
              </w:rPr>
              <w:t>mM min</w:t>
            </w:r>
            <w:r>
              <w:rPr>
                <w:rFonts w:hint="default" w:ascii="Times New Roman" w:hAnsi="Times New Roman" w:cs="Times New Roman"/>
                <w:sz w:val="24"/>
                <w:szCs w:val="24"/>
                <w:vertAlign w:val="superscript"/>
              </w:rPr>
              <w:t>-1</w:t>
            </w:r>
          </w:p>
        </w:tc>
        <w:tc>
          <w:tcPr>
            <w:tcW w:w="1603" w:type="dxa"/>
            <w:tcBorders>
              <w:top w:val="single" w:color="auto" w:sz="12" w:space="0"/>
              <w:left w:val="nil"/>
              <w:bottom w:val="single" w:color="auto" w:sz="12" w:space="0"/>
              <w:right w:val="nil"/>
            </w:tcBorders>
            <w:vAlign w:val="center"/>
          </w:tcPr>
          <w:p w14:paraId="1B278852">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Fe-TCPP</w:t>
            </w:r>
          </w:p>
          <w:p w14:paraId="40F6C042">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mM min</w:t>
            </w:r>
            <w:r>
              <w:rPr>
                <w:rFonts w:hint="default" w:ascii="Times New Roman" w:hAnsi="Times New Roman" w:cs="Times New Roman"/>
                <w:sz w:val="24"/>
                <w:szCs w:val="24"/>
                <w:vertAlign w:val="superscript"/>
              </w:rPr>
              <w:t>-1</w:t>
            </w:r>
          </w:p>
        </w:tc>
        <w:tc>
          <w:tcPr>
            <w:tcW w:w="1819" w:type="dxa"/>
            <w:tcBorders>
              <w:top w:val="single" w:color="auto" w:sz="12" w:space="0"/>
              <w:left w:val="nil"/>
              <w:bottom w:val="single" w:color="auto" w:sz="12" w:space="0"/>
              <w:right w:val="nil"/>
            </w:tcBorders>
            <w:vAlign w:val="center"/>
          </w:tcPr>
          <w:p w14:paraId="12E31843">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Cu-BTC</w:t>
            </w:r>
          </w:p>
          <w:p w14:paraId="45D550C0">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sz w:val="24"/>
                <w:szCs w:val="24"/>
              </w:rPr>
            </w:pPr>
            <w:r>
              <w:rPr>
                <w:rFonts w:hint="default" w:ascii="Times New Roman" w:hAnsi="Times New Roman" w:cs="Times New Roman"/>
                <w:sz w:val="24"/>
                <w:szCs w:val="24"/>
              </w:rPr>
              <w:t>mM min</w:t>
            </w:r>
            <w:r>
              <w:rPr>
                <w:rFonts w:hint="default" w:ascii="Times New Roman" w:hAnsi="Times New Roman" w:cs="Times New Roman"/>
                <w:sz w:val="24"/>
                <w:szCs w:val="24"/>
                <w:vertAlign w:val="superscript"/>
              </w:rPr>
              <w:t>-1</w:t>
            </w:r>
          </w:p>
        </w:tc>
      </w:tr>
      <w:tr w14:paraId="6C96A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single" w:color="auto" w:sz="12" w:space="0"/>
              <w:left w:val="nil"/>
              <w:bottom w:val="nil"/>
              <w:right w:val="nil"/>
            </w:tcBorders>
            <w:vAlign w:val="center"/>
          </w:tcPr>
          <w:p w14:paraId="28FFFFE7">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2.8</w:t>
            </w:r>
          </w:p>
        </w:tc>
        <w:tc>
          <w:tcPr>
            <w:tcW w:w="2214" w:type="dxa"/>
            <w:tcBorders>
              <w:top w:val="single" w:color="auto" w:sz="12" w:space="0"/>
              <w:left w:val="nil"/>
              <w:bottom w:val="nil"/>
              <w:right w:val="nil"/>
            </w:tcBorders>
            <w:vAlign w:val="center"/>
          </w:tcPr>
          <w:p w14:paraId="6B7D5E4A">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0</w:t>
            </w:r>
          </w:p>
        </w:tc>
        <w:tc>
          <w:tcPr>
            <w:tcW w:w="1603" w:type="dxa"/>
            <w:tcBorders>
              <w:top w:val="single" w:color="auto" w:sz="12" w:space="0"/>
              <w:left w:val="nil"/>
              <w:bottom w:val="nil"/>
              <w:right w:val="nil"/>
            </w:tcBorders>
            <w:vAlign w:val="center"/>
          </w:tcPr>
          <w:p w14:paraId="53F128E7">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0</w:t>
            </w:r>
          </w:p>
        </w:tc>
        <w:tc>
          <w:tcPr>
            <w:tcW w:w="1819" w:type="dxa"/>
            <w:tcBorders>
              <w:top w:val="single" w:color="auto" w:sz="12" w:space="0"/>
              <w:left w:val="nil"/>
              <w:bottom w:val="nil"/>
              <w:right w:val="nil"/>
            </w:tcBorders>
            <w:vAlign w:val="center"/>
          </w:tcPr>
          <w:p w14:paraId="5759E136">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0</w:t>
            </w:r>
          </w:p>
        </w:tc>
      </w:tr>
      <w:tr w14:paraId="7AA4A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37F9AD54">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2.7</w:t>
            </w:r>
          </w:p>
        </w:tc>
        <w:tc>
          <w:tcPr>
            <w:tcW w:w="2214" w:type="dxa"/>
            <w:tcBorders>
              <w:top w:val="nil"/>
              <w:left w:val="nil"/>
              <w:bottom w:val="nil"/>
              <w:right w:val="nil"/>
            </w:tcBorders>
            <w:vAlign w:val="center"/>
          </w:tcPr>
          <w:p w14:paraId="5929B671">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5.87E-4</w:t>
            </w:r>
          </w:p>
        </w:tc>
        <w:tc>
          <w:tcPr>
            <w:tcW w:w="1603" w:type="dxa"/>
            <w:tcBorders>
              <w:top w:val="nil"/>
              <w:left w:val="nil"/>
              <w:bottom w:val="nil"/>
              <w:right w:val="nil"/>
            </w:tcBorders>
            <w:vAlign w:val="center"/>
          </w:tcPr>
          <w:p w14:paraId="595C0FC3">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819" w:type="dxa"/>
            <w:tcBorders>
              <w:top w:val="nil"/>
              <w:left w:val="nil"/>
              <w:bottom w:val="nil"/>
              <w:right w:val="nil"/>
            </w:tcBorders>
            <w:vAlign w:val="center"/>
          </w:tcPr>
          <w:p w14:paraId="2185871C">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w:t>
            </w:r>
          </w:p>
        </w:tc>
      </w:tr>
      <w:tr w14:paraId="234D0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7F310D03">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2.6</w:t>
            </w:r>
          </w:p>
        </w:tc>
        <w:tc>
          <w:tcPr>
            <w:tcW w:w="2214" w:type="dxa"/>
            <w:tcBorders>
              <w:top w:val="nil"/>
              <w:left w:val="nil"/>
              <w:bottom w:val="nil"/>
              <w:right w:val="nil"/>
            </w:tcBorders>
            <w:vAlign w:val="center"/>
          </w:tcPr>
          <w:p w14:paraId="64358934">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3.85E-4</w:t>
            </w:r>
          </w:p>
        </w:tc>
        <w:tc>
          <w:tcPr>
            <w:tcW w:w="1603" w:type="dxa"/>
            <w:tcBorders>
              <w:top w:val="nil"/>
              <w:left w:val="nil"/>
              <w:bottom w:val="nil"/>
              <w:right w:val="nil"/>
            </w:tcBorders>
            <w:vAlign w:val="center"/>
          </w:tcPr>
          <w:p w14:paraId="6BC48B08">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819" w:type="dxa"/>
            <w:tcBorders>
              <w:top w:val="nil"/>
              <w:left w:val="nil"/>
              <w:bottom w:val="nil"/>
              <w:right w:val="nil"/>
            </w:tcBorders>
            <w:vAlign w:val="center"/>
          </w:tcPr>
          <w:p w14:paraId="4DBFFCA9">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w:t>
            </w:r>
          </w:p>
        </w:tc>
      </w:tr>
      <w:tr w14:paraId="145BB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26AB0B55">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2.5</w:t>
            </w:r>
          </w:p>
        </w:tc>
        <w:tc>
          <w:tcPr>
            <w:tcW w:w="2214" w:type="dxa"/>
            <w:tcBorders>
              <w:top w:val="nil"/>
              <w:left w:val="nil"/>
              <w:bottom w:val="nil"/>
              <w:right w:val="nil"/>
            </w:tcBorders>
            <w:vAlign w:val="center"/>
          </w:tcPr>
          <w:p w14:paraId="3976D920">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4.81E-4</w:t>
            </w:r>
          </w:p>
        </w:tc>
        <w:tc>
          <w:tcPr>
            <w:tcW w:w="1603" w:type="dxa"/>
            <w:tcBorders>
              <w:top w:val="nil"/>
              <w:left w:val="nil"/>
              <w:bottom w:val="nil"/>
              <w:right w:val="nil"/>
            </w:tcBorders>
            <w:vAlign w:val="center"/>
          </w:tcPr>
          <w:p w14:paraId="5F6F8D94">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3.59E-6</w:t>
            </w:r>
          </w:p>
        </w:tc>
        <w:tc>
          <w:tcPr>
            <w:tcW w:w="1819" w:type="dxa"/>
            <w:tcBorders>
              <w:top w:val="nil"/>
              <w:left w:val="nil"/>
              <w:bottom w:val="nil"/>
              <w:right w:val="nil"/>
            </w:tcBorders>
            <w:vAlign w:val="center"/>
          </w:tcPr>
          <w:p w14:paraId="7F59F6D1">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w:t>
            </w:r>
          </w:p>
        </w:tc>
      </w:tr>
      <w:tr w14:paraId="54763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361573BC">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2.4</w:t>
            </w:r>
          </w:p>
        </w:tc>
        <w:tc>
          <w:tcPr>
            <w:tcW w:w="2214" w:type="dxa"/>
            <w:tcBorders>
              <w:top w:val="nil"/>
              <w:left w:val="nil"/>
              <w:bottom w:val="nil"/>
              <w:right w:val="nil"/>
            </w:tcBorders>
            <w:vAlign w:val="center"/>
          </w:tcPr>
          <w:p w14:paraId="135A865F">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4.10E-4</w:t>
            </w:r>
          </w:p>
        </w:tc>
        <w:tc>
          <w:tcPr>
            <w:tcW w:w="1603" w:type="dxa"/>
            <w:tcBorders>
              <w:top w:val="nil"/>
              <w:left w:val="nil"/>
              <w:bottom w:val="nil"/>
              <w:right w:val="nil"/>
            </w:tcBorders>
            <w:vAlign w:val="center"/>
          </w:tcPr>
          <w:p w14:paraId="57B954DF">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3.77E-6</w:t>
            </w:r>
          </w:p>
        </w:tc>
        <w:tc>
          <w:tcPr>
            <w:tcW w:w="1819" w:type="dxa"/>
            <w:tcBorders>
              <w:top w:val="nil"/>
              <w:left w:val="nil"/>
              <w:bottom w:val="nil"/>
              <w:right w:val="nil"/>
            </w:tcBorders>
            <w:vAlign w:val="center"/>
          </w:tcPr>
          <w:p w14:paraId="0722A533">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w:t>
            </w:r>
          </w:p>
        </w:tc>
      </w:tr>
      <w:tr w14:paraId="46837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572D5898">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2.3</w:t>
            </w:r>
          </w:p>
        </w:tc>
        <w:tc>
          <w:tcPr>
            <w:tcW w:w="2214" w:type="dxa"/>
            <w:tcBorders>
              <w:top w:val="nil"/>
              <w:left w:val="nil"/>
              <w:bottom w:val="nil"/>
              <w:right w:val="nil"/>
            </w:tcBorders>
            <w:vAlign w:val="center"/>
          </w:tcPr>
          <w:p w14:paraId="59437262">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3.12E-4</w:t>
            </w:r>
          </w:p>
        </w:tc>
        <w:tc>
          <w:tcPr>
            <w:tcW w:w="1603" w:type="dxa"/>
            <w:tcBorders>
              <w:top w:val="nil"/>
              <w:left w:val="nil"/>
              <w:bottom w:val="nil"/>
              <w:right w:val="nil"/>
            </w:tcBorders>
            <w:vAlign w:val="center"/>
          </w:tcPr>
          <w:p w14:paraId="2325933E">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4.62E-6</w:t>
            </w:r>
          </w:p>
        </w:tc>
        <w:tc>
          <w:tcPr>
            <w:tcW w:w="1819" w:type="dxa"/>
            <w:tcBorders>
              <w:top w:val="nil"/>
              <w:left w:val="nil"/>
              <w:bottom w:val="nil"/>
              <w:right w:val="nil"/>
            </w:tcBorders>
            <w:vAlign w:val="center"/>
          </w:tcPr>
          <w:p w14:paraId="3DE588B0">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w:t>
            </w:r>
          </w:p>
        </w:tc>
      </w:tr>
      <w:tr w14:paraId="43DC4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330D095E">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2.2</w:t>
            </w:r>
          </w:p>
        </w:tc>
        <w:tc>
          <w:tcPr>
            <w:tcW w:w="2214" w:type="dxa"/>
            <w:tcBorders>
              <w:top w:val="nil"/>
              <w:left w:val="nil"/>
              <w:bottom w:val="nil"/>
              <w:right w:val="nil"/>
            </w:tcBorders>
            <w:vAlign w:val="center"/>
          </w:tcPr>
          <w:p w14:paraId="7A1FF7BF">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2.37E-4</w:t>
            </w:r>
          </w:p>
        </w:tc>
        <w:tc>
          <w:tcPr>
            <w:tcW w:w="1603" w:type="dxa"/>
            <w:tcBorders>
              <w:top w:val="nil"/>
              <w:left w:val="nil"/>
              <w:bottom w:val="nil"/>
              <w:right w:val="nil"/>
            </w:tcBorders>
            <w:vAlign w:val="center"/>
          </w:tcPr>
          <w:p w14:paraId="146BD586">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7.70E-6</w:t>
            </w:r>
          </w:p>
        </w:tc>
        <w:tc>
          <w:tcPr>
            <w:tcW w:w="1819" w:type="dxa"/>
            <w:tcBorders>
              <w:top w:val="nil"/>
              <w:left w:val="nil"/>
              <w:bottom w:val="nil"/>
              <w:right w:val="nil"/>
            </w:tcBorders>
            <w:vAlign w:val="center"/>
          </w:tcPr>
          <w:p w14:paraId="270022F9">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w:t>
            </w:r>
          </w:p>
        </w:tc>
      </w:tr>
      <w:tr w14:paraId="2A1A7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7C20B62F">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2.1</w:t>
            </w:r>
          </w:p>
        </w:tc>
        <w:tc>
          <w:tcPr>
            <w:tcW w:w="2214" w:type="dxa"/>
            <w:tcBorders>
              <w:top w:val="nil"/>
              <w:left w:val="nil"/>
              <w:bottom w:val="nil"/>
              <w:right w:val="nil"/>
            </w:tcBorders>
            <w:vAlign w:val="center"/>
          </w:tcPr>
          <w:p w14:paraId="1DB9F064">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1.87E-4</w:t>
            </w:r>
          </w:p>
        </w:tc>
        <w:tc>
          <w:tcPr>
            <w:tcW w:w="1603" w:type="dxa"/>
            <w:tcBorders>
              <w:top w:val="nil"/>
              <w:left w:val="nil"/>
              <w:bottom w:val="nil"/>
              <w:right w:val="nil"/>
            </w:tcBorders>
            <w:vAlign w:val="center"/>
          </w:tcPr>
          <w:p w14:paraId="47DB2057">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8.06E-6</w:t>
            </w:r>
          </w:p>
        </w:tc>
        <w:tc>
          <w:tcPr>
            <w:tcW w:w="1819" w:type="dxa"/>
            <w:tcBorders>
              <w:top w:val="nil"/>
              <w:left w:val="nil"/>
              <w:bottom w:val="nil"/>
              <w:right w:val="nil"/>
            </w:tcBorders>
            <w:vAlign w:val="center"/>
          </w:tcPr>
          <w:p w14:paraId="610C4E50">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1.24E-6</w:t>
            </w:r>
          </w:p>
        </w:tc>
      </w:tr>
      <w:tr w14:paraId="29D02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389C11CA">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w:t>
            </w:r>
          </w:p>
        </w:tc>
        <w:tc>
          <w:tcPr>
            <w:tcW w:w="2214" w:type="dxa"/>
            <w:tcBorders>
              <w:top w:val="nil"/>
              <w:left w:val="nil"/>
              <w:bottom w:val="nil"/>
              <w:right w:val="nil"/>
            </w:tcBorders>
            <w:vAlign w:val="center"/>
          </w:tcPr>
          <w:p w14:paraId="30DEAACD">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1.54E-4</w:t>
            </w:r>
          </w:p>
        </w:tc>
        <w:tc>
          <w:tcPr>
            <w:tcW w:w="1603" w:type="dxa"/>
            <w:tcBorders>
              <w:top w:val="nil"/>
              <w:left w:val="nil"/>
              <w:bottom w:val="nil"/>
              <w:right w:val="nil"/>
            </w:tcBorders>
            <w:vAlign w:val="center"/>
          </w:tcPr>
          <w:p w14:paraId="32DE2F95">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8.47E-6</w:t>
            </w:r>
          </w:p>
        </w:tc>
        <w:tc>
          <w:tcPr>
            <w:tcW w:w="1819" w:type="dxa"/>
            <w:tcBorders>
              <w:top w:val="nil"/>
              <w:left w:val="nil"/>
              <w:bottom w:val="nil"/>
              <w:right w:val="nil"/>
            </w:tcBorders>
            <w:vAlign w:val="center"/>
          </w:tcPr>
          <w:p w14:paraId="775AE369">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1.24E-6</w:t>
            </w:r>
          </w:p>
        </w:tc>
      </w:tr>
      <w:tr w14:paraId="23248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21ACA168">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1.9</w:t>
            </w:r>
          </w:p>
        </w:tc>
        <w:tc>
          <w:tcPr>
            <w:tcW w:w="2214" w:type="dxa"/>
            <w:tcBorders>
              <w:top w:val="nil"/>
              <w:left w:val="nil"/>
              <w:bottom w:val="nil"/>
              <w:right w:val="nil"/>
            </w:tcBorders>
            <w:vAlign w:val="center"/>
          </w:tcPr>
          <w:p w14:paraId="29B2C21E">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1.35E-4</w:t>
            </w:r>
          </w:p>
        </w:tc>
        <w:tc>
          <w:tcPr>
            <w:tcW w:w="1603" w:type="dxa"/>
            <w:tcBorders>
              <w:top w:val="nil"/>
              <w:left w:val="nil"/>
              <w:bottom w:val="nil"/>
              <w:right w:val="nil"/>
            </w:tcBorders>
            <w:vAlign w:val="center"/>
          </w:tcPr>
          <w:p w14:paraId="24887FAF">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819" w:type="dxa"/>
            <w:tcBorders>
              <w:top w:val="nil"/>
              <w:left w:val="nil"/>
              <w:bottom w:val="nil"/>
              <w:right w:val="nil"/>
            </w:tcBorders>
            <w:vAlign w:val="center"/>
          </w:tcPr>
          <w:p w14:paraId="0B7F828E">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1.20E-6</w:t>
            </w:r>
          </w:p>
        </w:tc>
      </w:tr>
      <w:tr w14:paraId="1930C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0DF280B4">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1.8</w:t>
            </w:r>
          </w:p>
        </w:tc>
        <w:tc>
          <w:tcPr>
            <w:tcW w:w="2214" w:type="dxa"/>
            <w:tcBorders>
              <w:top w:val="nil"/>
              <w:left w:val="nil"/>
              <w:bottom w:val="nil"/>
              <w:right w:val="nil"/>
            </w:tcBorders>
            <w:vAlign w:val="center"/>
          </w:tcPr>
          <w:p w14:paraId="7C25797D">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1.18E-4</w:t>
            </w:r>
          </w:p>
        </w:tc>
        <w:tc>
          <w:tcPr>
            <w:tcW w:w="1603" w:type="dxa"/>
            <w:tcBorders>
              <w:top w:val="nil"/>
              <w:left w:val="nil"/>
              <w:bottom w:val="nil"/>
              <w:right w:val="nil"/>
            </w:tcBorders>
            <w:vAlign w:val="center"/>
          </w:tcPr>
          <w:p w14:paraId="74B43327">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819" w:type="dxa"/>
            <w:tcBorders>
              <w:top w:val="nil"/>
              <w:left w:val="nil"/>
              <w:bottom w:val="nil"/>
              <w:right w:val="nil"/>
            </w:tcBorders>
            <w:vAlign w:val="center"/>
          </w:tcPr>
          <w:p w14:paraId="33C37D6E">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1.49E-6</w:t>
            </w:r>
          </w:p>
        </w:tc>
      </w:tr>
      <w:tr w14:paraId="2C6E6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nil"/>
              <w:right w:val="nil"/>
            </w:tcBorders>
            <w:vAlign w:val="center"/>
          </w:tcPr>
          <w:p w14:paraId="05EEBFEB">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1.7</w:t>
            </w:r>
          </w:p>
        </w:tc>
        <w:tc>
          <w:tcPr>
            <w:tcW w:w="2214" w:type="dxa"/>
            <w:tcBorders>
              <w:top w:val="nil"/>
              <w:left w:val="nil"/>
              <w:bottom w:val="nil"/>
              <w:right w:val="nil"/>
            </w:tcBorders>
            <w:vAlign w:val="center"/>
          </w:tcPr>
          <w:p w14:paraId="30ECDB98">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9.95E-5</w:t>
            </w:r>
          </w:p>
        </w:tc>
        <w:tc>
          <w:tcPr>
            <w:tcW w:w="1603" w:type="dxa"/>
            <w:tcBorders>
              <w:top w:val="nil"/>
              <w:left w:val="nil"/>
              <w:bottom w:val="nil"/>
              <w:right w:val="nil"/>
            </w:tcBorders>
            <w:vAlign w:val="center"/>
          </w:tcPr>
          <w:p w14:paraId="4DC7D774">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819" w:type="dxa"/>
            <w:tcBorders>
              <w:top w:val="nil"/>
              <w:left w:val="nil"/>
              <w:bottom w:val="nil"/>
              <w:right w:val="nil"/>
            </w:tcBorders>
            <w:vAlign w:val="center"/>
          </w:tcPr>
          <w:p w14:paraId="574259C4">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2.26E-6</w:t>
            </w:r>
          </w:p>
        </w:tc>
      </w:tr>
      <w:tr w14:paraId="4B9F1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25" w:type="dxa"/>
            <w:tcBorders>
              <w:top w:val="nil"/>
              <w:left w:val="nil"/>
              <w:bottom w:val="single" w:color="auto" w:sz="12" w:space="0"/>
              <w:right w:val="nil"/>
            </w:tcBorders>
            <w:vAlign w:val="center"/>
          </w:tcPr>
          <w:p w14:paraId="1DD041FD">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1.6</w:t>
            </w:r>
          </w:p>
        </w:tc>
        <w:tc>
          <w:tcPr>
            <w:tcW w:w="2214" w:type="dxa"/>
            <w:tcBorders>
              <w:top w:val="nil"/>
              <w:left w:val="nil"/>
              <w:bottom w:val="single" w:color="auto" w:sz="12" w:space="0"/>
              <w:right w:val="nil"/>
            </w:tcBorders>
            <w:vAlign w:val="center"/>
          </w:tcPr>
          <w:p w14:paraId="0427E728">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8.56E-5</w:t>
            </w:r>
          </w:p>
        </w:tc>
        <w:tc>
          <w:tcPr>
            <w:tcW w:w="1603" w:type="dxa"/>
            <w:tcBorders>
              <w:top w:val="nil"/>
              <w:left w:val="nil"/>
              <w:bottom w:val="single" w:color="auto" w:sz="12" w:space="0"/>
              <w:right w:val="nil"/>
            </w:tcBorders>
            <w:vAlign w:val="center"/>
          </w:tcPr>
          <w:p w14:paraId="039B9237">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eastAsiaTheme="minorEastAsia"/>
              </w:rPr>
              <w:t>-</w:t>
            </w:r>
          </w:p>
        </w:tc>
        <w:tc>
          <w:tcPr>
            <w:tcW w:w="1819" w:type="dxa"/>
            <w:tcBorders>
              <w:top w:val="nil"/>
              <w:left w:val="nil"/>
              <w:bottom w:val="single" w:color="auto" w:sz="12" w:space="0"/>
              <w:right w:val="nil"/>
            </w:tcBorders>
            <w:vAlign w:val="center"/>
          </w:tcPr>
          <w:p w14:paraId="25850233">
            <w:pPr>
              <w:pStyle w:val="5"/>
              <w:keepNext w:val="0"/>
              <w:keepLines w:val="0"/>
              <w:pageBreakBefore w:val="0"/>
              <w:widowControl/>
              <w:kinsoku/>
              <w:overflowPunct/>
              <w:topLinePunct w:val="0"/>
              <w:autoSpaceDN/>
              <w:bidi w:val="0"/>
              <w:spacing w:before="0" w:beforeAutospacing="0" w:after="0" w:afterAutospacing="0" w:line="480" w:lineRule="auto"/>
              <w:jc w:val="center"/>
              <w:textAlignment w:val="auto"/>
              <w:rPr>
                <w:rFonts w:hint="default" w:ascii="Times New Roman" w:hAnsi="Times New Roman" w:cs="Times New Roman" w:eastAsiaTheme="minorEastAsia"/>
              </w:rPr>
            </w:pPr>
            <w:r>
              <w:rPr>
                <w:rFonts w:hint="default" w:ascii="Times New Roman" w:hAnsi="Times New Roman" w:cs="Times New Roman"/>
              </w:rPr>
              <w:t>2.14E-6</w:t>
            </w:r>
          </w:p>
        </w:tc>
      </w:tr>
    </w:tbl>
    <w:p w14:paraId="70FD6160">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br w:type="page"/>
      </w:r>
    </w:p>
    <w:p w14:paraId="43433299">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 xml:space="preserve">Supplementary Table 3. </w:t>
      </w:r>
      <w:r>
        <w:rPr>
          <w:rFonts w:hint="default" w:ascii="Times New Roman" w:hAnsi="Times New Roman" w:cs="Times New Roman"/>
          <w:sz w:val="24"/>
          <w:szCs w:val="24"/>
        </w:rPr>
        <w:t>EIS of Fe-TCPP@Cu-BTC cells after various cycles.</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0"/>
        <w:gridCol w:w="1539"/>
        <w:gridCol w:w="1556"/>
        <w:gridCol w:w="1556"/>
      </w:tblGrid>
      <w:tr w14:paraId="4E03B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single" w:color="auto" w:sz="12" w:space="0"/>
              <w:left w:val="nil"/>
              <w:bottom w:val="single" w:color="auto" w:sz="12" w:space="0"/>
              <w:right w:val="nil"/>
            </w:tcBorders>
          </w:tcPr>
          <w:p w14:paraId="34A51269">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Cycle number</w:t>
            </w:r>
          </w:p>
        </w:tc>
        <w:tc>
          <w:tcPr>
            <w:tcW w:w="1539" w:type="dxa"/>
            <w:tcBorders>
              <w:top w:val="single" w:color="auto" w:sz="12" w:space="0"/>
              <w:left w:val="nil"/>
              <w:bottom w:val="single" w:color="auto" w:sz="12" w:space="0"/>
              <w:right w:val="nil"/>
            </w:tcBorders>
          </w:tcPr>
          <w:p w14:paraId="4A4662AB">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e</w:t>
            </w:r>
            <w:r>
              <w:rPr>
                <w:rFonts w:hint="default" w:ascii="Times New Roman" w:hAnsi="Times New Roman" w:eastAsia="MS Mincho" w:cs="Times New Roman"/>
                <w:sz w:val="24"/>
                <w:szCs w:val="24"/>
              </w:rPr>
              <w:t xml:space="preserve"> (Ω)</w:t>
            </w:r>
          </w:p>
        </w:tc>
        <w:tc>
          <w:tcPr>
            <w:tcW w:w="1556" w:type="dxa"/>
            <w:tcBorders>
              <w:top w:val="single" w:color="auto" w:sz="12" w:space="0"/>
              <w:left w:val="nil"/>
              <w:bottom w:val="single" w:color="auto" w:sz="12" w:space="0"/>
              <w:right w:val="nil"/>
            </w:tcBorders>
          </w:tcPr>
          <w:p w14:paraId="67D6E548">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ct</w:t>
            </w:r>
            <w:r>
              <w:rPr>
                <w:rFonts w:hint="default" w:ascii="Times New Roman" w:hAnsi="Times New Roman" w:eastAsia="MS Mincho" w:cs="Times New Roman"/>
                <w:sz w:val="24"/>
                <w:szCs w:val="24"/>
              </w:rPr>
              <w:t xml:space="preserve"> (Ω)</w:t>
            </w:r>
          </w:p>
        </w:tc>
        <w:tc>
          <w:tcPr>
            <w:tcW w:w="1556" w:type="dxa"/>
            <w:tcBorders>
              <w:top w:val="single" w:color="auto" w:sz="12" w:space="0"/>
              <w:left w:val="nil"/>
              <w:bottom w:val="single" w:color="auto" w:sz="12" w:space="0"/>
              <w:right w:val="nil"/>
            </w:tcBorders>
          </w:tcPr>
          <w:p w14:paraId="3B7B8003">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mt</w:t>
            </w:r>
            <w:r>
              <w:rPr>
                <w:rFonts w:hint="default" w:ascii="Times New Roman" w:hAnsi="Times New Roman" w:eastAsia="MS Mincho" w:cs="Times New Roman"/>
                <w:sz w:val="24"/>
                <w:szCs w:val="24"/>
              </w:rPr>
              <w:t xml:space="preserve"> (Ω)</w:t>
            </w:r>
          </w:p>
        </w:tc>
      </w:tr>
      <w:tr w14:paraId="3B324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single" w:color="auto" w:sz="12" w:space="0"/>
              <w:left w:val="nil"/>
              <w:bottom w:val="nil"/>
              <w:right w:val="nil"/>
            </w:tcBorders>
          </w:tcPr>
          <w:p w14:paraId="4844EED1">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0</w:t>
            </w:r>
          </w:p>
        </w:tc>
        <w:tc>
          <w:tcPr>
            <w:tcW w:w="1539" w:type="dxa"/>
            <w:tcBorders>
              <w:top w:val="single" w:color="auto" w:sz="12" w:space="0"/>
              <w:left w:val="nil"/>
              <w:bottom w:val="nil"/>
              <w:right w:val="nil"/>
            </w:tcBorders>
          </w:tcPr>
          <w:p w14:paraId="284F6AB4">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7.8</w:t>
            </w:r>
          </w:p>
        </w:tc>
        <w:tc>
          <w:tcPr>
            <w:tcW w:w="1556" w:type="dxa"/>
            <w:tcBorders>
              <w:top w:val="single" w:color="auto" w:sz="12" w:space="0"/>
              <w:left w:val="nil"/>
              <w:bottom w:val="nil"/>
              <w:right w:val="nil"/>
            </w:tcBorders>
          </w:tcPr>
          <w:p w14:paraId="1C168B95">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172.1</w:t>
            </w:r>
          </w:p>
        </w:tc>
        <w:tc>
          <w:tcPr>
            <w:tcW w:w="1556" w:type="dxa"/>
            <w:tcBorders>
              <w:top w:val="single" w:color="auto" w:sz="12" w:space="0"/>
              <w:left w:val="nil"/>
              <w:bottom w:val="nil"/>
              <w:right w:val="nil"/>
            </w:tcBorders>
          </w:tcPr>
          <w:p w14:paraId="49F7636E">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191.9</w:t>
            </w:r>
          </w:p>
        </w:tc>
      </w:tr>
      <w:tr w14:paraId="5ACE2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nil"/>
              <w:left w:val="nil"/>
              <w:bottom w:val="nil"/>
              <w:right w:val="nil"/>
            </w:tcBorders>
          </w:tcPr>
          <w:p w14:paraId="47CD661F">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w:t>
            </w:r>
          </w:p>
        </w:tc>
        <w:tc>
          <w:tcPr>
            <w:tcW w:w="1539" w:type="dxa"/>
            <w:tcBorders>
              <w:top w:val="nil"/>
              <w:left w:val="nil"/>
              <w:bottom w:val="nil"/>
              <w:right w:val="nil"/>
            </w:tcBorders>
          </w:tcPr>
          <w:p w14:paraId="19938FF6">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2.2</w:t>
            </w:r>
          </w:p>
        </w:tc>
        <w:tc>
          <w:tcPr>
            <w:tcW w:w="1556" w:type="dxa"/>
            <w:tcBorders>
              <w:top w:val="nil"/>
              <w:left w:val="nil"/>
              <w:bottom w:val="nil"/>
              <w:right w:val="nil"/>
            </w:tcBorders>
          </w:tcPr>
          <w:p w14:paraId="54C5BD70">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40.5</w:t>
            </w:r>
          </w:p>
        </w:tc>
        <w:tc>
          <w:tcPr>
            <w:tcW w:w="1556" w:type="dxa"/>
            <w:tcBorders>
              <w:top w:val="nil"/>
              <w:left w:val="nil"/>
              <w:bottom w:val="nil"/>
              <w:right w:val="nil"/>
            </w:tcBorders>
          </w:tcPr>
          <w:p w14:paraId="111ADA83">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35.6</w:t>
            </w:r>
          </w:p>
        </w:tc>
      </w:tr>
      <w:tr w14:paraId="45141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nil"/>
              <w:left w:val="nil"/>
              <w:bottom w:val="single" w:color="auto" w:sz="12" w:space="0"/>
              <w:right w:val="nil"/>
            </w:tcBorders>
          </w:tcPr>
          <w:p w14:paraId="39D9179E">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10</w:t>
            </w:r>
          </w:p>
        </w:tc>
        <w:tc>
          <w:tcPr>
            <w:tcW w:w="1539" w:type="dxa"/>
            <w:tcBorders>
              <w:top w:val="nil"/>
              <w:left w:val="nil"/>
              <w:bottom w:val="single" w:color="auto" w:sz="12" w:space="0"/>
              <w:right w:val="nil"/>
            </w:tcBorders>
          </w:tcPr>
          <w:p w14:paraId="5924DDBF">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4.5</w:t>
            </w:r>
          </w:p>
        </w:tc>
        <w:tc>
          <w:tcPr>
            <w:tcW w:w="1556" w:type="dxa"/>
            <w:tcBorders>
              <w:top w:val="nil"/>
              <w:left w:val="nil"/>
              <w:bottom w:val="single" w:color="auto" w:sz="12" w:space="0"/>
              <w:right w:val="nil"/>
            </w:tcBorders>
          </w:tcPr>
          <w:p w14:paraId="386509B7">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31.3</w:t>
            </w:r>
          </w:p>
        </w:tc>
        <w:tc>
          <w:tcPr>
            <w:tcW w:w="1556" w:type="dxa"/>
            <w:tcBorders>
              <w:top w:val="nil"/>
              <w:left w:val="nil"/>
              <w:bottom w:val="single" w:color="auto" w:sz="12" w:space="0"/>
              <w:right w:val="nil"/>
            </w:tcBorders>
          </w:tcPr>
          <w:p w14:paraId="44D0B5DC">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36.7</w:t>
            </w:r>
          </w:p>
        </w:tc>
      </w:tr>
    </w:tbl>
    <w:p w14:paraId="3FA60055">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bCs/>
          <w:sz w:val="24"/>
          <w:szCs w:val="24"/>
        </w:rPr>
      </w:pPr>
    </w:p>
    <w:p w14:paraId="116E0365">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 xml:space="preserve">Supplementary Table 4. </w:t>
      </w:r>
      <w:r>
        <w:rPr>
          <w:rFonts w:hint="default" w:ascii="Times New Roman" w:hAnsi="Times New Roman" w:cs="Times New Roman"/>
          <w:sz w:val="24"/>
          <w:szCs w:val="24"/>
        </w:rPr>
        <w:t>EIS of Cu-BTC cells after various cycle numbers.</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0"/>
        <w:gridCol w:w="1539"/>
        <w:gridCol w:w="1556"/>
        <w:gridCol w:w="1556"/>
      </w:tblGrid>
      <w:tr w14:paraId="4A762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single" w:color="auto" w:sz="12" w:space="0"/>
              <w:left w:val="nil"/>
              <w:bottom w:val="single" w:color="auto" w:sz="12" w:space="0"/>
              <w:right w:val="nil"/>
            </w:tcBorders>
          </w:tcPr>
          <w:p w14:paraId="7EEB01C5">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Cycle number</w:t>
            </w:r>
          </w:p>
        </w:tc>
        <w:tc>
          <w:tcPr>
            <w:tcW w:w="1539" w:type="dxa"/>
            <w:tcBorders>
              <w:top w:val="single" w:color="auto" w:sz="12" w:space="0"/>
              <w:left w:val="nil"/>
              <w:bottom w:val="single" w:color="auto" w:sz="12" w:space="0"/>
              <w:right w:val="nil"/>
            </w:tcBorders>
          </w:tcPr>
          <w:p w14:paraId="2FC1576B">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e</w:t>
            </w:r>
            <w:r>
              <w:rPr>
                <w:rFonts w:hint="default" w:ascii="Times New Roman" w:hAnsi="Times New Roman" w:eastAsia="MS Mincho" w:cs="Times New Roman"/>
                <w:sz w:val="24"/>
                <w:szCs w:val="24"/>
              </w:rPr>
              <w:t xml:space="preserve"> (Ω)</w:t>
            </w:r>
          </w:p>
        </w:tc>
        <w:tc>
          <w:tcPr>
            <w:tcW w:w="1556" w:type="dxa"/>
            <w:tcBorders>
              <w:top w:val="single" w:color="auto" w:sz="12" w:space="0"/>
              <w:left w:val="nil"/>
              <w:bottom w:val="single" w:color="auto" w:sz="12" w:space="0"/>
              <w:right w:val="nil"/>
            </w:tcBorders>
          </w:tcPr>
          <w:p w14:paraId="0BA38A84">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ct</w:t>
            </w:r>
            <w:r>
              <w:rPr>
                <w:rFonts w:hint="default" w:ascii="Times New Roman" w:hAnsi="Times New Roman" w:eastAsia="MS Mincho" w:cs="Times New Roman"/>
                <w:sz w:val="24"/>
                <w:szCs w:val="24"/>
              </w:rPr>
              <w:t xml:space="preserve"> (Ω)</w:t>
            </w:r>
          </w:p>
        </w:tc>
        <w:tc>
          <w:tcPr>
            <w:tcW w:w="1556" w:type="dxa"/>
            <w:tcBorders>
              <w:top w:val="single" w:color="auto" w:sz="12" w:space="0"/>
              <w:left w:val="nil"/>
              <w:bottom w:val="single" w:color="auto" w:sz="12" w:space="0"/>
              <w:right w:val="nil"/>
            </w:tcBorders>
          </w:tcPr>
          <w:p w14:paraId="1752E329">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mt</w:t>
            </w:r>
            <w:r>
              <w:rPr>
                <w:rFonts w:hint="default" w:ascii="Times New Roman" w:hAnsi="Times New Roman" w:eastAsia="MS Mincho" w:cs="Times New Roman"/>
                <w:sz w:val="24"/>
                <w:szCs w:val="24"/>
              </w:rPr>
              <w:t xml:space="preserve"> (Ω)</w:t>
            </w:r>
          </w:p>
        </w:tc>
      </w:tr>
      <w:tr w14:paraId="28F49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single" w:color="auto" w:sz="12" w:space="0"/>
              <w:left w:val="nil"/>
              <w:bottom w:val="nil"/>
              <w:right w:val="nil"/>
            </w:tcBorders>
          </w:tcPr>
          <w:p w14:paraId="7ED42C39">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0</w:t>
            </w:r>
          </w:p>
        </w:tc>
        <w:tc>
          <w:tcPr>
            <w:tcW w:w="1539" w:type="dxa"/>
            <w:tcBorders>
              <w:top w:val="single" w:color="auto" w:sz="12" w:space="0"/>
              <w:left w:val="nil"/>
              <w:bottom w:val="nil"/>
              <w:right w:val="nil"/>
            </w:tcBorders>
          </w:tcPr>
          <w:p w14:paraId="7A2BF83C">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9.5</w:t>
            </w:r>
          </w:p>
        </w:tc>
        <w:tc>
          <w:tcPr>
            <w:tcW w:w="1556" w:type="dxa"/>
            <w:tcBorders>
              <w:top w:val="single" w:color="auto" w:sz="12" w:space="0"/>
              <w:left w:val="nil"/>
              <w:bottom w:val="nil"/>
              <w:right w:val="nil"/>
            </w:tcBorders>
          </w:tcPr>
          <w:p w14:paraId="2EE269E4">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221.8</w:t>
            </w:r>
          </w:p>
        </w:tc>
        <w:tc>
          <w:tcPr>
            <w:tcW w:w="1556" w:type="dxa"/>
            <w:tcBorders>
              <w:top w:val="single" w:color="auto" w:sz="12" w:space="0"/>
              <w:left w:val="nil"/>
              <w:bottom w:val="nil"/>
              <w:right w:val="nil"/>
            </w:tcBorders>
          </w:tcPr>
          <w:p w14:paraId="4098CADC">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243.6</w:t>
            </w:r>
          </w:p>
        </w:tc>
      </w:tr>
      <w:tr w14:paraId="25E54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nil"/>
              <w:left w:val="nil"/>
              <w:bottom w:val="nil"/>
              <w:right w:val="nil"/>
            </w:tcBorders>
          </w:tcPr>
          <w:p w14:paraId="0B53ACC3">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w:t>
            </w:r>
          </w:p>
        </w:tc>
        <w:tc>
          <w:tcPr>
            <w:tcW w:w="1539" w:type="dxa"/>
            <w:tcBorders>
              <w:top w:val="nil"/>
              <w:left w:val="nil"/>
              <w:bottom w:val="nil"/>
              <w:right w:val="nil"/>
            </w:tcBorders>
          </w:tcPr>
          <w:p w14:paraId="3DA2EA6C">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4.6</w:t>
            </w:r>
          </w:p>
        </w:tc>
        <w:tc>
          <w:tcPr>
            <w:tcW w:w="1556" w:type="dxa"/>
            <w:tcBorders>
              <w:top w:val="nil"/>
              <w:left w:val="nil"/>
              <w:bottom w:val="nil"/>
              <w:right w:val="nil"/>
            </w:tcBorders>
          </w:tcPr>
          <w:p w14:paraId="199F331B">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122.7</w:t>
            </w:r>
          </w:p>
        </w:tc>
        <w:tc>
          <w:tcPr>
            <w:tcW w:w="1556" w:type="dxa"/>
            <w:tcBorders>
              <w:top w:val="nil"/>
              <w:left w:val="nil"/>
              <w:bottom w:val="nil"/>
              <w:right w:val="nil"/>
            </w:tcBorders>
          </w:tcPr>
          <w:p w14:paraId="3FA48E3D">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120.5</w:t>
            </w:r>
          </w:p>
        </w:tc>
      </w:tr>
      <w:tr w14:paraId="135E9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nil"/>
              <w:left w:val="nil"/>
              <w:bottom w:val="single" w:color="auto" w:sz="12" w:space="0"/>
              <w:right w:val="nil"/>
            </w:tcBorders>
          </w:tcPr>
          <w:p w14:paraId="11381B0E">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10</w:t>
            </w:r>
          </w:p>
        </w:tc>
        <w:tc>
          <w:tcPr>
            <w:tcW w:w="1539" w:type="dxa"/>
            <w:tcBorders>
              <w:top w:val="nil"/>
              <w:left w:val="nil"/>
              <w:bottom w:val="single" w:color="auto" w:sz="12" w:space="0"/>
              <w:right w:val="nil"/>
            </w:tcBorders>
          </w:tcPr>
          <w:p w14:paraId="0812CCCE">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3.1</w:t>
            </w:r>
          </w:p>
        </w:tc>
        <w:tc>
          <w:tcPr>
            <w:tcW w:w="1556" w:type="dxa"/>
            <w:tcBorders>
              <w:top w:val="nil"/>
              <w:left w:val="nil"/>
              <w:bottom w:val="single" w:color="auto" w:sz="12" w:space="0"/>
              <w:right w:val="nil"/>
            </w:tcBorders>
          </w:tcPr>
          <w:p w14:paraId="4F8AFA09">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90.4</w:t>
            </w:r>
          </w:p>
        </w:tc>
        <w:tc>
          <w:tcPr>
            <w:tcW w:w="1556" w:type="dxa"/>
            <w:tcBorders>
              <w:top w:val="nil"/>
              <w:left w:val="nil"/>
              <w:bottom w:val="single" w:color="auto" w:sz="12" w:space="0"/>
              <w:right w:val="nil"/>
            </w:tcBorders>
          </w:tcPr>
          <w:p w14:paraId="1860B5D2">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97.6</w:t>
            </w:r>
          </w:p>
        </w:tc>
      </w:tr>
    </w:tbl>
    <w:p w14:paraId="35EBD99B">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p>
    <w:p w14:paraId="3F822CAC">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 xml:space="preserve">Supplementary Table 5. </w:t>
      </w:r>
      <w:r>
        <w:rPr>
          <w:rFonts w:hint="default" w:ascii="Times New Roman" w:hAnsi="Times New Roman" w:cs="Times New Roman"/>
          <w:sz w:val="24"/>
          <w:szCs w:val="24"/>
        </w:rPr>
        <w:t>EIS of Fe-TCPP cells after various cycle numbers.</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0"/>
        <w:gridCol w:w="1539"/>
        <w:gridCol w:w="1556"/>
        <w:gridCol w:w="1556"/>
      </w:tblGrid>
      <w:tr w14:paraId="4AD5B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single" w:color="auto" w:sz="12" w:space="0"/>
              <w:left w:val="nil"/>
              <w:bottom w:val="single" w:color="auto" w:sz="12" w:space="0"/>
              <w:right w:val="nil"/>
            </w:tcBorders>
          </w:tcPr>
          <w:p w14:paraId="0CDE46D7">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Cycle number</w:t>
            </w:r>
          </w:p>
        </w:tc>
        <w:tc>
          <w:tcPr>
            <w:tcW w:w="1539" w:type="dxa"/>
            <w:tcBorders>
              <w:top w:val="single" w:color="auto" w:sz="12" w:space="0"/>
              <w:left w:val="nil"/>
              <w:bottom w:val="single" w:color="auto" w:sz="12" w:space="0"/>
              <w:right w:val="nil"/>
            </w:tcBorders>
          </w:tcPr>
          <w:p w14:paraId="0F365717">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e</w:t>
            </w:r>
            <w:r>
              <w:rPr>
                <w:rFonts w:hint="default" w:ascii="Times New Roman" w:hAnsi="Times New Roman" w:eastAsia="MS Mincho" w:cs="Times New Roman"/>
                <w:sz w:val="24"/>
                <w:szCs w:val="24"/>
              </w:rPr>
              <w:t xml:space="preserve"> (Ω)</w:t>
            </w:r>
          </w:p>
        </w:tc>
        <w:tc>
          <w:tcPr>
            <w:tcW w:w="1556" w:type="dxa"/>
            <w:tcBorders>
              <w:top w:val="single" w:color="auto" w:sz="12" w:space="0"/>
              <w:left w:val="nil"/>
              <w:bottom w:val="single" w:color="auto" w:sz="12" w:space="0"/>
              <w:right w:val="nil"/>
            </w:tcBorders>
          </w:tcPr>
          <w:p w14:paraId="094CE18C">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ct</w:t>
            </w:r>
            <w:r>
              <w:rPr>
                <w:rFonts w:hint="default" w:ascii="Times New Roman" w:hAnsi="Times New Roman" w:eastAsia="MS Mincho" w:cs="Times New Roman"/>
                <w:sz w:val="24"/>
                <w:szCs w:val="24"/>
              </w:rPr>
              <w:t xml:space="preserve"> (Ω)</w:t>
            </w:r>
          </w:p>
        </w:tc>
        <w:tc>
          <w:tcPr>
            <w:tcW w:w="1556" w:type="dxa"/>
            <w:tcBorders>
              <w:top w:val="single" w:color="auto" w:sz="12" w:space="0"/>
              <w:left w:val="nil"/>
              <w:bottom w:val="single" w:color="auto" w:sz="12" w:space="0"/>
              <w:right w:val="nil"/>
            </w:tcBorders>
          </w:tcPr>
          <w:p w14:paraId="1358BC44">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mt</w:t>
            </w:r>
            <w:r>
              <w:rPr>
                <w:rFonts w:hint="default" w:ascii="Times New Roman" w:hAnsi="Times New Roman" w:eastAsia="MS Mincho" w:cs="Times New Roman"/>
                <w:sz w:val="24"/>
                <w:szCs w:val="24"/>
              </w:rPr>
              <w:t xml:space="preserve"> (Ω)</w:t>
            </w:r>
          </w:p>
        </w:tc>
      </w:tr>
      <w:tr w14:paraId="25A10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single" w:color="auto" w:sz="12" w:space="0"/>
              <w:left w:val="nil"/>
              <w:bottom w:val="nil"/>
              <w:right w:val="nil"/>
            </w:tcBorders>
          </w:tcPr>
          <w:p w14:paraId="63B2C548">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0</w:t>
            </w:r>
          </w:p>
        </w:tc>
        <w:tc>
          <w:tcPr>
            <w:tcW w:w="1539" w:type="dxa"/>
            <w:tcBorders>
              <w:top w:val="single" w:color="auto" w:sz="12" w:space="0"/>
              <w:left w:val="nil"/>
              <w:bottom w:val="nil"/>
              <w:right w:val="nil"/>
            </w:tcBorders>
          </w:tcPr>
          <w:p w14:paraId="4DA207BA">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2.9</w:t>
            </w:r>
          </w:p>
        </w:tc>
        <w:tc>
          <w:tcPr>
            <w:tcW w:w="1556" w:type="dxa"/>
            <w:tcBorders>
              <w:top w:val="single" w:color="auto" w:sz="12" w:space="0"/>
              <w:left w:val="nil"/>
              <w:bottom w:val="nil"/>
              <w:right w:val="nil"/>
            </w:tcBorders>
          </w:tcPr>
          <w:p w14:paraId="43DE8D30">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246.6</w:t>
            </w:r>
          </w:p>
        </w:tc>
        <w:tc>
          <w:tcPr>
            <w:tcW w:w="1556" w:type="dxa"/>
            <w:tcBorders>
              <w:top w:val="single" w:color="auto" w:sz="12" w:space="0"/>
              <w:left w:val="nil"/>
              <w:bottom w:val="nil"/>
              <w:right w:val="nil"/>
            </w:tcBorders>
          </w:tcPr>
          <w:p w14:paraId="1CF8398B">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254.1</w:t>
            </w:r>
          </w:p>
        </w:tc>
      </w:tr>
      <w:tr w14:paraId="0F60F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nil"/>
              <w:left w:val="nil"/>
              <w:bottom w:val="nil"/>
              <w:right w:val="nil"/>
            </w:tcBorders>
          </w:tcPr>
          <w:p w14:paraId="0A8B6A4F">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w:t>
            </w:r>
          </w:p>
        </w:tc>
        <w:tc>
          <w:tcPr>
            <w:tcW w:w="1539" w:type="dxa"/>
            <w:tcBorders>
              <w:top w:val="nil"/>
              <w:left w:val="nil"/>
              <w:bottom w:val="nil"/>
              <w:right w:val="nil"/>
            </w:tcBorders>
          </w:tcPr>
          <w:p w14:paraId="01894390">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2.5</w:t>
            </w:r>
          </w:p>
        </w:tc>
        <w:tc>
          <w:tcPr>
            <w:tcW w:w="1556" w:type="dxa"/>
            <w:tcBorders>
              <w:top w:val="nil"/>
              <w:left w:val="nil"/>
              <w:bottom w:val="nil"/>
              <w:right w:val="nil"/>
            </w:tcBorders>
          </w:tcPr>
          <w:p w14:paraId="49EF860C">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126.1</w:t>
            </w:r>
          </w:p>
        </w:tc>
        <w:tc>
          <w:tcPr>
            <w:tcW w:w="1556" w:type="dxa"/>
            <w:tcBorders>
              <w:top w:val="nil"/>
              <w:left w:val="nil"/>
              <w:bottom w:val="nil"/>
              <w:right w:val="nil"/>
            </w:tcBorders>
          </w:tcPr>
          <w:p w14:paraId="7B9031AD">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158.8</w:t>
            </w:r>
          </w:p>
        </w:tc>
      </w:tr>
      <w:tr w14:paraId="42F31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nil"/>
              <w:left w:val="nil"/>
              <w:bottom w:val="single" w:color="auto" w:sz="12" w:space="0"/>
              <w:right w:val="nil"/>
            </w:tcBorders>
          </w:tcPr>
          <w:p w14:paraId="0914563F">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10</w:t>
            </w:r>
          </w:p>
        </w:tc>
        <w:tc>
          <w:tcPr>
            <w:tcW w:w="1539" w:type="dxa"/>
            <w:tcBorders>
              <w:top w:val="nil"/>
              <w:left w:val="nil"/>
              <w:bottom w:val="single" w:color="auto" w:sz="12" w:space="0"/>
              <w:right w:val="nil"/>
            </w:tcBorders>
          </w:tcPr>
          <w:p w14:paraId="48E73695">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3.7</w:t>
            </w:r>
          </w:p>
        </w:tc>
        <w:tc>
          <w:tcPr>
            <w:tcW w:w="1556" w:type="dxa"/>
            <w:tcBorders>
              <w:top w:val="nil"/>
              <w:left w:val="nil"/>
              <w:bottom w:val="single" w:color="auto" w:sz="12" w:space="0"/>
              <w:right w:val="nil"/>
            </w:tcBorders>
          </w:tcPr>
          <w:p w14:paraId="63F36582">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103.3</w:t>
            </w:r>
          </w:p>
        </w:tc>
        <w:tc>
          <w:tcPr>
            <w:tcW w:w="1556" w:type="dxa"/>
            <w:tcBorders>
              <w:top w:val="nil"/>
              <w:left w:val="nil"/>
              <w:bottom w:val="single" w:color="auto" w:sz="12" w:space="0"/>
              <w:right w:val="nil"/>
            </w:tcBorders>
          </w:tcPr>
          <w:p w14:paraId="551B18F9">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101.8</w:t>
            </w:r>
          </w:p>
        </w:tc>
      </w:tr>
    </w:tbl>
    <w:p w14:paraId="77B2A8A0">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b/>
          <w:bCs/>
          <w:sz w:val="24"/>
          <w:szCs w:val="24"/>
        </w:rPr>
      </w:pPr>
    </w:p>
    <w:p w14:paraId="3D0BC01D">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sz w:val="24"/>
          <w:szCs w:val="24"/>
        </w:rPr>
      </w:pPr>
      <w:r>
        <w:rPr>
          <w:rFonts w:hint="default" w:ascii="Times New Roman" w:hAnsi="Times New Roman" w:cs="Times New Roman"/>
          <w:b/>
          <w:bCs/>
          <w:sz w:val="24"/>
          <w:szCs w:val="24"/>
        </w:rPr>
        <w:t xml:space="preserve">Supplementary Table 6. </w:t>
      </w:r>
      <w:r>
        <w:rPr>
          <w:rFonts w:hint="default" w:ascii="Times New Roman" w:hAnsi="Times New Roman" w:cs="Times New Roman"/>
          <w:sz w:val="24"/>
          <w:szCs w:val="24"/>
        </w:rPr>
        <w:t>EIS of CNTs cells after various cycle numbers.</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0"/>
        <w:gridCol w:w="1539"/>
        <w:gridCol w:w="1556"/>
        <w:gridCol w:w="1556"/>
      </w:tblGrid>
      <w:tr w14:paraId="3B076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single" w:color="auto" w:sz="12" w:space="0"/>
              <w:left w:val="nil"/>
              <w:bottom w:val="single" w:color="auto" w:sz="12" w:space="0"/>
              <w:right w:val="nil"/>
            </w:tcBorders>
          </w:tcPr>
          <w:p w14:paraId="67C8CC7A">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Cycle number</w:t>
            </w:r>
          </w:p>
        </w:tc>
        <w:tc>
          <w:tcPr>
            <w:tcW w:w="1539" w:type="dxa"/>
            <w:tcBorders>
              <w:top w:val="single" w:color="auto" w:sz="12" w:space="0"/>
              <w:left w:val="nil"/>
              <w:bottom w:val="single" w:color="auto" w:sz="12" w:space="0"/>
              <w:right w:val="nil"/>
            </w:tcBorders>
          </w:tcPr>
          <w:p w14:paraId="22D3F667">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e</w:t>
            </w:r>
            <w:r>
              <w:rPr>
                <w:rFonts w:hint="default" w:ascii="Times New Roman" w:hAnsi="Times New Roman" w:eastAsia="MS Mincho" w:cs="Times New Roman"/>
                <w:sz w:val="24"/>
                <w:szCs w:val="24"/>
              </w:rPr>
              <w:t xml:space="preserve"> (Ω)</w:t>
            </w:r>
          </w:p>
        </w:tc>
        <w:tc>
          <w:tcPr>
            <w:tcW w:w="1556" w:type="dxa"/>
            <w:tcBorders>
              <w:top w:val="single" w:color="auto" w:sz="12" w:space="0"/>
              <w:left w:val="nil"/>
              <w:bottom w:val="single" w:color="auto" w:sz="12" w:space="0"/>
              <w:right w:val="nil"/>
            </w:tcBorders>
          </w:tcPr>
          <w:p w14:paraId="14EA9B68">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ct</w:t>
            </w:r>
            <w:r>
              <w:rPr>
                <w:rFonts w:hint="default" w:ascii="Times New Roman" w:hAnsi="Times New Roman" w:eastAsia="MS Mincho" w:cs="Times New Roman"/>
                <w:sz w:val="24"/>
                <w:szCs w:val="24"/>
              </w:rPr>
              <w:t xml:space="preserve"> (Ω)</w:t>
            </w:r>
          </w:p>
        </w:tc>
        <w:tc>
          <w:tcPr>
            <w:tcW w:w="1556" w:type="dxa"/>
            <w:tcBorders>
              <w:top w:val="single" w:color="auto" w:sz="12" w:space="0"/>
              <w:left w:val="nil"/>
              <w:bottom w:val="single" w:color="auto" w:sz="12" w:space="0"/>
              <w:right w:val="nil"/>
            </w:tcBorders>
          </w:tcPr>
          <w:p w14:paraId="12FA3A29">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R</w:t>
            </w:r>
            <w:r>
              <w:rPr>
                <w:rFonts w:hint="default" w:ascii="Times New Roman" w:hAnsi="Times New Roman" w:eastAsia="MS Mincho" w:cs="Times New Roman"/>
                <w:sz w:val="24"/>
                <w:szCs w:val="24"/>
                <w:vertAlign w:val="subscript"/>
              </w:rPr>
              <w:t>mt</w:t>
            </w:r>
            <w:r>
              <w:rPr>
                <w:rFonts w:hint="default" w:ascii="Times New Roman" w:hAnsi="Times New Roman" w:eastAsia="MS Mincho" w:cs="Times New Roman"/>
                <w:sz w:val="24"/>
                <w:szCs w:val="24"/>
              </w:rPr>
              <w:t xml:space="preserve"> (Ω)</w:t>
            </w:r>
          </w:p>
        </w:tc>
      </w:tr>
      <w:tr w14:paraId="0AD00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single" w:color="auto" w:sz="12" w:space="0"/>
              <w:left w:val="nil"/>
              <w:bottom w:val="nil"/>
              <w:right w:val="nil"/>
            </w:tcBorders>
          </w:tcPr>
          <w:p w14:paraId="285BC01C">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0</w:t>
            </w:r>
          </w:p>
        </w:tc>
        <w:tc>
          <w:tcPr>
            <w:tcW w:w="1539" w:type="dxa"/>
            <w:tcBorders>
              <w:top w:val="single" w:color="auto" w:sz="12" w:space="0"/>
              <w:left w:val="nil"/>
              <w:bottom w:val="nil"/>
              <w:right w:val="nil"/>
            </w:tcBorders>
          </w:tcPr>
          <w:p w14:paraId="245B33C7">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9.1</w:t>
            </w:r>
          </w:p>
        </w:tc>
        <w:tc>
          <w:tcPr>
            <w:tcW w:w="1556" w:type="dxa"/>
            <w:tcBorders>
              <w:top w:val="single" w:color="auto" w:sz="12" w:space="0"/>
              <w:left w:val="nil"/>
              <w:bottom w:val="nil"/>
              <w:right w:val="nil"/>
            </w:tcBorders>
          </w:tcPr>
          <w:p w14:paraId="7218F3E9">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99.1</w:t>
            </w:r>
          </w:p>
        </w:tc>
        <w:tc>
          <w:tcPr>
            <w:tcW w:w="1556" w:type="dxa"/>
            <w:tcBorders>
              <w:top w:val="single" w:color="auto" w:sz="12" w:space="0"/>
              <w:left w:val="nil"/>
              <w:bottom w:val="nil"/>
              <w:right w:val="nil"/>
            </w:tcBorders>
          </w:tcPr>
          <w:p w14:paraId="7C1C3307">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32.1</w:t>
            </w:r>
          </w:p>
        </w:tc>
      </w:tr>
      <w:tr w14:paraId="1190C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nil"/>
              <w:left w:val="nil"/>
              <w:bottom w:val="nil"/>
              <w:right w:val="nil"/>
            </w:tcBorders>
          </w:tcPr>
          <w:p w14:paraId="692AC354">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w:t>
            </w:r>
          </w:p>
        </w:tc>
        <w:tc>
          <w:tcPr>
            <w:tcW w:w="1539" w:type="dxa"/>
            <w:tcBorders>
              <w:top w:val="nil"/>
              <w:left w:val="nil"/>
              <w:bottom w:val="nil"/>
              <w:right w:val="nil"/>
            </w:tcBorders>
          </w:tcPr>
          <w:p w14:paraId="63E19DA9">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3.3</w:t>
            </w:r>
          </w:p>
        </w:tc>
        <w:tc>
          <w:tcPr>
            <w:tcW w:w="1556" w:type="dxa"/>
            <w:tcBorders>
              <w:top w:val="nil"/>
              <w:left w:val="nil"/>
              <w:bottom w:val="nil"/>
              <w:right w:val="nil"/>
            </w:tcBorders>
          </w:tcPr>
          <w:p w14:paraId="36096907">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140.1</w:t>
            </w:r>
          </w:p>
        </w:tc>
        <w:tc>
          <w:tcPr>
            <w:tcW w:w="1556" w:type="dxa"/>
            <w:tcBorders>
              <w:top w:val="nil"/>
              <w:left w:val="nil"/>
              <w:bottom w:val="nil"/>
              <w:right w:val="nil"/>
            </w:tcBorders>
          </w:tcPr>
          <w:p w14:paraId="50987618">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123.4</w:t>
            </w:r>
          </w:p>
        </w:tc>
      </w:tr>
      <w:tr w14:paraId="26ED3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0" w:type="dxa"/>
            <w:tcBorders>
              <w:top w:val="nil"/>
              <w:left w:val="nil"/>
              <w:bottom w:val="single" w:color="auto" w:sz="12" w:space="0"/>
              <w:right w:val="nil"/>
            </w:tcBorders>
          </w:tcPr>
          <w:p w14:paraId="64CAB3F5">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eastAsia="MS Mincho" w:cs="Times New Roman"/>
                <w:sz w:val="24"/>
                <w:szCs w:val="24"/>
              </w:rPr>
            </w:pPr>
            <w:r>
              <w:rPr>
                <w:rFonts w:hint="default" w:ascii="Times New Roman" w:hAnsi="Times New Roman" w:eastAsia="MS Mincho" w:cs="Times New Roman"/>
                <w:sz w:val="24"/>
                <w:szCs w:val="24"/>
              </w:rPr>
              <w:t>10</w:t>
            </w:r>
          </w:p>
        </w:tc>
        <w:tc>
          <w:tcPr>
            <w:tcW w:w="1539" w:type="dxa"/>
            <w:tcBorders>
              <w:top w:val="nil"/>
              <w:left w:val="nil"/>
              <w:bottom w:val="single" w:color="auto" w:sz="12" w:space="0"/>
              <w:right w:val="nil"/>
            </w:tcBorders>
          </w:tcPr>
          <w:p w14:paraId="2376C3AD">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3.5</w:t>
            </w:r>
          </w:p>
        </w:tc>
        <w:tc>
          <w:tcPr>
            <w:tcW w:w="1556" w:type="dxa"/>
            <w:tcBorders>
              <w:top w:val="nil"/>
              <w:left w:val="nil"/>
              <w:bottom w:val="single" w:color="auto" w:sz="12" w:space="0"/>
              <w:right w:val="nil"/>
            </w:tcBorders>
          </w:tcPr>
          <w:p w14:paraId="7B72A559">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152.7</w:t>
            </w:r>
          </w:p>
        </w:tc>
        <w:tc>
          <w:tcPr>
            <w:tcW w:w="1556" w:type="dxa"/>
            <w:tcBorders>
              <w:top w:val="nil"/>
              <w:left w:val="nil"/>
              <w:bottom w:val="single" w:color="auto" w:sz="12" w:space="0"/>
              <w:right w:val="nil"/>
            </w:tcBorders>
          </w:tcPr>
          <w:p w14:paraId="155F21AA">
            <w:pPr>
              <w:keepNext w:val="0"/>
              <w:keepLines w:val="0"/>
              <w:pageBreakBefore w:val="0"/>
              <w:widowControl w:val="0"/>
              <w:kinsoku/>
              <w:overflowPunct/>
              <w:topLinePunct w:val="0"/>
              <w:autoSpaceDN/>
              <w:bidi w:val="0"/>
              <w:spacing w:beforeAutospacing="0" w:after="0" w:afterAutospacing="0" w:line="480" w:lineRule="auto"/>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167.6</w:t>
            </w:r>
          </w:p>
        </w:tc>
      </w:tr>
    </w:tbl>
    <w:p w14:paraId="5DA7AB23">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p w14:paraId="6AB522D0">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b/>
          <w:bCs/>
          <w:sz w:val="24"/>
          <w:szCs w:val="24"/>
        </w:rPr>
      </w:pPr>
    </w:p>
    <w:p w14:paraId="5DA067FC">
      <w:pPr>
        <w:keepNext w:val="0"/>
        <w:keepLines w:val="0"/>
        <w:pageBreakBefore w:val="0"/>
        <w:kinsoku/>
        <w:overflowPunct/>
        <w:topLinePunct w:val="0"/>
        <w:autoSpaceDN/>
        <w:bidi w:val="0"/>
        <w:adjustRightInd/>
        <w:snapToGrid/>
        <w:spacing w:beforeAutospacing="0" w:after="0" w:afterAutospacing="0" w:line="480" w:lineRule="auto"/>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Reference</w:t>
      </w:r>
    </w:p>
    <w:p w14:paraId="6EFD07BB">
      <w:pPr>
        <w:pStyle w:val="16"/>
        <w:keepNext w:val="0"/>
        <w:keepLines w:val="0"/>
        <w:pageBreakBefore w:val="0"/>
        <w:kinsoku/>
        <w:overflowPunct/>
        <w:topLinePunct w:val="0"/>
        <w:autoSpaceDN/>
        <w:bidi w:val="0"/>
        <w:spacing w:beforeAutospacing="0" w:after="0" w:afterAutospacing="0" w:line="480" w:lineRule="auto"/>
        <w:ind w:left="720" w:hanging="72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1.</w:t>
      </w:r>
      <w:r>
        <w:rPr>
          <w:rFonts w:hint="default" w:ascii="Times New Roman" w:hAnsi="Times New Roman" w:cs="Times New Roman"/>
          <w:sz w:val="24"/>
          <w:szCs w:val="24"/>
        </w:rPr>
        <w:tab/>
      </w:r>
      <w:r>
        <w:rPr>
          <w:rFonts w:hint="default" w:ascii="Times New Roman" w:hAnsi="Times New Roman" w:cs="Times New Roman"/>
          <w:sz w:val="24"/>
          <w:szCs w:val="24"/>
        </w:rPr>
        <w:t xml:space="preserve">Kühne, T. D. </w:t>
      </w:r>
      <w:r>
        <w:rPr>
          <w:rFonts w:hint="default" w:ascii="Times New Roman" w:hAnsi="Times New Roman" w:cs="Times New Roman"/>
          <w:i/>
          <w:sz w:val="24"/>
          <w:szCs w:val="24"/>
        </w:rPr>
        <w:t>et al.</w:t>
      </w:r>
      <w:r>
        <w:rPr>
          <w:rFonts w:hint="default" w:ascii="Times New Roman" w:hAnsi="Times New Roman" w:cs="Times New Roman"/>
          <w:sz w:val="24"/>
          <w:szCs w:val="24"/>
        </w:rPr>
        <w:t xml:space="preserve"> CP2K: An electronic structure and molecular dynamics software package-Quickstep: Efficient and accurate electronic structure calculations. </w:t>
      </w:r>
      <w:r>
        <w:rPr>
          <w:rFonts w:hint="default" w:ascii="Times New Roman" w:hAnsi="Times New Roman" w:cs="Times New Roman"/>
          <w:i/>
          <w:sz w:val="24"/>
          <w:szCs w:val="24"/>
        </w:rPr>
        <w:t xml:space="preserve">J. Chem. Phys. </w:t>
      </w:r>
      <w:r>
        <w:rPr>
          <w:rFonts w:hint="default" w:ascii="Times New Roman" w:hAnsi="Times New Roman" w:cs="Times New Roman"/>
          <w:b/>
          <w:bCs/>
          <w:iCs/>
          <w:sz w:val="24"/>
          <w:szCs w:val="24"/>
        </w:rPr>
        <w:t>152</w:t>
      </w:r>
      <w:r>
        <w:rPr>
          <w:rFonts w:hint="default" w:ascii="Times New Roman" w:hAnsi="Times New Roman" w:cs="Times New Roman"/>
          <w:iCs/>
          <w:sz w:val="24"/>
          <w:szCs w:val="24"/>
        </w:rPr>
        <w:t xml:space="preserve">, </w:t>
      </w:r>
      <w:r>
        <w:rPr>
          <w:rFonts w:hint="default" w:ascii="Times New Roman" w:hAnsi="Times New Roman" w:cs="Times New Roman"/>
          <w:sz w:val="24"/>
          <w:szCs w:val="24"/>
        </w:rPr>
        <w:t>194103</w:t>
      </w:r>
      <w:r>
        <w:rPr>
          <w:rFonts w:hint="default" w:ascii="Times New Roman" w:hAnsi="Times New Roman" w:cs="Times New Roman"/>
          <w:iCs/>
          <w:sz w:val="24"/>
          <w:szCs w:val="24"/>
        </w:rPr>
        <w:t xml:space="preserve"> (</w:t>
      </w:r>
      <w:r>
        <w:rPr>
          <w:rFonts w:hint="default" w:ascii="Times New Roman" w:hAnsi="Times New Roman" w:cs="Times New Roman"/>
          <w:bCs/>
          <w:sz w:val="24"/>
          <w:szCs w:val="24"/>
        </w:rPr>
        <w:t>2020)</w:t>
      </w:r>
      <w:r>
        <w:rPr>
          <w:rFonts w:hint="default" w:ascii="Times New Roman" w:hAnsi="Times New Roman" w:cs="Times New Roman"/>
          <w:sz w:val="24"/>
          <w:szCs w:val="24"/>
        </w:rPr>
        <w:t>.</w:t>
      </w:r>
    </w:p>
    <w:p w14:paraId="7A03B752">
      <w:pPr>
        <w:pStyle w:val="16"/>
        <w:keepNext w:val="0"/>
        <w:keepLines w:val="0"/>
        <w:pageBreakBefore w:val="0"/>
        <w:kinsoku/>
        <w:overflowPunct/>
        <w:topLinePunct w:val="0"/>
        <w:autoSpaceDN/>
        <w:bidi w:val="0"/>
        <w:spacing w:beforeAutospacing="0" w:after="0" w:afterAutospacing="0" w:line="480" w:lineRule="auto"/>
        <w:ind w:left="720" w:hanging="72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2.</w:t>
      </w:r>
      <w:r>
        <w:rPr>
          <w:rFonts w:hint="default" w:ascii="Times New Roman" w:hAnsi="Times New Roman" w:cs="Times New Roman"/>
          <w:sz w:val="24"/>
          <w:szCs w:val="24"/>
        </w:rPr>
        <w:tab/>
      </w:r>
      <w:r>
        <w:rPr>
          <w:rFonts w:hint="default" w:ascii="Times New Roman" w:hAnsi="Times New Roman" w:cs="Times New Roman"/>
          <w:sz w:val="24"/>
          <w:szCs w:val="24"/>
        </w:rPr>
        <w:t xml:space="preserve">Lippert, G. &amp; Parrinello, M. A hybrid Gaussian and plane wave density functional scheme. </w:t>
      </w:r>
      <w:r>
        <w:rPr>
          <w:rFonts w:hint="default" w:ascii="Times New Roman" w:hAnsi="Times New Roman" w:cs="Times New Roman"/>
          <w:i/>
          <w:iCs/>
          <w:sz w:val="24"/>
          <w:szCs w:val="24"/>
        </w:rPr>
        <w:t>Molecular Physics</w:t>
      </w:r>
      <w:r>
        <w:rPr>
          <w:rFonts w:hint="default" w:ascii="Times New Roman" w:hAnsi="Times New Roman" w:cs="Times New Roman"/>
          <w:sz w:val="24"/>
          <w:szCs w:val="24"/>
        </w:rPr>
        <w:t xml:space="preserve"> </w:t>
      </w:r>
      <w:r>
        <w:rPr>
          <w:rFonts w:hint="default" w:ascii="Times New Roman" w:hAnsi="Times New Roman" w:cs="Times New Roman"/>
          <w:b/>
          <w:bCs/>
          <w:sz w:val="24"/>
          <w:szCs w:val="24"/>
        </w:rPr>
        <w:t>92</w:t>
      </w:r>
      <w:r>
        <w:rPr>
          <w:rFonts w:hint="default" w:ascii="Times New Roman" w:hAnsi="Times New Roman" w:cs="Times New Roman"/>
          <w:sz w:val="24"/>
          <w:szCs w:val="24"/>
        </w:rPr>
        <w:t>, 477-488 (1997).</w:t>
      </w:r>
    </w:p>
    <w:p w14:paraId="62CB6A2D">
      <w:pPr>
        <w:pStyle w:val="16"/>
        <w:keepNext w:val="0"/>
        <w:keepLines w:val="0"/>
        <w:pageBreakBefore w:val="0"/>
        <w:kinsoku/>
        <w:overflowPunct/>
        <w:topLinePunct w:val="0"/>
        <w:autoSpaceDN/>
        <w:bidi w:val="0"/>
        <w:spacing w:beforeAutospacing="0" w:after="0" w:afterAutospacing="0" w:line="480" w:lineRule="auto"/>
        <w:ind w:left="720" w:hanging="72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3.</w:t>
      </w:r>
      <w:r>
        <w:rPr>
          <w:rFonts w:hint="default" w:ascii="Times New Roman" w:hAnsi="Times New Roman" w:cs="Times New Roman"/>
          <w:sz w:val="24"/>
          <w:szCs w:val="24"/>
        </w:rPr>
        <w:tab/>
      </w:r>
      <w:r>
        <w:rPr>
          <w:rFonts w:hint="default" w:ascii="Times New Roman" w:hAnsi="Times New Roman" w:cs="Times New Roman"/>
          <w:sz w:val="24"/>
          <w:szCs w:val="24"/>
        </w:rPr>
        <w:t xml:space="preserve">Lippert, G., Hutter, J. &amp; Parrinello, M. The Gaussian and augmented-plane-wave density functional method for ab initio molecular dynamics simulations. </w:t>
      </w:r>
      <w:r>
        <w:rPr>
          <w:rFonts w:hint="default" w:ascii="Times New Roman" w:hAnsi="Times New Roman" w:cs="Times New Roman"/>
          <w:i/>
          <w:iCs/>
          <w:sz w:val="24"/>
          <w:szCs w:val="24"/>
        </w:rPr>
        <w:t>Theor. Chem. Acc.</w:t>
      </w:r>
      <w:r>
        <w:rPr>
          <w:rFonts w:hint="default" w:ascii="Times New Roman" w:hAnsi="Times New Roman" w:cs="Times New Roman"/>
          <w:sz w:val="24"/>
          <w:szCs w:val="24"/>
        </w:rPr>
        <w:t xml:space="preserve"> </w:t>
      </w:r>
      <w:r>
        <w:rPr>
          <w:rFonts w:hint="default" w:ascii="Times New Roman" w:hAnsi="Times New Roman" w:cs="Times New Roman"/>
          <w:b/>
          <w:bCs/>
          <w:sz w:val="24"/>
          <w:szCs w:val="24"/>
        </w:rPr>
        <w:t>103</w:t>
      </w:r>
      <w:r>
        <w:rPr>
          <w:rFonts w:hint="default" w:ascii="Times New Roman" w:hAnsi="Times New Roman" w:cs="Times New Roman"/>
          <w:sz w:val="24"/>
          <w:szCs w:val="24"/>
        </w:rPr>
        <w:t>, 124-140 (1999).</w:t>
      </w:r>
    </w:p>
    <w:p w14:paraId="17A3AA5A">
      <w:pPr>
        <w:pStyle w:val="16"/>
        <w:keepNext w:val="0"/>
        <w:keepLines w:val="0"/>
        <w:pageBreakBefore w:val="0"/>
        <w:kinsoku/>
        <w:overflowPunct/>
        <w:topLinePunct w:val="0"/>
        <w:autoSpaceDN/>
        <w:bidi w:val="0"/>
        <w:spacing w:beforeAutospacing="0" w:after="0" w:afterAutospacing="0" w:line="480" w:lineRule="auto"/>
        <w:ind w:left="720" w:hanging="72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4.</w:t>
      </w:r>
      <w:r>
        <w:rPr>
          <w:rFonts w:hint="default" w:ascii="Times New Roman" w:hAnsi="Times New Roman" w:cs="Times New Roman"/>
          <w:sz w:val="24"/>
          <w:szCs w:val="24"/>
        </w:rPr>
        <w:tab/>
      </w:r>
      <w:r>
        <w:rPr>
          <w:rFonts w:hint="default" w:ascii="Times New Roman" w:hAnsi="Times New Roman" w:cs="Times New Roman"/>
          <w:sz w:val="24"/>
          <w:szCs w:val="24"/>
        </w:rPr>
        <w:t xml:space="preserve">Perdew, J. P., Burke, K. &amp; Ernzerhof, M. Generalized Gradient Approximation Made Simple. </w:t>
      </w:r>
      <w:r>
        <w:rPr>
          <w:rFonts w:hint="default" w:ascii="Times New Roman" w:hAnsi="Times New Roman" w:cs="Times New Roman"/>
          <w:i/>
          <w:sz w:val="24"/>
          <w:szCs w:val="24"/>
        </w:rPr>
        <w:t xml:space="preserve">Phys. Rev. Lett </w:t>
      </w:r>
      <w:r>
        <w:rPr>
          <w:rFonts w:hint="default" w:ascii="Times New Roman" w:hAnsi="Times New Roman" w:cs="Times New Roman"/>
          <w:b/>
          <w:bCs/>
          <w:iCs/>
          <w:sz w:val="24"/>
          <w:szCs w:val="24"/>
        </w:rPr>
        <w:t>77</w:t>
      </w:r>
      <w:r>
        <w:rPr>
          <w:rFonts w:hint="default" w:ascii="Times New Roman" w:hAnsi="Times New Roman" w:cs="Times New Roman"/>
          <w:iCs/>
          <w:sz w:val="24"/>
          <w:szCs w:val="24"/>
        </w:rPr>
        <w:t>,</w:t>
      </w:r>
      <w:r>
        <w:rPr>
          <w:rFonts w:hint="default" w:ascii="Times New Roman" w:hAnsi="Times New Roman" w:cs="Times New Roman"/>
          <w:i/>
          <w:sz w:val="24"/>
          <w:szCs w:val="24"/>
        </w:rPr>
        <w:t xml:space="preserve"> </w:t>
      </w:r>
      <w:r>
        <w:rPr>
          <w:rFonts w:hint="default" w:ascii="Times New Roman" w:hAnsi="Times New Roman" w:cs="Times New Roman"/>
          <w:sz w:val="24"/>
          <w:szCs w:val="24"/>
        </w:rPr>
        <w:t>3865-3868 (</w:t>
      </w:r>
      <w:r>
        <w:rPr>
          <w:rFonts w:hint="default" w:ascii="Times New Roman" w:hAnsi="Times New Roman" w:cs="Times New Roman"/>
          <w:bCs/>
          <w:sz w:val="24"/>
          <w:szCs w:val="24"/>
        </w:rPr>
        <w:t>1996</w:t>
      </w:r>
      <w:r>
        <w:rPr>
          <w:rFonts w:hint="default" w:ascii="Times New Roman" w:hAnsi="Times New Roman" w:cs="Times New Roman"/>
          <w:sz w:val="24"/>
          <w:szCs w:val="24"/>
        </w:rPr>
        <w:t>).</w:t>
      </w:r>
    </w:p>
    <w:p w14:paraId="136C43BC">
      <w:pPr>
        <w:pStyle w:val="16"/>
        <w:keepNext w:val="0"/>
        <w:keepLines w:val="0"/>
        <w:pageBreakBefore w:val="0"/>
        <w:kinsoku/>
        <w:overflowPunct/>
        <w:topLinePunct w:val="0"/>
        <w:autoSpaceDN/>
        <w:bidi w:val="0"/>
        <w:spacing w:beforeAutospacing="0" w:after="0" w:afterAutospacing="0" w:line="480" w:lineRule="auto"/>
        <w:ind w:left="720" w:hanging="72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5.</w:t>
      </w:r>
      <w:r>
        <w:rPr>
          <w:rFonts w:hint="default" w:ascii="Times New Roman" w:hAnsi="Times New Roman" w:cs="Times New Roman"/>
          <w:sz w:val="24"/>
          <w:szCs w:val="24"/>
        </w:rPr>
        <w:tab/>
      </w:r>
      <w:r>
        <w:rPr>
          <w:rFonts w:hint="default" w:ascii="Times New Roman" w:hAnsi="Times New Roman" w:cs="Times New Roman"/>
          <w:sz w:val="24"/>
          <w:szCs w:val="24"/>
        </w:rPr>
        <w:t xml:space="preserve">VandeVondele, J. &amp; Hutter, J. Gaussian basis sets for accurate calculations on molecular systems in gas and condensed phases. </w:t>
      </w:r>
      <w:r>
        <w:rPr>
          <w:rFonts w:hint="default" w:ascii="Times New Roman" w:hAnsi="Times New Roman" w:cs="Times New Roman"/>
          <w:i/>
          <w:sz w:val="24"/>
          <w:szCs w:val="24"/>
        </w:rPr>
        <w:t xml:space="preserve">J. chem. Phys. </w:t>
      </w:r>
      <w:r>
        <w:rPr>
          <w:rFonts w:hint="default" w:ascii="Times New Roman" w:hAnsi="Times New Roman" w:cs="Times New Roman"/>
          <w:b/>
          <w:bCs/>
          <w:iCs/>
          <w:sz w:val="24"/>
          <w:szCs w:val="24"/>
        </w:rPr>
        <w:t>127</w:t>
      </w:r>
      <w:r>
        <w:rPr>
          <w:rFonts w:hint="default" w:ascii="Times New Roman" w:hAnsi="Times New Roman" w:cs="Times New Roman"/>
          <w:sz w:val="24"/>
          <w:szCs w:val="24"/>
        </w:rPr>
        <w:t>, 114105 (</w:t>
      </w:r>
      <w:r>
        <w:rPr>
          <w:rFonts w:hint="default" w:ascii="Times New Roman" w:hAnsi="Times New Roman" w:cs="Times New Roman"/>
          <w:bCs/>
          <w:sz w:val="24"/>
          <w:szCs w:val="24"/>
        </w:rPr>
        <w:t>2007</w:t>
      </w:r>
      <w:r>
        <w:rPr>
          <w:rFonts w:hint="default" w:ascii="Times New Roman" w:hAnsi="Times New Roman" w:cs="Times New Roman"/>
          <w:sz w:val="24"/>
          <w:szCs w:val="24"/>
        </w:rPr>
        <w:t>).</w:t>
      </w:r>
    </w:p>
    <w:p w14:paraId="5B696DA1">
      <w:pPr>
        <w:pStyle w:val="16"/>
        <w:keepNext w:val="0"/>
        <w:keepLines w:val="0"/>
        <w:pageBreakBefore w:val="0"/>
        <w:kinsoku/>
        <w:overflowPunct/>
        <w:topLinePunct w:val="0"/>
        <w:autoSpaceDN/>
        <w:bidi w:val="0"/>
        <w:spacing w:beforeAutospacing="0" w:after="0" w:afterAutospacing="0" w:line="480" w:lineRule="auto"/>
        <w:ind w:left="720" w:hanging="72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6.</w:t>
      </w:r>
      <w:r>
        <w:rPr>
          <w:rFonts w:hint="default" w:ascii="Times New Roman" w:hAnsi="Times New Roman" w:cs="Times New Roman"/>
          <w:sz w:val="24"/>
          <w:szCs w:val="24"/>
        </w:rPr>
        <w:tab/>
      </w:r>
      <w:r>
        <w:rPr>
          <w:rFonts w:hint="default" w:ascii="Times New Roman" w:hAnsi="Times New Roman" w:cs="Times New Roman"/>
          <w:sz w:val="24"/>
          <w:szCs w:val="24"/>
        </w:rPr>
        <w:t xml:space="preserve">Goedecker, S., Teter, M. &amp; Hutter, J. Separable dual-space Gaussian pseudopotentials. </w:t>
      </w:r>
      <w:r>
        <w:rPr>
          <w:rFonts w:hint="default" w:ascii="Times New Roman" w:hAnsi="Times New Roman" w:cs="Times New Roman"/>
          <w:i/>
          <w:sz w:val="24"/>
          <w:szCs w:val="24"/>
        </w:rPr>
        <w:t xml:space="preserve">Phys. Rev. B </w:t>
      </w:r>
      <w:r>
        <w:rPr>
          <w:rFonts w:hint="default" w:ascii="Times New Roman" w:hAnsi="Times New Roman" w:cs="Times New Roman"/>
          <w:b/>
          <w:bCs/>
          <w:iCs/>
          <w:sz w:val="24"/>
          <w:szCs w:val="24"/>
        </w:rPr>
        <w:t>54</w:t>
      </w:r>
      <w:r>
        <w:rPr>
          <w:rFonts w:hint="default" w:ascii="Times New Roman" w:hAnsi="Times New Roman" w:cs="Times New Roman"/>
          <w:iCs/>
          <w:sz w:val="24"/>
          <w:szCs w:val="24"/>
        </w:rPr>
        <w:t xml:space="preserve">, </w:t>
      </w:r>
      <w:r>
        <w:rPr>
          <w:rFonts w:hint="default" w:ascii="Times New Roman" w:hAnsi="Times New Roman" w:cs="Times New Roman"/>
          <w:sz w:val="24"/>
          <w:szCs w:val="24"/>
        </w:rPr>
        <w:t>1703-1710</w:t>
      </w:r>
      <w:r>
        <w:rPr>
          <w:rFonts w:hint="default" w:ascii="Times New Roman" w:hAnsi="Times New Roman" w:cs="Times New Roman"/>
          <w:iCs/>
          <w:sz w:val="24"/>
          <w:szCs w:val="24"/>
        </w:rPr>
        <w:t xml:space="preserve"> (</w:t>
      </w:r>
      <w:r>
        <w:rPr>
          <w:rFonts w:hint="default" w:ascii="Times New Roman" w:hAnsi="Times New Roman" w:cs="Times New Roman"/>
          <w:bCs/>
          <w:sz w:val="24"/>
          <w:szCs w:val="24"/>
        </w:rPr>
        <w:t>1996</w:t>
      </w:r>
      <w:r>
        <w:rPr>
          <w:rFonts w:hint="default" w:ascii="Times New Roman" w:hAnsi="Times New Roman" w:cs="Times New Roman"/>
          <w:sz w:val="24"/>
          <w:szCs w:val="24"/>
        </w:rPr>
        <w:t>).</w:t>
      </w:r>
    </w:p>
    <w:p w14:paraId="285FBDEE">
      <w:pPr>
        <w:pStyle w:val="16"/>
        <w:keepNext w:val="0"/>
        <w:keepLines w:val="0"/>
        <w:pageBreakBefore w:val="0"/>
        <w:kinsoku/>
        <w:overflowPunct/>
        <w:topLinePunct w:val="0"/>
        <w:autoSpaceDN/>
        <w:bidi w:val="0"/>
        <w:spacing w:beforeAutospacing="0" w:after="0" w:afterAutospacing="0" w:line="480" w:lineRule="auto"/>
        <w:ind w:left="720" w:hanging="72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7.</w:t>
      </w:r>
      <w:r>
        <w:rPr>
          <w:rFonts w:hint="default" w:ascii="Times New Roman" w:hAnsi="Times New Roman" w:cs="Times New Roman"/>
          <w:sz w:val="24"/>
          <w:szCs w:val="24"/>
        </w:rPr>
        <w:tab/>
      </w:r>
      <w:r>
        <w:rPr>
          <w:rFonts w:hint="default" w:ascii="Times New Roman" w:hAnsi="Times New Roman" w:cs="Times New Roman"/>
          <w:sz w:val="24"/>
          <w:szCs w:val="24"/>
        </w:rPr>
        <w:t xml:space="preserve">Hartwigsen, C., Gœdecker, S. &amp; Hutter, J. Relativistic separable dual-space Gaussian pseudopotentials from H to Rn. </w:t>
      </w:r>
      <w:r>
        <w:rPr>
          <w:rFonts w:hint="default" w:ascii="Times New Roman" w:hAnsi="Times New Roman" w:cs="Times New Roman"/>
          <w:i/>
          <w:sz w:val="24"/>
          <w:szCs w:val="24"/>
        </w:rPr>
        <w:t xml:space="preserve">Phys. Rev. B </w:t>
      </w:r>
      <w:r>
        <w:rPr>
          <w:rFonts w:hint="default" w:ascii="Times New Roman" w:hAnsi="Times New Roman" w:cs="Times New Roman"/>
          <w:b/>
          <w:bCs/>
          <w:iCs/>
          <w:sz w:val="24"/>
          <w:szCs w:val="24"/>
        </w:rPr>
        <w:t>58</w:t>
      </w:r>
      <w:r>
        <w:rPr>
          <w:rFonts w:hint="default" w:ascii="Times New Roman" w:hAnsi="Times New Roman" w:cs="Times New Roman"/>
          <w:iCs/>
          <w:sz w:val="24"/>
          <w:szCs w:val="24"/>
        </w:rPr>
        <w:t xml:space="preserve">, </w:t>
      </w:r>
      <w:r>
        <w:rPr>
          <w:rFonts w:hint="default" w:ascii="Times New Roman" w:hAnsi="Times New Roman" w:cs="Times New Roman"/>
          <w:sz w:val="24"/>
          <w:szCs w:val="24"/>
        </w:rPr>
        <w:t>3641-3662</w:t>
      </w:r>
      <w:r>
        <w:rPr>
          <w:rFonts w:hint="default" w:ascii="Times New Roman" w:hAnsi="Times New Roman" w:cs="Times New Roman"/>
          <w:iCs/>
          <w:sz w:val="24"/>
          <w:szCs w:val="24"/>
        </w:rPr>
        <w:t xml:space="preserve"> (</w:t>
      </w:r>
      <w:r>
        <w:rPr>
          <w:rFonts w:hint="default" w:ascii="Times New Roman" w:hAnsi="Times New Roman" w:cs="Times New Roman"/>
          <w:bCs/>
          <w:sz w:val="24"/>
          <w:szCs w:val="24"/>
        </w:rPr>
        <w:t>1998</w:t>
      </w:r>
      <w:r>
        <w:rPr>
          <w:rFonts w:hint="default" w:ascii="Times New Roman" w:hAnsi="Times New Roman" w:cs="Times New Roman"/>
          <w:sz w:val="24"/>
          <w:szCs w:val="24"/>
        </w:rPr>
        <w:t>).</w:t>
      </w:r>
    </w:p>
    <w:p w14:paraId="77F1FB2E">
      <w:pPr>
        <w:pStyle w:val="16"/>
        <w:keepNext w:val="0"/>
        <w:keepLines w:val="0"/>
        <w:pageBreakBefore w:val="0"/>
        <w:kinsoku/>
        <w:overflowPunct/>
        <w:topLinePunct w:val="0"/>
        <w:autoSpaceDN/>
        <w:bidi w:val="0"/>
        <w:spacing w:beforeAutospacing="0" w:after="0" w:afterAutospacing="0" w:line="480" w:lineRule="auto"/>
        <w:ind w:left="720" w:hanging="72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8.</w:t>
      </w:r>
      <w:r>
        <w:rPr>
          <w:rFonts w:hint="default" w:ascii="Times New Roman" w:hAnsi="Times New Roman" w:cs="Times New Roman"/>
          <w:sz w:val="24"/>
          <w:szCs w:val="24"/>
        </w:rPr>
        <w:tab/>
      </w:r>
      <w:r>
        <w:rPr>
          <w:rFonts w:hint="default" w:ascii="Times New Roman" w:hAnsi="Times New Roman" w:cs="Times New Roman"/>
          <w:sz w:val="24"/>
          <w:szCs w:val="24"/>
        </w:rPr>
        <w:t xml:space="preserve">Krack, M. Pseudopotentials for H to Kr optimized for gradient-corrected exchange-correlation functionals. </w:t>
      </w:r>
      <w:r>
        <w:rPr>
          <w:rFonts w:hint="default" w:ascii="Times New Roman" w:hAnsi="Times New Roman" w:cs="Times New Roman"/>
          <w:i/>
          <w:sz w:val="24"/>
          <w:szCs w:val="24"/>
        </w:rPr>
        <w:t xml:space="preserve">Theor. Chem. Acc. </w:t>
      </w:r>
      <w:r>
        <w:rPr>
          <w:rFonts w:hint="default" w:ascii="Times New Roman" w:hAnsi="Times New Roman" w:cs="Times New Roman"/>
          <w:b/>
          <w:bCs/>
          <w:iCs/>
          <w:sz w:val="24"/>
          <w:szCs w:val="24"/>
        </w:rPr>
        <w:t>114</w:t>
      </w:r>
      <w:r>
        <w:rPr>
          <w:rFonts w:hint="default" w:ascii="Times New Roman" w:hAnsi="Times New Roman" w:cs="Times New Roman"/>
          <w:iCs/>
          <w:sz w:val="24"/>
          <w:szCs w:val="24"/>
        </w:rPr>
        <w:t xml:space="preserve">, </w:t>
      </w:r>
      <w:r>
        <w:rPr>
          <w:rFonts w:hint="default" w:ascii="Times New Roman" w:hAnsi="Times New Roman" w:cs="Times New Roman"/>
          <w:sz w:val="24"/>
          <w:szCs w:val="24"/>
        </w:rPr>
        <w:t>145-152 (2005).</w:t>
      </w:r>
    </w:p>
    <w:p w14:paraId="4089FFE4">
      <w:pPr>
        <w:keepNext w:val="0"/>
        <w:keepLines w:val="0"/>
        <w:pageBreakBefore w:val="0"/>
        <w:kinsoku/>
        <w:overflowPunct/>
        <w:topLinePunct w:val="0"/>
        <w:autoSpaceDN/>
        <w:bidi w:val="0"/>
        <w:spacing w:beforeAutospacing="0" w:after="0" w:afterAutospacing="0" w:line="480" w:lineRule="auto"/>
        <w:textAlignment w:val="auto"/>
        <w:rPr>
          <w:rFonts w:hint="default" w:ascii="Times New Roman" w:hAnsi="Times New Roman" w:cs="Times New Roman"/>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MS Mincho">
    <w:altName w:val="Segoe Print"/>
    <w:panose1 w:val="02020609040205080304"/>
    <w:charset w:val="00"/>
    <w:family w:val="auto"/>
    <w:pitch w:val="default"/>
    <w:sig w:usb0="00000000" w:usb1="00000000" w:usb2="00000000" w:usb3="00000000" w:csb0="00000000" w:csb1="00000000"/>
  </w:font>
  <w:font w:name="Times">
    <w:altName w:val="Times New Roman"/>
    <w:panose1 w:val="02020603050405020304"/>
    <w:charset w:val="00"/>
    <w:family w:val="roman"/>
    <w:pitch w:val="default"/>
    <w:sig w:usb0="00000000" w:usb1="00000000" w:usb2="00000009" w:usb3="00000000" w:csb0="000001FF" w:csb1="00000000"/>
  </w:font>
  <w:font w:name="等线">
    <w:altName w:val="Arial Unicode MS"/>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ScalaSansPro-Regular">
    <w:altName w:val="Segoe Print"/>
    <w:panose1 w:val="00000000000000000000"/>
    <w:charset w:val="00"/>
    <w:family w:val="auto"/>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35BEC0"/>
    <w:multiLevelType w:val="singleLevel"/>
    <w:tmpl w:val="2635BEC0"/>
    <w:lvl w:ilvl="0" w:tentative="0">
      <w:start w:val="5"/>
      <w:numFmt w:val="upperLetter"/>
      <w:suff w:val="nothing"/>
      <w:lvlText w:val="%1-"/>
      <w:lvlJc w:val="left"/>
    </w:lvl>
  </w:abstractNum>
  <w:abstractNum w:abstractNumId="1">
    <w:nsid w:val="513BCCF6"/>
    <w:multiLevelType w:val="singleLevel"/>
    <w:tmpl w:val="513BCCF6"/>
    <w:lvl w:ilvl="0" w:tentative="0">
      <w:start w:val="5"/>
      <w:numFmt w:val="upperLetter"/>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2"/>
  </w:compat>
  <w:docVars>
    <w:docVar w:name="commondata" w:val="eyJoZGlkIjoiMDBkNjQ3MmE3NjNiYWRiZmE4MDE5MzA4MjY1N2U1YTEifQ=="/>
  </w:docVars>
  <w:rsids>
    <w:rsidRoot w:val="00D31D50"/>
    <w:rsid w:val="0001487E"/>
    <w:rsid w:val="00015996"/>
    <w:rsid w:val="0004347A"/>
    <w:rsid w:val="000446F6"/>
    <w:rsid w:val="000649D6"/>
    <w:rsid w:val="00077C20"/>
    <w:rsid w:val="000942B7"/>
    <w:rsid w:val="000A6920"/>
    <w:rsid w:val="0012161F"/>
    <w:rsid w:val="00121CC8"/>
    <w:rsid w:val="0012254D"/>
    <w:rsid w:val="00164E59"/>
    <w:rsid w:val="001E3F4B"/>
    <w:rsid w:val="00252369"/>
    <w:rsid w:val="002B3051"/>
    <w:rsid w:val="002B4202"/>
    <w:rsid w:val="002B792B"/>
    <w:rsid w:val="002E4BD1"/>
    <w:rsid w:val="00323B43"/>
    <w:rsid w:val="003B5174"/>
    <w:rsid w:val="003C0EAA"/>
    <w:rsid w:val="003D37D8"/>
    <w:rsid w:val="00405DD7"/>
    <w:rsid w:val="00417528"/>
    <w:rsid w:val="00426133"/>
    <w:rsid w:val="0043312B"/>
    <w:rsid w:val="004358AB"/>
    <w:rsid w:val="00456636"/>
    <w:rsid w:val="00456AE2"/>
    <w:rsid w:val="0045710C"/>
    <w:rsid w:val="004A03FB"/>
    <w:rsid w:val="004D2958"/>
    <w:rsid w:val="00544AF0"/>
    <w:rsid w:val="0055052B"/>
    <w:rsid w:val="005A7D18"/>
    <w:rsid w:val="005B0900"/>
    <w:rsid w:val="00636E15"/>
    <w:rsid w:val="00642E72"/>
    <w:rsid w:val="00647967"/>
    <w:rsid w:val="006564F6"/>
    <w:rsid w:val="00663C61"/>
    <w:rsid w:val="006C497A"/>
    <w:rsid w:val="006C4C94"/>
    <w:rsid w:val="006E1ADD"/>
    <w:rsid w:val="00793CAE"/>
    <w:rsid w:val="007B70AF"/>
    <w:rsid w:val="007C7D24"/>
    <w:rsid w:val="007D5B10"/>
    <w:rsid w:val="00855DC9"/>
    <w:rsid w:val="00872BAE"/>
    <w:rsid w:val="0089685D"/>
    <w:rsid w:val="008A7F1E"/>
    <w:rsid w:val="008B7726"/>
    <w:rsid w:val="008F02B1"/>
    <w:rsid w:val="009567FC"/>
    <w:rsid w:val="00A16A1E"/>
    <w:rsid w:val="00A31FF1"/>
    <w:rsid w:val="00A47534"/>
    <w:rsid w:val="00A606E5"/>
    <w:rsid w:val="00A65F40"/>
    <w:rsid w:val="00A66234"/>
    <w:rsid w:val="00AC5E6B"/>
    <w:rsid w:val="00AE631B"/>
    <w:rsid w:val="00B00939"/>
    <w:rsid w:val="00B1757F"/>
    <w:rsid w:val="00B211ED"/>
    <w:rsid w:val="00B369A9"/>
    <w:rsid w:val="00B743EF"/>
    <w:rsid w:val="00B865E5"/>
    <w:rsid w:val="00BA775F"/>
    <w:rsid w:val="00BD7709"/>
    <w:rsid w:val="00C11D86"/>
    <w:rsid w:val="00C33704"/>
    <w:rsid w:val="00C4018B"/>
    <w:rsid w:val="00C7486D"/>
    <w:rsid w:val="00C80915"/>
    <w:rsid w:val="00C82558"/>
    <w:rsid w:val="00C95214"/>
    <w:rsid w:val="00D27626"/>
    <w:rsid w:val="00D31D50"/>
    <w:rsid w:val="00D372B5"/>
    <w:rsid w:val="00D677EA"/>
    <w:rsid w:val="00D729FB"/>
    <w:rsid w:val="00D75E18"/>
    <w:rsid w:val="00D84662"/>
    <w:rsid w:val="00D91127"/>
    <w:rsid w:val="00DA2971"/>
    <w:rsid w:val="00DA7CE7"/>
    <w:rsid w:val="00DC28AD"/>
    <w:rsid w:val="00DC4975"/>
    <w:rsid w:val="00E07A39"/>
    <w:rsid w:val="00E1196B"/>
    <w:rsid w:val="00E13300"/>
    <w:rsid w:val="00E1402B"/>
    <w:rsid w:val="00E7106D"/>
    <w:rsid w:val="00EA0CF8"/>
    <w:rsid w:val="00EC216E"/>
    <w:rsid w:val="00EF2ACF"/>
    <w:rsid w:val="00F01DBD"/>
    <w:rsid w:val="00F51D11"/>
    <w:rsid w:val="00F90A9A"/>
    <w:rsid w:val="00F958E0"/>
    <w:rsid w:val="00FC5C26"/>
    <w:rsid w:val="013765FF"/>
    <w:rsid w:val="024313D6"/>
    <w:rsid w:val="06A10421"/>
    <w:rsid w:val="06B6691D"/>
    <w:rsid w:val="06E84650"/>
    <w:rsid w:val="072007DE"/>
    <w:rsid w:val="07A82AFE"/>
    <w:rsid w:val="0CE868F1"/>
    <w:rsid w:val="0DBD2C7D"/>
    <w:rsid w:val="0DC13AD8"/>
    <w:rsid w:val="0E3177FA"/>
    <w:rsid w:val="0E971CC2"/>
    <w:rsid w:val="0E9E2C75"/>
    <w:rsid w:val="0EF56E79"/>
    <w:rsid w:val="0F935DE2"/>
    <w:rsid w:val="0FC17D03"/>
    <w:rsid w:val="103D3AE0"/>
    <w:rsid w:val="10494F08"/>
    <w:rsid w:val="107240FA"/>
    <w:rsid w:val="11581944"/>
    <w:rsid w:val="11675401"/>
    <w:rsid w:val="118C28BD"/>
    <w:rsid w:val="11EF0EFA"/>
    <w:rsid w:val="12163019"/>
    <w:rsid w:val="12C932BD"/>
    <w:rsid w:val="14890660"/>
    <w:rsid w:val="15DB3EE1"/>
    <w:rsid w:val="160F1F8A"/>
    <w:rsid w:val="16AA1A53"/>
    <w:rsid w:val="19351A4B"/>
    <w:rsid w:val="1A8C6258"/>
    <w:rsid w:val="1AA94BBC"/>
    <w:rsid w:val="1B657C9A"/>
    <w:rsid w:val="1C1A14FD"/>
    <w:rsid w:val="1CA05B4B"/>
    <w:rsid w:val="1DAA7589"/>
    <w:rsid w:val="1E1D0CDD"/>
    <w:rsid w:val="1E2249D1"/>
    <w:rsid w:val="1E496797"/>
    <w:rsid w:val="1F3611D7"/>
    <w:rsid w:val="1F411257"/>
    <w:rsid w:val="1F54134A"/>
    <w:rsid w:val="20787F08"/>
    <w:rsid w:val="220034A5"/>
    <w:rsid w:val="221D658A"/>
    <w:rsid w:val="224C6559"/>
    <w:rsid w:val="25A5629E"/>
    <w:rsid w:val="25F23325"/>
    <w:rsid w:val="261868A0"/>
    <w:rsid w:val="267144DC"/>
    <w:rsid w:val="2798778C"/>
    <w:rsid w:val="27FA0805"/>
    <w:rsid w:val="282B4E63"/>
    <w:rsid w:val="296D0550"/>
    <w:rsid w:val="29D118C0"/>
    <w:rsid w:val="29F55728"/>
    <w:rsid w:val="2A0140CD"/>
    <w:rsid w:val="2A2E3A18"/>
    <w:rsid w:val="2A9467DC"/>
    <w:rsid w:val="2B026D53"/>
    <w:rsid w:val="2B4F11EC"/>
    <w:rsid w:val="2B73062E"/>
    <w:rsid w:val="2CAF083B"/>
    <w:rsid w:val="2CE73BE2"/>
    <w:rsid w:val="2DBE4083"/>
    <w:rsid w:val="2E114D9B"/>
    <w:rsid w:val="2EDA16CB"/>
    <w:rsid w:val="2EEA0BA3"/>
    <w:rsid w:val="2FE21D8F"/>
    <w:rsid w:val="2FE65348"/>
    <w:rsid w:val="30354807"/>
    <w:rsid w:val="33AD1F32"/>
    <w:rsid w:val="33C12B31"/>
    <w:rsid w:val="3466690D"/>
    <w:rsid w:val="34F11300"/>
    <w:rsid w:val="359429BE"/>
    <w:rsid w:val="369F0F54"/>
    <w:rsid w:val="36CC2202"/>
    <w:rsid w:val="38AC0ED5"/>
    <w:rsid w:val="3A6B26A9"/>
    <w:rsid w:val="3C864A39"/>
    <w:rsid w:val="40535B48"/>
    <w:rsid w:val="42896D65"/>
    <w:rsid w:val="43D25E27"/>
    <w:rsid w:val="447C53F1"/>
    <w:rsid w:val="44BE5434"/>
    <w:rsid w:val="45286AD8"/>
    <w:rsid w:val="46CB53EF"/>
    <w:rsid w:val="46E80CBE"/>
    <w:rsid w:val="46EA4953"/>
    <w:rsid w:val="47125EE0"/>
    <w:rsid w:val="472606C9"/>
    <w:rsid w:val="477041E8"/>
    <w:rsid w:val="47D71576"/>
    <w:rsid w:val="47F07728"/>
    <w:rsid w:val="48005C62"/>
    <w:rsid w:val="4A6E2C61"/>
    <w:rsid w:val="4B2830F9"/>
    <w:rsid w:val="4EF34890"/>
    <w:rsid w:val="50442C3D"/>
    <w:rsid w:val="50A84A5C"/>
    <w:rsid w:val="519113F8"/>
    <w:rsid w:val="52A5388B"/>
    <w:rsid w:val="52B1191C"/>
    <w:rsid w:val="52C553E8"/>
    <w:rsid w:val="539D3711"/>
    <w:rsid w:val="54615A30"/>
    <w:rsid w:val="563B0BB7"/>
    <w:rsid w:val="58AA6400"/>
    <w:rsid w:val="58CA339E"/>
    <w:rsid w:val="59063548"/>
    <w:rsid w:val="593F6F10"/>
    <w:rsid w:val="5B0373F5"/>
    <w:rsid w:val="5D9E7FB1"/>
    <w:rsid w:val="5E9B58BF"/>
    <w:rsid w:val="5FF16B2D"/>
    <w:rsid w:val="619F14FA"/>
    <w:rsid w:val="61C960F7"/>
    <w:rsid w:val="636645DB"/>
    <w:rsid w:val="63D11FD1"/>
    <w:rsid w:val="64493BA3"/>
    <w:rsid w:val="676328FD"/>
    <w:rsid w:val="67D6379C"/>
    <w:rsid w:val="680E69C4"/>
    <w:rsid w:val="68136F6D"/>
    <w:rsid w:val="68517371"/>
    <w:rsid w:val="688D4797"/>
    <w:rsid w:val="6AC41A94"/>
    <w:rsid w:val="6ACE0883"/>
    <w:rsid w:val="6C950B58"/>
    <w:rsid w:val="6DA01AC5"/>
    <w:rsid w:val="6DB819B8"/>
    <w:rsid w:val="6DCC33D5"/>
    <w:rsid w:val="6F1F2FA5"/>
    <w:rsid w:val="715E4F2E"/>
    <w:rsid w:val="71AC565A"/>
    <w:rsid w:val="71F7448C"/>
    <w:rsid w:val="735613ED"/>
    <w:rsid w:val="73776616"/>
    <w:rsid w:val="74B734A4"/>
    <w:rsid w:val="75873D4C"/>
    <w:rsid w:val="761A7020"/>
    <w:rsid w:val="78602FA1"/>
    <w:rsid w:val="78746804"/>
    <w:rsid w:val="7A093963"/>
    <w:rsid w:val="7A423CC5"/>
    <w:rsid w:val="7AC34AA5"/>
    <w:rsid w:val="7C421AC1"/>
    <w:rsid w:val="7CB346AE"/>
    <w:rsid w:val="7E01776C"/>
    <w:rsid w:val="7F173030"/>
    <w:rsid w:val="7FA536CE"/>
    <w:rsid w:val="7FB15371"/>
    <w:rsid w:val="7FFB1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8">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pPr>
      <w:spacing w:after="0"/>
    </w:pPr>
    <w:rPr>
      <w:sz w:val="18"/>
      <w:szCs w:val="18"/>
    </w:rPr>
  </w:style>
  <w:style w:type="paragraph" w:styleId="3">
    <w:name w:val="footer"/>
    <w:basedOn w:val="1"/>
    <w:link w:val="11"/>
    <w:autoRedefine/>
    <w:semiHidden/>
    <w:unhideWhenUsed/>
    <w:qFormat/>
    <w:uiPriority w:val="99"/>
    <w:pPr>
      <w:tabs>
        <w:tab w:val="center" w:pos="4153"/>
        <w:tab w:val="right" w:pos="8306"/>
      </w:tabs>
    </w:pPr>
    <w:rPr>
      <w:sz w:val="18"/>
      <w:szCs w:val="18"/>
    </w:rPr>
  </w:style>
  <w:style w:type="paragraph" w:styleId="4">
    <w:name w:val="header"/>
    <w:basedOn w:val="1"/>
    <w:link w:val="10"/>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table" w:styleId="7">
    <w:name w:val="Table Grid"/>
    <w:basedOn w:val="6"/>
    <w:autoRedefine/>
    <w:qFormat/>
    <w:uiPriority w:val="0"/>
    <w:pPr>
      <w:widowControl w:val="0"/>
      <w:jc w:val="both"/>
    </w:pPr>
    <w:rPr>
      <w:rFonts w:eastAsia="MS Mincho"/>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semiHidden/>
    <w:unhideWhenUsed/>
    <w:qFormat/>
    <w:uiPriority w:val="99"/>
    <w:rPr>
      <w:color w:val="0000FF"/>
      <w:u w:val="single"/>
    </w:rPr>
  </w:style>
  <w:style w:type="character" w:customStyle="1" w:styleId="10">
    <w:name w:val="页眉 字符"/>
    <w:basedOn w:val="8"/>
    <w:link w:val="4"/>
    <w:autoRedefine/>
    <w:semiHidden/>
    <w:qFormat/>
    <w:uiPriority w:val="99"/>
    <w:rPr>
      <w:rFonts w:ascii="Tahoma" w:hAnsi="Tahoma"/>
      <w:sz w:val="18"/>
      <w:szCs w:val="18"/>
    </w:rPr>
  </w:style>
  <w:style w:type="character" w:customStyle="1" w:styleId="11">
    <w:name w:val="页脚 字符"/>
    <w:basedOn w:val="8"/>
    <w:link w:val="3"/>
    <w:autoRedefine/>
    <w:semiHidden/>
    <w:qFormat/>
    <w:uiPriority w:val="99"/>
    <w:rPr>
      <w:rFonts w:ascii="Tahoma" w:hAnsi="Tahoma"/>
      <w:sz w:val="18"/>
      <w:szCs w:val="18"/>
    </w:rPr>
  </w:style>
  <w:style w:type="character" w:customStyle="1" w:styleId="12">
    <w:name w:val="批注框文本 字符"/>
    <w:basedOn w:val="8"/>
    <w:link w:val="2"/>
    <w:autoRedefine/>
    <w:semiHidden/>
    <w:qFormat/>
    <w:uiPriority w:val="99"/>
    <w:rPr>
      <w:rFonts w:ascii="Tahoma" w:hAnsi="Tahoma"/>
      <w:sz w:val="18"/>
      <w:szCs w:val="18"/>
    </w:rPr>
  </w:style>
  <w:style w:type="paragraph" w:customStyle="1" w:styleId="13">
    <w:name w:val="BC_Author_Address"/>
    <w:basedOn w:val="1"/>
    <w:next w:val="1"/>
    <w:autoRedefine/>
    <w:qFormat/>
    <w:uiPriority w:val="0"/>
    <w:pPr>
      <w:adjustRightInd/>
      <w:snapToGrid/>
      <w:spacing w:after="240" w:line="480" w:lineRule="auto"/>
      <w:jc w:val="center"/>
    </w:pPr>
    <w:rPr>
      <w:rFonts w:ascii="Times" w:hAnsi="Times" w:eastAsia="Times New Roman" w:cs="Times New Roman"/>
      <w:sz w:val="24"/>
      <w:szCs w:val="20"/>
      <w:lang w:val="de-DE" w:eastAsia="en-US"/>
    </w:rPr>
  </w:style>
  <w:style w:type="paragraph" w:customStyle="1" w:styleId="14">
    <w:name w:val="Addresses"/>
    <w:basedOn w:val="1"/>
    <w:autoRedefine/>
    <w:qFormat/>
    <w:uiPriority w:val="0"/>
    <w:pPr>
      <w:adjustRightInd/>
      <w:snapToGrid/>
      <w:spacing w:after="0"/>
    </w:pPr>
    <w:rPr>
      <w:rFonts w:ascii="Times New Roman" w:hAnsi="Times New Roman" w:eastAsia="MS Mincho" w:cs="Times New Roman"/>
      <w:sz w:val="24"/>
      <w:szCs w:val="24"/>
      <w:lang w:eastAsia="ja-JP"/>
    </w:rPr>
  </w:style>
  <w:style w:type="paragraph" w:customStyle="1" w:styleId="15">
    <w:name w:val="FA_Corresponding_Author_Footnote"/>
    <w:basedOn w:val="1"/>
    <w:next w:val="1"/>
    <w:autoRedefine/>
    <w:qFormat/>
    <w:uiPriority w:val="0"/>
    <w:pPr>
      <w:adjustRightInd/>
      <w:snapToGrid/>
      <w:spacing w:line="480" w:lineRule="auto"/>
    </w:pPr>
    <w:rPr>
      <w:rFonts w:ascii="Times" w:hAnsi="Times" w:eastAsia="Times New Roman" w:cs="Times New Roman"/>
      <w:sz w:val="24"/>
      <w:szCs w:val="20"/>
      <w:lang w:val="de-DE" w:eastAsia="en-US"/>
    </w:rPr>
  </w:style>
  <w:style w:type="paragraph" w:customStyle="1" w:styleId="16">
    <w:name w:val="EndNote Bibliography"/>
    <w:basedOn w:val="1"/>
    <w:qFormat/>
    <w:uiPriority w:val="0"/>
    <w:rPr>
      <w:rFonts w:ascii="等线" w:hAnsi="等线" w:eastAsia="等线"/>
      <w:sz w:val="20"/>
    </w:rPr>
  </w:style>
  <w:style w:type="paragraph" w:customStyle="1" w:styleId="17">
    <w:name w:val="Revision"/>
    <w:hidden/>
    <w:unhideWhenUsed/>
    <w:qFormat/>
    <w:uiPriority w:val="99"/>
    <w:rPr>
      <w:rFonts w:ascii="Tahoma" w:hAnsi="Tahoma" w:eastAsia="微软雅黑" w:cstheme="minorBidi"/>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tiff"/><Relationship Id="rId7" Type="http://schemas.openxmlformats.org/officeDocument/2006/relationships/image" Target="media/image3.png"/><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image" Target="media/image31.tiff"/><Relationship Id="rId34" Type="http://schemas.openxmlformats.org/officeDocument/2006/relationships/image" Target="media/image30.tiff"/><Relationship Id="rId33" Type="http://schemas.openxmlformats.org/officeDocument/2006/relationships/image" Target="media/image29.png"/><Relationship Id="rId32" Type="http://schemas.openxmlformats.org/officeDocument/2006/relationships/image" Target="media/image28.tiff"/><Relationship Id="rId31" Type="http://schemas.openxmlformats.org/officeDocument/2006/relationships/image" Target="media/image27.tiff"/><Relationship Id="rId30" Type="http://schemas.openxmlformats.org/officeDocument/2006/relationships/image" Target="media/image26.tiff"/><Relationship Id="rId3" Type="http://schemas.openxmlformats.org/officeDocument/2006/relationships/footnotes" Target="footnotes.xml"/><Relationship Id="rId29" Type="http://schemas.openxmlformats.org/officeDocument/2006/relationships/image" Target="media/image25.tiff"/><Relationship Id="rId28" Type="http://schemas.openxmlformats.org/officeDocument/2006/relationships/image" Target="media/image24.tiff"/><Relationship Id="rId27" Type="http://schemas.openxmlformats.org/officeDocument/2006/relationships/image" Target="media/image23.tiff"/><Relationship Id="rId26" Type="http://schemas.openxmlformats.org/officeDocument/2006/relationships/image" Target="media/image22.tiff"/><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tiff"/><Relationship Id="rId21" Type="http://schemas.openxmlformats.org/officeDocument/2006/relationships/image" Target="media/image17.png"/><Relationship Id="rId20" Type="http://schemas.openxmlformats.org/officeDocument/2006/relationships/image" Target="media/image16.tiff"/><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31</Pages>
  <Words>2978</Words>
  <Characters>16714</Characters>
  <Lines>137</Lines>
  <Paragraphs>38</Paragraphs>
  <TotalTime>7</TotalTime>
  <ScaleCrop>false</ScaleCrop>
  <LinksUpToDate>false</LinksUpToDate>
  <CharactersWithSpaces>19709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Curry30</dc:creator>
  <cp:lastModifiedBy>不曾走远</cp:lastModifiedBy>
  <dcterms:modified xsi:type="dcterms:W3CDTF">2024-07-12T03:22:54Z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4FB19CBEE6DC4EE081492A8E2CEC916F_12</vt:lpwstr>
  </property>
</Properties>
</file>