
<file path=[Content_Types].xml><?xml version="1.0" encoding="utf-8"?>
<Types xmlns="http://schemas.openxmlformats.org/package/2006/content-types">
  <Default Extension="png" ContentType="image/pn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Times New Roman" w:hAnsi="Times New Roman" w:cs="Times New Roman"/>
          <w:b/>
          <w:i w:val="0"/>
          <w:iCs w:val="0"/>
          <w:sz w:val="32"/>
          <w:szCs w:val="32"/>
        </w:rPr>
      </w:pPr>
      <w:r>
        <w:rPr>
          <w:rFonts w:hint="eastAsia" w:eastAsia="宋体"/>
          <w:lang w:eastAsia="zh-CN"/>
        </w:rPr>
        <w:t xml:space="preserve">   </w:t>
      </w:r>
      <w:r>
        <w:rPr>
          <w:rFonts w:hint="eastAsia" w:ascii="Times New Roman" w:hAnsi="Times New Roman" w:cs="Times New Roman"/>
          <w:b/>
          <w:i/>
          <w:iCs/>
          <w:sz w:val="32"/>
          <w:szCs w:val="32"/>
        </w:rPr>
        <w:t>Brevibacterium litoralis</w:t>
      </w:r>
      <w:r>
        <w:rPr>
          <w:rFonts w:hint="eastAsia" w:ascii="Times New Roman" w:hAnsi="Times New Roman" w:cs="Times New Roman"/>
          <w:b/>
          <w:i w:val="0"/>
          <w:iCs w:val="0"/>
          <w:sz w:val="32"/>
          <w:szCs w:val="32"/>
        </w:rPr>
        <w:t xml:space="preserve"> sp. nov., a cellulose-degrading strain</w:t>
      </w:r>
      <w:r>
        <w:rPr>
          <w:rFonts w:hint="eastAsia" w:ascii="Times New Roman" w:hAnsi="Times New Roman" w:eastAsia="宋体" w:cs="Times New Roman"/>
          <w:b/>
          <w:i w:val="0"/>
          <w:iCs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i w:val="0"/>
          <w:iCs w:val="0"/>
          <w:sz w:val="32"/>
          <w:szCs w:val="32"/>
        </w:rPr>
        <w:t>isolated from marine surface sediment.</w:t>
      </w:r>
    </w:p>
    <w:p>
      <w:pPr>
        <w:spacing w:line="480" w:lineRule="auto"/>
        <w:rPr>
          <w:rFonts w:hint="eastAsia" w:ascii="Times New Roman" w:hAnsi="Times New Roman" w:cs="Times New Roman"/>
          <w:b/>
          <w:bCs/>
          <w:color w:val="auto"/>
        </w:rPr>
      </w:pP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Quan</w:t>
      </w:r>
      <w:r>
        <w:rPr>
          <w:rFonts w:ascii="Times New Roman" w:hAnsi="Times New Roman" w:cs="Times New Roman"/>
          <w:b/>
          <w:bCs/>
          <w:color w:val="auto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Yang</w:t>
      </w:r>
      <w:r>
        <w:rPr>
          <w:rFonts w:ascii="Times New Roman" w:hAnsi="Times New Roman" w:cs="Times New Roman"/>
          <w:b/>
          <w:bCs/>
          <w:color w:val="auto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auto"/>
        </w:rPr>
        <w:t xml:space="preserve">,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Aolin</w:t>
      </w:r>
      <w:r>
        <w:rPr>
          <w:rFonts w:ascii="Times New Roman" w:hAnsi="Times New Roman" w:cs="Times New Roman"/>
          <w:b/>
          <w:bCs/>
          <w:color w:val="auto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Zhao</w:t>
      </w:r>
      <w:r>
        <w:rPr>
          <w:rFonts w:hint="eastAsia" w:ascii="Times New Roman" w:hAnsi="Times New Roman" w:cs="Times New Roman"/>
          <w:b/>
          <w:bCs/>
          <w:color w:val="auto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b/>
          <w:bCs/>
          <w:color w:val="auto"/>
        </w:rPr>
        <w:t xml:space="preserve">,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Haifei Liu</w:t>
      </w:r>
      <w:r>
        <w:rPr>
          <w:rFonts w:hint="eastAsia" w:ascii="Times New Roman" w:hAnsi="Times New Roman" w:cs="Times New Roman"/>
          <w:b/>
          <w:bCs/>
          <w:color w:val="auto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b/>
          <w:bCs/>
          <w:color w:val="auto"/>
        </w:rPr>
        <w:t xml:space="preserve">,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Jiawei</w:t>
      </w:r>
      <w:r>
        <w:rPr>
          <w:rFonts w:ascii="Times New Roman" w:hAnsi="Times New Roman" w:cs="Times New Roman"/>
          <w:b/>
          <w:bCs/>
          <w:color w:val="auto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Li</w:t>
      </w:r>
      <w:r>
        <w:rPr>
          <w:rFonts w:hint="eastAsia" w:ascii="Times New Roman" w:hAnsi="Times New Roman" w:cs="Times New Roman"/>
          <w:b/>
          <w:bCs/>
          <w:color w:val="auto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b/>
          <w:bCs/>
          <w:color w:val="auto"/>
        </w:rPr>
        <w:t xml:space="preserve">, </w:t>
      </w:r>
      <w:bookmarkStart w:id="0" w:name="OLE_LINK7"/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Shujing Wu</w:t>
      </w:r>
      <w:r>
        <w:rPr>
          <w:rFonts w:hint="eastAsia" w:ascii="Times New Roman" w:hAnsi="Times New Roman" w:cs="Times New Roman"/>
          <w:b/>
          <w:bCs/>
          <w:color w:val="auto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b/>
          <w:bCs/>
          <w:color w:val="auto"/>
        </w:rPr>
        <w:t xml:space="preserve">,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Ying Huang</w:t>
      </w:r>
      <w:r>
        <w:rPr>
          <w:rFonts w:hint="eastAsia" w:ascii="Times New Roman" w:hAnsi="Times New Roman" w:cs="Times New Roman"/>
          <w:b/>
          <w:bCs/>
          <w:color w:val="auto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b/>
          <w:bCs/>
          <w:color w:val="auto"/>
        </w:rPr>
        <w:t>,</w:t>
      </w:r>
      <w:bookmarkEnd w:id="0"/>
      <w:r>
        <w:rPr>
          <w:rFonts w:ascii="Times New Roman" w:hAnsi="Times New Roman" w:cs="Times New Roman"/>
          <w:b/>
          <w:bCs/>
          <w:color w:val="auto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Jie Weng</w:t>
      </w:r>
      <w:r>
        <w:rPr>
          <w:rFonts w:hint="eastAsia" w:ascii="Times New Roman" w:hAnsi="Times New Roman" w:cs="Times New Roman"/>
          <w:b/>
          <w:bCs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 xml:space="preserve">, </w:t>
      </w:r>
      <w:r>
        <w:rPr>
          <w:rFonts w:ascii="Times New Roman" w:hAnsi="Times New Roman" w:cs="Times New Roman"/>
          <w:b/>
          <w:bCs/>
          <w:color w:val="auto"/>
        </w:rPr>
        <w:t>Mingguo Jiang</w:t>
      </w:r>
      <w:r>
        <w:rPr>
          <w:rFonts w:ascii="Times New Roman" w:hAnsi="Times New Roman" w:cs="Times New Roman"/>
          <w:b/>
          <w:bCs/>
          <w:color w:val="auto"/>
          <w:vertAlign w:val="superscript"/>
        </w:rPr>
        <w:t xml:space="preserve">1, * </w:t>
      </w:r>
      <w:r>
        <w:rPr>
          <w:rFonts w:ascii="Times New Roman" w:hAnsi="Times New Roman" w:cs="Times New Roman"/>
          <w:b/>
          <w:bCs/>
          <w:color w:val="auto"/>
        </w:rPr>
        <w:t xml:space="preserve">and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Yi</w:t>
      </w:r>
      <w:r>
        <w:rPr>
          <w:rFonts w:ascii="Times New Roman" w:hAnsi="Times New Roman" w:cs="Times New Roman"/>
          <w:b/>
          <w:bCs/>
          <w:color w:val="auto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Ji</w:t>
      </w:r>
      <w:r>
        <w:rPr>
          <w:rFonts w:ascii="Times New Roman" w:hAnsi="Times New Roman" w:cs="Times New Roman"/>
          <w:b/>
          <w:bCs/>
          <w:color w:val="auto"/>
        </w:rPr>
        <w:t>ang</w:t>
      </w:r>
      <w:r>
        <w:rPr>
          <w:rFonts w:hint="eastAsia" w:ascii="Times New Roman" w:hAnsi="Times New Roman" w:cs="Times New Roman"/>
          <w:b/>
          <w:bCs/>
          <w:color w:val="auto"/>
          <w:vertAlign w:val="superscript"/>
          <w:lang w:val="en-US" w:eastAsia="zh-CN"/>
        </w:rPr>
        <w:t>3</w:t>
      </w:r>
      <w:r>
        <w:rPr>
          <w:rFonts w:ascii="Times New Roman" w:hAnsi="Times New Roman" w:cs="Times New Roman"/>
          <w:b/>
          <w:bCs/>
          <w:color w:val="auto"/>
          <w:vertAlign w:val="superscript"/>
        </w:rPr>
        <w:t>, *</w:t>
      </w:r>
    </w:p>
    <w:p>
      <w:pPr>
        <w:spacing w:line="480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  <w:vertAlign w:val="superscript"/>
        </w:rPr>
        <w:t>1</w:t>
      </w:r>
      <w:bookmarkStart w:id="1" w:name="_Hlk105881501"/>
      <w:r>
        <w:rPr>
          <w:rFonts w:ascii="Times New Roman" w:hAnsi="Times New Roman" w:cs="Times New Roman"/>
          <w:color w:val="auto"/>
        </w:rPr>
        <w:t>School of Marine Science and Biotechnology, Guangxi Key Laboratory for Polysaccharide Materials and Modifications,</w:t>
      </w:r>
      <w:bookmarkStart w:id="2" w:name="_Hlk100494321"/>
      <w:r>
        <w:rPr>
          <w:rFonts w:ascii="Times New Roman" w:hAnsi="Times New Roman" w:cs="Times New Roman"/>
          <w:color w:val="auto"/>
        </w:rPr>
        <w:t xml:space="preserve"> </w:t>
      </w:r>
      <w:bookmarkStart w:id="3" w:name="OLE_LINK9"/>
      <w:r>
        <w:rPr>
          <w:rFonts w:ascii="Times New Roman" w:hAnsi="Times New Roman" w:cs="Times New Roman"/>
          <w:color w:val="auto"/>
        </w:rPr>
        <w:t>Guangxi Minzu University</w:t>
      </w:r>
      <w:bookmarkEnd w:id="3"/>
      <w:r>
        <w:rPr>
          <w:rFonts w:ascii="Times New Roman" w:hAnsi="Times New Roman" w:cs="Times New Roman"/>
          <w:color w:val="auto"/>
        </w:rPr>
        <w:t>,</w:t>
      </w:r>
      <w:bookmarkEnd w:id="2"/>
      <w:r>
        <w:rPr>
          <w:rFonts w:ascii="Times New Roman" w:hAnsi="Times New Roman" w:cs="Times New Roman"/>
          <w:color w:val="auto"/>
        </w:rPr>
        <w:t xml:space="preserve"> Nanning 530008, PR China</w:t>
      </w:r>
      <w:bookmarkEnd w:id="1"/>
      <w:r>
        <w:rPr>
          <w:rFonts w:ascii="Times New Roman" w:hAnsi="Times New Roman" w:cs="Times New Roman"/>
          <w:color w:val="auto"/>
        </w:rPr>
        <w:t xml:space="preserve">; </w:t>
      </w:r>
    </w:p>
    <w:p>
      <w:pPr>
        <w:spacing w:line="480" w:lineRule="auto"/>
        <w:rPr>
          <w:rFonts w:hint="default" w:ascii="Times New Roman" w:hAnsi="Times New Roman" w:cs="Times New Roman" w:eastAsiaTheme="minorEastAsia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School of Chemistry and Chemical Engineering, Guangxi Key Laboratory of Chemistry and Engineering of Forest Products, Guangxi Minzu University. Nanning 530008, PR China.</w:t>
      </w:r>
    </w:p>
    <w:p>
      <w:pPr>
        <w:spacing w:line="480" w:lineRule="auto"/>
        <w:rPr>
          <w:rFonts w:ascii="Times New Roman" w:hAnsi="Times New Roman" w:cs="Times New Roman"/>
          <w:color w:val="auto"/>
        </w:rPr>
      </w:pP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3</w:t>
      </w:r>
      <w:r>
        <w:rPr>
          <w:rFonts w:ascii="Times New Roman" w:hAnsi="Times New Roman" w:cs="Times New Roman"/>
          <w:color w:val="auto"/>
        </w:rPr>
        <w:t>Yunnan Institute of Microbiology, Yunnan University, Kunming 650091, PR China.</w:t>
      </w:r>
    </w:p>
    <w:p>
      <w:pPr>
        <w:spacing w:before="78" w:beforeLines="25" w:after="78" w:afterLines="25" w:line="360" w:lineRule="auto"/>
        <w:ind w:right="26" w:rightChars="12"/>
        <w:rPr>
          <w:rFonts w:ascii="Times New Roman" w:hAnsi="Times New Roman"/>
          <w:b/>
          <w:color w:val="auto"/>
          <w:sz w:val="24"/>
          <w:szCs w:val="24"/>
          <w:lang w:val="it-IT"/>
        </w:rPr>
      </w:pPr>
      <w:r>
        <w:rPr>
          <w:rFonts w:ascii="Times New Roman" w:hAnsi="Times New Roman"/>
          <w:b/>
          <w:color w:val="auto"/>
          <w:sz w:val="24"/>
          <w:szCs w:val="24"/>
          <w:lang w:val="it-IT"/>
        </w:rPr>
        <w:t>*Authors for correspondence</w:t>
      </w:r>
    </w:p>
    <w:p>
      <w:pPr>
        <w:spacing w:before="78" w:beforeLines="25" w:after="78" w:afterLines="25" w:line="360" w:lineRule="auto"/>
        <w:ind w:right="26" w:rightChars="12" w:firstLine="720"/>
        <w:rPr>
          <w:rFonts w:ascii="Times New Roman" w:hAnsi="Times New Roman"/>
          <w:b/>
          <w:color w:val="auto"/>
          <w:sz w:val="24"/>
          <w:szCs w:val="24"/>
          <w:lang w:val="it-IT"/>
        </w:rPr>
      </w:pPr>
      <w:r>
        <w:rPr>
          <w:rFonts w:hint="eastAsia" w:ascii="Times New Roman" w:hAnsi="Times New Roman"/>
          <w:b/>
          <w:color w:val="auto"/>
          <w:sz w:val="24"/>
          <w:szCs w:val="24"/>
          <w:lang w:val="it-IT"/>
        </w:rPr>
        <w:t>Ming</w:t>
      </w:r>
      <w:r>
        <w:rPr>
          <w:rFonts w:ascii="Times New Roman" w:hAnsi="Times New Roman"/>
          <w:b/>
          <w:color w:val="auto"/>
          <w:sz w:val="24"/>
          <w:szCs w:val="24"/>
          <w:lang w:val="it-IT"/>
        </w:rPr>
        <w:t>g</w:t>
      </w:r>
      <w:r>
        <w:rPr>
          <w:rFonts w:hint="eastAsia" w:ascii="Times New Roman" w:hAnsi="Times New Roman"/>
          <w:b/>
          <w:color w:val="auto"/>
          <w:sz w:val="24"/>
          <w:szCs w:val="24"/>
          <w:lang w:val="it-IT"/>
        </w:rPr>
        <w:t>uo Jiang</w:t>
      </w:r>
    </w:p>
    <w:p>
      <w:pPr>
        <w:spacing w:before="78" w:beforeLines="25" w:after="78" w:afterLines="25" w:line="360" w:lineRule="auto"/>
        <w:ind w:left="720" w:right="26" w:rightChars="12" w:firstLine="720"/>
        <w:rPr>
          <w:rFonts w:ascii="Times New Roman" w:hAnsi="Times New Roman"/>
          <w:color w:val="auto"/>
          <w:sz w:val="24"/>
          <w:szCs w:val="24"/>
          <w:lang w:val="it-IT"/>
        </w:rPr>
      </w:pPr>
      <w:r>
        <w:rPr>
          <w:rFonts w:ascii="Times New Roman" w:hAnsi="Times New Roman"/>
          <w:color w:val="auto"/>
          <w:sz w:val="24"/>
          <w:szCs w:val="24"/>
          <w:lang w:val="it-IT"/>
        </w:rPr>
        <w:t>Tel &amp; Fax: +86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771-3267023</w:t>
      </w:r>
    </w:p>
    <w:p>
      <w:pPr>
        <w:numPr>
          <w:ilvl w:val="0"/>
          <w:numId w:val="1"/>
        </w:numPr>
        <w:spacing w:before="78" w:beforeLines="25" w:after="78" w:afterLines="25" w:line="360" w:lineRule="auto"/>
        <w:ind w:left="720" w:right="26" w:rightChars="12" w:firstLine="720"/>
        <w:rPr>
          <w:rFonts w:ascii="Times New Roman" w:hAnsi="Times New Roman" w:eastAsia="宋体" w:cs="Times New Roman"/>
          <w:color w:val="auto"/>
          <w:kern w:val="1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  <w:lang w:val="it-IT"/>
        </w:rPr>
        <w:t xml:space="preserve">mail: </w:t>
      </w:r>
      <w:r>
        <w:rPr>
          <w:rFonts w:ascii="Times New Roman" w:hAnsi="Times New Roman" w:eastAsia="宋体" w:cs="Times New Roman"/>
          <w:color w:val="auto"/>
          <w:kern w:val="1"/>
          <w:sz w:val="24"/>
          <w:szCs w:val="24"/>
        </w:rPr>
        <w:t>mzxyjiang@163.com</w:t>
      </w:r>
      <w:r>
        <w:rPr>
          <w:rFonts w:hint="eastAsia" w:ascii="Times New Roman" w:hAnsi="Times New Roman" w:eastAsia="宋体" w:cs="Times New Roman"/>
          <w:color w:val="auto"/>
          <w:kern w:val="1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color w:val="auto"/>
          <w:kern w:val="1"/>
          <w:sz w:val="24"/>
          <w:szCs w:val="24"/>
        </w:rPr>
        <w:t xml:space="preserve"> ORCID:0000-0003-2279-5740</w:t>
      </w:r>
    </w:p>
    <w:p>
      <w:pPr>
        <w:spacing w:before="78" w:beforeLines="25" w:after="78" w:afterLines="25" w:line="360" w:lineRule="auto"/>
        <w:ind w:firstLine="72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hint="eastAsia" w:ascii="Times New Roman" w:hAnsi="Times New Roman"/>
          <w:b/>
          <w:color w:val="auto"/>
          <w:sz w:val="24"/>
          <w:szCs w:val="24"/>
        </w:rPr>
        <w:t>Yi Jiang</w:t>
      </w:r>
    </w:p>
    <w:p>
      <w:pPr>
        <w:spacing w:before="78" w:beforeLines="25" w:after="78" w:afterLines="25" w:line="360" w:lineRule="auto"/>
        <w:ind w:left="720" w:right="26" w:rightChars="12" w:firstLine="720"/>
        <w:rPr>
          <w:rFonts w:ascii="Times New Roman" w:hAnsi="Times New Roman" w:eastAsia="宋体" w:cs="Times New Roman"/>
          <w:color w:val="auto"/>
          <w:sz w:val="18"/>
          <w:szCs w:val="18"/>
        </w:rPr>
      </w:pPr>
      <w:r>
        <w:rPr>
          <w:rFonts w:ascii="Times New Roman" w:hAnsi="Times New Roman"/>
          <w:color w:val="auto"/>
          <w:sz w:val="24"/>
          <w:szCs w:val="24"/>
          <w:lang w:val="it-IT"/>
        </w:rPr>
        <w:t xml:space="preserve">Tel &amp; Fax: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86-871-65034073</w:t>
      </w:r>
    </w:p>
    <w:p>
      <w:pPr>
        <w:pStyle w:val="7"/>
        <w:spacing w:line="264" w:lineRule="auto"/>
        <w:ind w:firstLine="1440" w:firstLineChars="600"/>
        <w:jc w:val="both"/>
        <w:rPr>
          <w:rFonts w:ascii="Times New Roman" w:hAnsi="Times New Roman" w:eastAsia="宋体" w:cs="Times New Roman"/>
          <w:color w:val="auto"/>
        </w:rPr>
      </w:pPr>
      <w:r>
        <w:rPr>
          <w:rFonts w:ascii="Times New Roman" w:hAnsi="Times New Roman"/>
          <w:color w:val="auto"/>
          <w:lang w:val="pt-BR"/>
        </w:rPr>
        <w:t xml:space="preserve">E-mail: </w:t>
      </w:r>
      <w:r>
        <w:rPr>
          <w:rFonts w:ascii="Times New Roman" w:hAnsi="Times New Roman" w:eastAsia="宋体" w:cs="Times New Roman"/>
          <w:color w:val="auto"/>
        </w:rPr>
        <w:t>jiangyi@ynu.edu.cn</w:t>
      </w: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i w:val="0"/>
          <w:iCs w:val="0"/>
          <w:sz w:val="32"/>
          <w:szCs w:val="32"/>
          <w:lang w:eastAsia="zh-CN"/>
        </w:rPr>
      </w:pPr>
    </w:p>
    <w:p>
      <w:pPr>
        <w:rPr>
          <w:rFonts w:ascii="Times New Roman" w:hAnsi="Times New Roman" w:eastAsia="DINNextLTPro-Medium" w:cs="Times New Roman"/>
          <w:color w:val="231F20"/>
          <w:sz w:val="16"/>
          <w:szCs w:val="16"/>
          <w:lang w:eastAsia="zh-CN" w:bidi="ar"/>
        </w:rPr>
      </w:pPr>
      <w:r>
        <w:rPr>
          <w:rFonts w:ascii="Times New Roman" w:hAnsi="Times New Roman" w:eastAsia="DINNextLTPro-Medium" w:cs="Times New Roman"/>
          <w:color w:val="231F20"/>
          <w:sz w:val="16"/>
          <w:szCs w:val="16"/>
          <w:lang w:eastAsia="zh-CN" w:bidi="ar"/>
        </w:rPr>
        <w:drawing>
          <wp:inline distT="0" distB="0" distL="114300" distR="114300">
            <wp:extent cx="4738370" cy="3324860"/>
            <wp:effectExtent l="0" t="0" r="0" b="0"/>
            <wp:docPr id="1" name="图片 1" descr="ML-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L-0410"/>
                    <pic:cNvPicPr>
                      <a:picLocks noChangeAspect="1"/>
                    </pic:cNvPicPr>
                  </pic:nvPicPr>
                  <pic:blipFill>
                    <a:blip r:embed="rId4"/>
                    <a:srcRect r="10086"/>
                    <a:stretch>
                      <a:fillRect/>
                    </a:stretch>
                  </pic:blipFill>
                  <pic:spPr>
                    <a:xfrm>
                      <a:off x="0" y="0"/>
                      <a:ext cx="4738370" cy="332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Fig. 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eastAsia="zh-CN"/>
        </w:rPr>
        <w:t>S</w:t>
      </w:r>
      <w:r>
        <w:rPr>
          <w:rFonts w:ascii="Times New Roman" w:hAnsi="Times New Roman" w:cs="Times New Roman"/>
          <w:b/>
          <w:sz w:val="21"/>
          <w:szCs w:val="21"/>
        </w:rPr>
        <w:t>1</w:t>
      </w:r>
      <w:r>
        <w:rPr>
          <w:rFonts w:ascii="Times New Roman" w:hAnsi="Times New Roman" w:eastAsia="宋体" w:cs="Times New Roman"/>
          <w:b/>
          <w:sz w:val="21"/>
          <w:szCs w:val="21"/>
          <w:lang w:eastAsia="zh-CN"/>
        </w:rPr>
        <w:t xml:space="preserve"> 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>The maximum-likelihood tree based on the 16S rRNA gene sequences showing the phylogenetic relationship of GX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lang w:val="en-US" w:eastAsia="zh-CN" w:bidi="ar"/>
        </w:rPr>
        <w:t>Q1321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vertAlign w:val="superscript"/>
          <w:lang w:eastAsia="zh-CN" w:bidi="ar"/>
        </w:rPr>
        <w:t>T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 xml:space="preserve"> with related taxa. The sequence of </w:t>
      </w:r>
      <w:r>
        <w:rPr>
          <w:rFonts w:hint="eastAsia" w:ascii="Times New Roman" w:hAnsi="Times New Roman" w:eastAsia="DINNextLTPro-Medium" w:cs="Times New Roman"/>
          <w:i/>
          <w:iCs/>
          <w:color w:val="231F20"/>
          <w:sz w:val="21"/>
          <w:szCs w:val="21"/>
          <w:lang w:val="en-US" w:eastAsia="zh-CN" w:bidi="ar"/>
        </w:rPr>
        <w:t>Conexibacter</w:t>
      </w:r>
      <w:r>
        <w:rPr>
          <w:rFonts w:ascii="Times New Roman" w:hAnsi="Times New Roman" w:eastAsia="DINNextLTPro-Medium" w:cs="Times New Roman"/>
          <w:i/>
          <w:iCs/>
          <w:color w:val="231F20"/>
          <w:sz w:val="21"/>
          <w:szCs w:val="21"/>
          <w:lang w:eastAsia="zh-CN" w:bidi="ar"/>
        </w:rPr>
        <w:t xml:space="preserve"> </w:t>
      </w:r>
      <w:r>
        <w:rPr>
          <w:rFonts w:hint="eastAsia" w:ascii="Times New Roman" w:hAnsi="Times New Roman" w:eastAsia="DINNextLTPro-Medium" w:cs="Times New Roman"/>
          <w:i/>
          <w:iCs/>
          <w:color w:val="231F20"/>
          <w:sz w:val="21"/>
          <w:szCs w:val="21"/>
          <w:lang w:val="en-US" w:eastAsia="zh-CN" w:bidi="ar"/>
        </w:rPr>
        <w:t>arvalis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 xml:space="preserve"> 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lang w:val="en-US" w:eastAsia="zh-CN" w:bidi="ar"/>
        </w:rPr>
        <w:t>KV-962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vertAlign w:val="superscript"/>
          <w:lang w:eastAsia="zh-CN" w:bidi="ar"/>
        </w:rPr>
        <w:t>T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 xml:space="preserve"> (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lang w:val="en-US" w:eastAsia="zh-CN" w:bidi="ar"/>
        </w:rPr>
        <w:t>AB597950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>) was used as an outgroup. Bootstrap support values were calculated from 1000 replicates.</w:t>
      </w:r>
    </w:p>
    <w:p>
      <w:pPr>
        <w:spacing w:line="480" w:lineRule="auto"/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</w:pPr>
    </w:p>
    <w:p>
      <w:pPr>
        <w:rPr>
          <w:rFonts w:ascii="Arial" w:hAnsi="Arial" w:eastAsia="宋体" w:cs="Arial"/>
          <w:color w:val="333333"/>
          <w:sz w:val="18"/>
          <w:szCs w:val="18"/>
          <w:shd w:val="clear" w:color="auto" w:fill="FFFFFF"/>
          <w:lang w:eastAsia="zh-CN"/>
        </w:rPr>
      </w:pPr>
      <w:r>
        <w:rPr>
          <w:rFonts w:ascii="Arial" w:hAnsi="Arial" w:eastAsia="宋体" w:cs="Arial"/>
          <w:color w:val="333333"/>
          <w:sz w:val="18"/>
          <w:szCs w:val="18"/>
          <w:shd w:val="clear" w:color="auto" w:fill="FFFFFF"/>
          <w:lang w:eastAsia="zh-CN"/>
        </w:rPr>
        <w:drawing>
          <wp:inline distT="0" distB="0" distL="114300" distR="114300">
            <wp:extent cx="5266055" cy="3767455"/>
            <wp:effectExtent l="0" t="0" r="4445" b="4445"/>
            <wp:docPr id="2" name="图片 2" descr="MP-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P-04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76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Fig. 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eastAsia="zh-CN"/>
        </w:rPr>
        <w:t>S2</w:t>
      </w:r>
      <w:r>
        <w:rPr>
          <w:rFonts w:ascii="Times New Roman" w:hAnsi="Times New Roman" w:eastAsia="宋体" w:cs="Times New Roman"/>
          <w:b/>
          <w:sz w:val="21"/>
          <w:szCs w:val="21"/>
          <w:lang w:eastAsia="zh-CN"/>
        </w:rPr>
        <w:t xml:space="preserve"> 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>The maximum-parsimony tree based on the 16S rRNA gene sequences showing the phylogenetic relationship of GX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lang w:val="en-US" w:eastAsia="zh-CN" w:bidi="ar"/>
        </w:rPr>
        <w:t>Q1321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vertAlign w:val="superscript"/>
          <w:lang w:eastAsia="zh-CN" w:bidi="ar"/>
        </w:rPr>
        <w:t>T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 xml:space="preserve"> with related taxa. The sequence of </w:t>
      </w:r>
      <w:r>
        <w:rPr>
          <w:rFonts w:hint="eastAsia" w:ascii="Times New Roman" w:hAnsi="Times New Roman" w:eastAsia="DINNextLTPro-Medium" w:cs="Times New Roman"/>
          <w:i/>
          <w:iCs/>
          <w:color w:val="231F20"/>
          <w:sz w:val="21"/>
          <w:szCs w:val="21"/>
          <w:lang w:val="en-US" w:eastAsia="zh-CN" w:bidi="ar"/>
        </w:rPr>
        <w:t>Conexibacter</w:t>
      </w:r>
      <w:r>
        <w:rPr>
          <w:rFonts w:ascii="Times New Roman" w:hAnsi="Times New Roman" w:eastAsia="DINNextLTPro-Medium" w:cs="Times New Roman"/>
          <w:i/>
          <w:iCs/>
          <w:color w:val="231F20"/>
          <w:sz w:val="21"/>
          <w:szCs w:val="21"/>
          <w:lang w:eastAsia="zh-CN" w:bidi="ar"/>
        </w:rPr>
        <w:t xml:space="preserve"> </w:t>
      </w:r>
      <w:r>
        <w:rPr>
          <w:rFonts w:hint="eastAsia" w:ascii="Times New Roman" w:hAnsi="Times New Roman" w:eastAsia="DINNextLTPro-Medium" w:cs="Times New Roman"/>
          <w:i/>
          <w:iCs/>
          <w:color w:val="231F20"/>
          <w:sz w:val="21"/>
          <w:szCs w:val="21"/>
          <w:lang w:val="en-US" w:eastAsia="zh-CN" w:bidi="ar"/>
        </w:rPr>
        <w:t>arvalis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 xml:space="preserve"> 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lang w:val="en-US" w:eastAsia="zh-CN" w:bidi="ar"/>
        </w:rPr>
        <w:t>KV-962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vertAlign w:val="superscript"/>
          <w:lang w:eastAsia="zh-CN" w:bidi="ar"/>
        </w:rPr>
        <w:t>T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 xml:space="preserve"> (</w:t>
      </w:r>
      <w:r>
        <w:rPr>
          <w:rFonts w:hint="eastAsia" w:ascii="Times New Roman" w:hAnsi="Times New Roman" w:eastAsia="DINNextLTPro-Medium" w:cs="Times New Roman"/>
          <w:color w:val="231F20"/>
          <w:sz w:val="21"/>
          <w:szCs w:val="21"/>
          <w:lang w:val="en-US" w:eastAsia="zh-CN" w:bidi="ar"/>
        </w:rPr>
        <w:t>AB597950</w:t>
      </w:r>
      <w:r>
        <w:rPr>
          <w:rFonts w:ascii="Times New Roman" w:hAnsi="Times New Roman" w:eastAsia="DINNextLTPro-Medium" w:cs="Times New Roman"/>
          <w:color w:val="231F20"/>
          <w:sz w:val="21"/>
          <w:szCs w:val="21"/>
          <w:lang w:eastAsia="zh-CN" w:bidi="ar"/>
        </w:rPr>
        <w:t xml:space="preserve">) was used as an outgroup. Bootstrap support values were calculated from 1000 replicates. </w:t>
      </w: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</w:p>
    <w:p>
      <w:pPr>
        <w:spacing w:line="480" w:lineRule="auto"/>
        <w:rPr>
          <w:rFonts w:hint="eastAsia" w:ascii="Times New Roman" w:hAnsi="Times New Roman" w:cs="Times New Roman" w:eastAsiaTheme="minorEastAsia"/>
          <w:bCs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 w:eastAsiaTheme="minorEastAsia"/>
          <w:bCs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584825" cy="3248660"/>
            <wp:effectExtent l="0" t="0" r="3175" b="2540"/>
            <wp:docPr id="8" name="图片 8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1"/>
                    <pic:cNvPicPr>
                      <a:picLocks noChangeAspect="1"/>
                    </pic:cNvPicPr>
                  </pic:nvPicPr>
                  <pic:blipFill>
                    <a:blip r:embed="rId6"/>
                    <a:srcRect r="2484" b="11165"/>
                    <a:stretch>
                      <a:fillRect/>
                    </a:stretch>
                  </pic:blipFill>
                  <pic:spPr>
                    <a:xfrm>
                      <a:off x="0" y="0"/>
                      <a:ext cx="5584825" cy="324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szCs w:val="21"/>
        </w:rPr>
        <w:t>Fig. 2</w:t>
      </w:r>
      <w:r>
        <w:rPr>
          <w:rFonts w:ascii="Times New Roman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Phylogenetic tree based on the whole-genome information. In the picture, strains GX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Q1321</w:t>
      </w:r>
      <w:r>
        <w:rPr>
          <w:rFonts w:ascii="Times New Roman" w:hAnsi="Times New Roman" w:cs="Times New Roman"/>
          <w:bCs/>
          <w:color w:val="000000" w:themeColor="text1"/>
          <w:szCs w:val="21"/>
          <w:highlight w:val="none"/>
          <w:vertAlign w:val="superscript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cs="Times New Roman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cs="Times New Roman"/>
          <w:bCs/>
          <w:i/>
          <w:i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Brevibacterium</w:t>
      </w:r>
      <w:r>
        <w:rPr>
          <w:rFonts w:ascii="Times New Roman" w:hAnsi="Times New Roman" w:cs="Times New Roman"/>
          <w:bCs/>
          <w:i/>
          <w:i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Cs/>
          <w:i/>
          <w:iCs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samyangense </w:t>
      </w:r>
      <w:r>
        <w:rPr>
          <w:rFonts w:hint="eastAsia" w:ascii="Times New Roman" w:hAnsi="Times New Roman" w:cs="Times New Roman"/>
          <w:bCs/>
          <w:i w:val="0"/>
          <w:iCs w:val="0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SST-8</w:t>
      </w:r>
      <w:r>
        <w:rPr>
          <w:rFonts w:hint="eastAsia" w:ascii="Times New Roman" w:hAnsi="Times New Roman" w:cs="Times New Roman"/>
          <w:bCs/>
          <w:i w:val="0"/>
          <w:iCs w:val="0"/>
          <w:color w:val="000000" w:themeColor="text1"/>
          <w:szCs w:val="21"/>
          <w:highlight w:val="none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T</w:t>
      </w:r>
      <w:r>
        <w:rPr>
          <w:rFonts w:hint="eastAsia" w:ascii="Times New Roman" w:hAnsi="Times New Roman" w:cs="Times New Roman"/>
          <w:bCs/>
          <w:i w:val="0"/>
          <w:iCs w:val="0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form a robust branch.</w:t>
      </w:r>
      <w:r>
        <w:rPr>
          <w:highlight w:val="none"/>
        </w:rPr>
        <w:t xml:space="preserve"> </w:t>
      </w: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</w:p>
    <w:p>
      <w:pPr>
        <w:rPr>
          <w:rFonts w:ascii="Times New Roman" w:hAnsi="Times New Roman" w:cs="Times New Roman" w:eastAsiaTheme="minorEastAsia"/>
          <w:color w:val="231F20"/>
          <w:sz w:val="21"/>
          <w:szCs w:val="21"/>
          <w:lang w:eastAsia="zh-CN" w:bidi="ar"/>
        </w:rPr>
      </w:pPr>
    </w:p>
    <w:p>
      <w:pPr>
        <w:spacing w:line="480" w:lineRule="auto"/>
        <w:rPr>
          <w:rFonts w:ascii="Times New Roman" w:hAnsi="Times New Roman" w:cs="Times New Roman"/>
          <w:szCs w:val="21"/>
        </w:rPr>
      </w:pPr>
      <w:bookmarkStart w:id="4" w:name="_Hlk152565858"/>
      <w:bookmarkStart w:id="5" w:name="_Hlk153231600"/>
      <w:r>
        <w:rPr>
          <w:rFonts w:ascii="Times New Roman" w:hAnsi="Times New Roman" w:cs="Times New Roman"/>
          <w:b/>
          <w:bCs/>
          <w:szCs w:val="21"/>
        </w:rPr>
        <w:t>Table S1</w:t>
      </w:r>
      <w:bookmarkEnd w:id="4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Subsystem characterisation counts for GX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Q1321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T</w:t>
      </w:r>
      <w:r>
        <w:rPr>
          <w:rFonts w:ascii="Times New Roman" w:hAnsi="Times New Roman" w:cs="Times New Roman"/>
          <w:sz w:val="21"/>
          <w:szCs w:val="21"/>
        </w:rPr>
        <w:t xml:space="preserve"> and related members of the genus </w:t>
      </w:r>
      <w:r>
        <w:rPr>
          <w:rFonts w:hint="eastAsia" w:ascii="Times New Roman" w:hAnsi="Times New Roman" w:eastAsia="宋体" w:cs="Times New Roman"/>
          <w:i/>
          <w:iCs/>
          <w:szCs w:val="21"/>
          <w:lang w:val="en-US" w:eastAsia="zh-CN"/>
        </w:rPr>
        <w:t>Brevibacterium</w:t>
      </w:r>
      <w:r>
        <w:rPr>
          <w:rFonts w:ascii="Times New Roman" w:hAnsi="Times New Roman" w:cs="Times New Roman"/>
          <w:sz w:val="21"/>
          <w:szCs w:val="21"/>
        </w:rPr>
        <w:t>.</w:t>
      </w:r>
    </w:p>
    <w:bookmarkEnd w:id="5"/>
    <w:tbl>
      <w:tblPr>
        <w:tblStyle w:val="3"/>
        <w:tblW w:w="8519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2"/>
        <w:gridCol w:w="1971"/>
        <w:gridCol w:w="2148"/>
        <w:gridCol w:w="214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2" w:type="dxa"/>
            <w:vAlign w:val="center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kern w:val="0"/>
                <w:sz w:val="22"/>
                <w:szCs w:val="21"/>
                <w:lang w:eastAsia="en-US"/>
              </w:rPr>
            </w:pPr>
            <w:bookmarkStart w:id="6" w:name="_Hlk152545711"/>
            <w:r>
              <w:rPr>
                <w:rFonts w:ascii="Times New Roman" w:hAnsi="Times New Roman" w:eastAsia="Calibri" w:cs="Times New Roman"/>
                <w:b/>
                <w:bCs/>
                <w:kern w:val="0"/>
                <w:sz w:val="22"/>
                <w:szCs w:val="21"/>
                <w:lang w:eastAsia="en-US"/>
              </w:rPr>
              <w:t>Subsystem feature counts</w:t>
            </w:r>
            <w:bookmarkEnd w:id="6"/>
          </w:p>
        </w:tc>
        <w:tc>
          <w:tcPr>
            <w:tcW w:w="1971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Calibri" w:cs="Times New Roman"/>
                <w:b/>
                <w:bCs/>
                <w:kern w:val="0"/>
                <w:sz w:val="22"/>
                <w:szCs w:val="21"/>
                <w:lang w:eastAsia="en-US"/>
              </w:rPr>
            </w:pPr>
            <w:r>
              <w:rPr>
                <w:rFonts w:ascii="Times New Roman" w:hAnsi="Times New Roman" w:eastAsia="Calibri" w:cs="Times New Roman"/>
                <w:b/>
                <w:bCs/>
                <w:kern w:val="0"/>
                <w:sz w:val="22"/>
                <w:szCs w:val="21"/>
                <w:lang w:eastAsia="en-US"/>
              </w:rPr>
              <w:t>GX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2"/>
                <w:szCs w:val="21"/>
                <w:lang w:val="en-US" w:eastAsia="zh-CN"/>
              </w:rPr>
              <w:t>Q1321</w:t>
            </w:r>
            <w:r>
              <w:rPr>
                <w:rFonts w:ascii="Times New Roman" w:hAnsi="Times New Roman" w:eastAsia="Calibri" w:cs="Times New Roman"/>
                <w:b/>
                <w:bCs/>
                <w:kern w:val="0"/>
                <w:sz w:val="22"/>
                <w:szCs w:val="21"/>
                <w:vertAlign w:val="superscript"/>
                <w:lang w:eastAsia="en-US"/>
              </w:rPr>
              <w:t>T</w:t>
            </w:r>
          </w:p>
        </w:tc>
        <w:tc>
          <w:tcPr>
            <w:tcW w:w="2148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szCs w:val="21"/>
                <w:lang w:val="en-US" w:eastAsia="zh-CN"/>
              </w:rPr>
              <w:t xml:space="preserve">B. samyangense 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szCs w:val="21"/>
                <w:lang w:val="en-US" w:eastAsia="zh-CN"/>
              </w:rPr>
              <w:t>SST-8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szCs w:val="21"/>
                <w:vertAlign w:val="superscript"/>
                <w:lang w:val="en-US" w:eastAsia="zh-CN"/>
              </w:rPr>
              <w:t>T</w:t>
            </w:r>
          </w:p>
        </w:tc>
        <w:tc>
          <w:tcPr>
            <w:tcW w:w="2148" w:type="dxa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Calibri" w:cs="Times New Roman"/>
                <w:b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szCs w:val="21"/>
                <w:lang w:val="en-US" w:eastAsia="zh-CN"/>
              </w:rPr>
              <w:t>B.</w:t>
            </w:r>
            <w:r>
              <w:rPr>
                <w:rFonts w:ascii="Times New Roman" w:hAnsi="Times New Roman" w:eastAsia="Calibri" w:cs="Times New Roman"/>
                <w:i/>
                <w:iCs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>rongguiense</w:t>
            </w:r>
            <w:r>
              <w:rPr>
                <w:rFonts w:ascii="Times New Roman" w:hAnsi="Times New Roman" w:eastAsia="Calibri" w:cs="Times New Roman"/>
                <w:b/>
                <w:color w:val="000000"/>
                <w:kern w:val="0"/>
                <w:sz w:val="22"/>
                <w:szCs w:val="21"/>
                <w:lang w:eastAsia="en-US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  <w:szCs w:val="21"/>
                <w:lang w:val="en-US" w:eastAsia="zh-CN"/>
              </w:rPr>
              <w:t>5221</w:t>
            </w:r>
            <w:r>
              <w:rPr>
                <w:rFonts w:ascii="Times New Roman" w:hAnsi="Times New Roman" w:eastAsia="Calibri" w:cs="Times New Roman"/>
                <w:b/>
                <w:kern w:val="0"/>
                <w:sz w:val="22"/>
                <w:szCs w:val="21"/>
                <w:vertAlign w:val="superscript"/>
                <w:lang w:eastAsia="en-US"/>
              </w:rPr>
              <w:t>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2" w:type="dxa"/>
            <w:vAlign w:val="center"/>
          </w:tcPr>
          <w:p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Stress Response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  <w:t>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Respiration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Dormancy and Sporulation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  <w:t>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Miscellaneous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Protein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162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161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Calibri" w:cs="Times New Roman"/>
                <w:iCs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Cell Division and Cell Cycle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 Light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Fatty</w:t>
            </w: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Acids, Lipids, and Isoprenoids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90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96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 Light" w:cs="Times New Roman"/>
                <w:kern w:val="0"/>
                <w:sz w:val="21"/>
                <w:szCs w:val="21"/>
                <w:highlight w:val="yellow"/>
                <w:lang w:eastAsia="en-US"/>
              </w:rPr>
            </w:pPr>
            <w:r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Membrane Transport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53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 Light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Secondary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 Light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Motility and Chemotaxis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RNA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Iron acquisition and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Nitrogen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eastAsia="Calibri" w:cs="Times New Roman"/>
                <w:kern w:val="0"/>
                <w:sz w:val="21"/>
                <w:szCs w:val="21"/>
                <w:lang w:eastAsia="en-US"/>
              </w:rPr>
              <w:t>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Nucleosides and Nucleotides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65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  <w:vAlign w:val="center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Metabolism of Aromatic Compounds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Carbohydrates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134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139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171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Cofactors, Vitamins, Prosthetic Groups, Pigments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108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87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99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Photosynthesis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Virulence, Disease and Defense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Phosphorus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DNA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51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Phages, Prophages,</w:t>
            </w: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Transposable elements, Plasmids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Potassium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Amino Acids and Derivatives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209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207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Sulfur Metabolism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Cell Wall and Capsule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252" w:type="dxa"/>
          </w:tcPr>
          <w:p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eastAsia="Calibri" w:cs="Times New Roman"/>
                <w:iCs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eastAsia="en-US"/>
              </w:rPr>
              <w:t>Regulation and Cell signaling</w:t>
            </w:r>
          </w:p>
        </w:tc>
        <w:tc>
          <w:tcPr>
            <w:tcW w:w="1971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48" w:type="dxa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8</w:t>
            </w:r>
          </w:p>
        </w:tc>
      </w:tr>
    </w:tbl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spacing w:line="480" w:lineRule="auto"/>
        <w:rPr>
          <w:rFonts w:ascii="Times New Roman" w:hAnsi="Times New Roman" w:cs="Times New Roman"/>
          <w:szCs w:val="21"/>
        </w:rPr>
      </w:pPr>
      <w:bookmarkStart w:id="7" w:name="_Hlk153232548"/>
      <w:r>
        <w:rPr>
          <w:rFonts w:ascii="Times New Roman" w:hAnsi="Times New Roman" w:cs="Times New Roman"/>
          <w:b/>
          <w:bCs/>
          <w:szCs w:val="21"/>
        </w:rPr>
        <w:t>Table S2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antiSMASH of GX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Q1321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T</w:t>
      </w:r>
      <w:r>
        <w:rPr>
          <w:rFonts w:ascii="Times New Roman" w:hAnsi="Times New Roman" w:cs="Times New Roman"/>
          <w:sz w:val="21"/>
          <w:szCs w:val="21"/>
        </w:rPr>
        <w:t xml:space="preserve"> and related members of the genus </w:t>
      </w:r>
      <w:r>
        <w:rPr>
          <w:rFonts w:hint="eastAsia" w:ascii="Times New Roman" w:hAnsi="Times New Roman" w:eastAsia="宋体" w:cs="Times New Roman"/>
          <w:i/>
          <w:iCs/>
          <w:szCs w:val="21"/>
          <w:lang w:val="en-US" w:eastAsia="zh-CN"/>
        </w:rPr>
        <w:t>Brevibacterium</w:t>
      </w:r>
      <w:r>
        <w:rPr>
          <w:rFonts w:ascii="Times New Roman" w:hAnsi="Times New Roman" w:cs="Times New Roman"/>
          <w:sz w:val="21"/>
          <w:szCs w:val="21"/>
        </w:rPr>
        <w:t>.</w:t>
      </w:r>
    </w:p>
    <w:tbl>
      <w:tblPr>
        <w:tblStyle w:val="3"/>
        <w:tblW w:w="84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3"/>
        <w:gridCol w:w="1716"/>
        <w:gridCol w:w="1716"/>
        <w:gridCol w:w="18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317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Times New Roman" w:hAnsi="Times New Roman" w:eastAsia="DINNextLTPro-Medium" w:cs="Times New Roman"/>
                <w:b/>
                <w:bCs/>
                <w:color w:val="231F20"/>
                <w:kern w:val="0"/>
                <w:sz w:val="21"/>
                <w:szCs w:val="21"/>
                <w:lang w:bidi="ar"/>
              </w:rPr>
            </w:pPr>
            <w:bookmarkStart w:id="8" w:name="_Hlk153231620"/>
            <w:bookmarkStart w:id="9" w:name="_Hlk152564916"/>
            <w:r>
              <w:rPr>
                <w:rFonts w:ascii="Times New Roman" w:hAnsi="Times New Roman" w:eastAsia="DINNextLTPro-Medium" w:cs="Times New Roman"/>
                <w:b/>
                <w:bCs/>
                <w:color w:val="231F20"/>
                <w:kern w:val="0"/>
                <w:sz w:val="21"/>
                <w:szCs w:val="21"/>
                <w:lang w:bidi="ar"/>
              </w:rPr>
              <w:t>antiSMASH</w:t>
            </w:r>
            <w:bookmarkEnd w:id="8"/>
            <w:r>
              <w:rPr>
                <w:rFonts w:ascii="Times New Roman" w:hAnsi="Times New Roman" w:eastAsia="DINNextLTPro-Medium" w:cs="Times New Roman"/>
                <w:b/>
                <w:bCs/>
                <w:color w:val="231F20"/>
                <w:kern w:val="0"/>
                <w:sz w:val="21"/>
                <w:szCs w:val="21"/>
                <w:lang w:bidi="ar"/>
              </w:rPr>
              <w:t xml:space="preserve"> v.6.0.1</w:t>
            </w:r>
          </w:p>
        </w:tc>
        <w:tc>
          <w:tcPr>
            <w:tcW w:w="171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Times New Roman" w:hAnsi="Times New Roman" w:eastAsia="DINNextLTPro-Medium" w:cs="Times New Roman"/>
                <w:b/>
                <w:bCs/>
                <w:color w:val="231F2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DINNextLTPro-Medium" w:cs="Times New Roman"/>
                <w:b/>
                <w:bCs/>
                <w:color w:val="231F20"/>
                <w:kern w:val="0"/>
                <w:sz w:val="21"/>
                <w:szCs w:val="21"/>
                <w:lang w:bidi="ar"/>
              </w:rPr>
              <w:t>GX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231F20"/>
                <w:kern w:val="0"/>
                <w:sz w:val="21"/>
                <w:szCs w:val="21"/>
                <w:lang w:val="en-US" w:eastAsia="zh-CN" w:bidi="ar"/>
              </w:rPr>
              <w:t>Q1321</w:t>
            </w:r>
            <w:r>
              <w:rPr>
                <w:rFonts w:ascii="Times New Roman" w:hAnsi="Times New Roman" w:eastAsia="DINNextLTPro-Medium" w:cs="Times New Roman"/>
                <w:b/>
                <w:bCs/>
                <w:color w:val="231F20"/>
                <w:kern w:val="0"/>
                <w:sz w:val="21"/>
                <w:szCs w:val="21"/>
                <w:vertAlign w:val="superscript"/>
                <w:lang w:bidi="ar"/>
              </w:rPr>
              <w:t>T</w:t>
            </w:r>
          </w:p>
        </w:tc>
        <w:tc>
          <w:tcPr>
            <w:tcW w:w="171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宋体" w:cs="Times New Roman"/>
                <w:b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szCs w:val="21"/>
                <w:lang w:val="en-US" w:eastAsia="zh-CN"/>
              </w:rPr>
              <w:t xml:space="preserve">B. samyangense </w:t>
            </w:r>
            <w:r>
              <w:rPr>
                <w:rFonts w:hint="eastAsia" w:ascii="Times New Roman" w:hAnsi="Times New Roman" w:eastAsia="宋体" w:cs="Times New Roman"/>
                <w:b/>
                <w:color w:val="231F20"/>
                <w:kern w:val="0"/>
                <w:sz w:val="21"/>
                <w:szCs w:val="21"/>
                <w:lang w:val="en-US" w:eastAsia="zh-CN" w:bidi="ar"/>
              </w:rPr>
              <w:t>SST-8</w:t>
            </w:r>
            <w:r>
              <w:rPr>
                <w:rFonts w:hint="eastAsia" w:ascii="Times New Roman" w:hAnsi="Times New Roman" w:eastAsia="宋体" w:cs="Times New Roman"/>
                <w:b/>
                <w:color w:val="231F20"/>
                <w:kern w:val="0"/>
                <w:sz w:val="21"/>
                <w:szCs w:val="21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182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eastAsia="DINNextLTPro-Medium" w:cs="Times New Roman"/>
                <w:b/>
                <w:color w:val="231F2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szCs w:val="21"/>
                <w:lang w:val="en-US" w:eastAsia="zh-CN"/>
              </w:rPr>
              <w:t>B.</w:t>
            </w:r>
            <w:r>
              <w:rPr>
                <w:rFonts w:ascii="Times New Roman" w:hAnsi="Times New Roman" w:eastAsia="Calibri" w:cs="Times New Roman"/>
                <w:i/>
                <w:iCs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 xml:space="preserve">rongguiense </w:t>
            </w:r>
            <w:r>
              <w:rPr>
                <w:rFonts w:hint="eastAsia" w:ascii="Times New Roman" w:hAnsi="Times New Roman" w:eastAsia="宋体" w:cs="Times New Roman"/>
                <w:b/>
                <w:color w:val="231F20"/>
                <w:kern w:val="0"/>
                <w:sz w:val="21"/>
                <w:szCs w:val="21"/>
                <w:lang w:val="en-US" w:eastAsia="zh-CN" w:bidi="ar"/>
              </w:rPr>
              <w:t>5221</w:t>
            </w:r>
            <w:r>
              <w:rPr>
                <w:rFonts w:ascii="Times New Roman" w:hAnsi="Times New Roman" w:eastAsia="DINNextLTPro-Medium" w:cs="Times New Roman"/>
                <w:b/>
                <w:color w:val="231F20"/>
                <w:kern w:val="0"/>
                <w:sz w:val="21"/>
                <w:szCs w:val="21"/>
                <w:vertAlign w:val="superscript"/>
                <w:lang w:bidi="ar"/>
              </w:rPr>
              <w:t>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3173" w:type="dxa"/>
            <w:vAlign w:val="center"/>
          </w:tcPr>
          <w:p>
            <w:pPr>
              <w:autoSpaceDE w:val="0"/>
              <w:autoSpaceDN w:val="0"/>
              <w:jc w:val="left"/>
              <w:rPr>
                <w:rFonts w:hint="default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Cs/>
                <w:color w:val="231F20"/>
                <w:kern w:val="0"/>
                <w:sz w:val="21"/>
                <w:szCs w:val="21"/>
                <w:lang w:val="en-US" w:eastAsia="zh-CN" w:bidi="ar"/>
              </w:rPr>
              <w:t>Terpene</w:t>
            </w:r>
          </w:p>
        </w:tc>
        <w:tc>
          <w:tcPr>
            <w:tcW w:w="1716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Times New Roman" w:hAnsi="Times New Roman" w:eastAsia="DINNextLTPro-Medium" w:cs="Times New Roman"/>
                <w:color w:val="231F2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DINNextLTPro-Medium" w:cs="Times New Roman"/>
                <w:color w:val="231F20"/>
                <w:kern w:val="0"/>
                <w:sz w:val="21"/>
                <w:szCs w:val="21"/>
                <w:lang w:bidi="ar"/>
              </w:rPr>
              <w:t>+</w:t>
            </w:r>
          </w:p>
        </w:tc>
        <w:tc>
          <w:tcPr>
            <w:tcW w:w="1716" w:type="dxa"/>
            <w:vAlign w:val="center"/>
          </w:tcPr>
          <w:p>
            <w:pPr>
              <w:autoSpaceDE w:val="0"/>
              <w:autoSpaceDN w:val="0"/>
              <w:jc w:val="left"/>
              <w:rPr>
                <w:rFonts w:hint="default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+</w:t>
            </w:r>
          </w:p>
        </w:tc>
        <w:tc>
          <w:tcPr>
            <w:tcW w:w="1828" w:type="dxa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3173" w:type="dxa"/>
            <w:vAlign w:val="center"/>
          </w:tcPr>
          <w:p>
            <w:pPr>
              <w:autoSpaceDE w:val="0"/>
              <w:autoSpaceDN w:val="0"/>
              <w:jc w:val="left"/>
              <w:rPr>
                <w:rFonts w:hint="default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Cs/>
                <w:color w:val="231F20"/>
                <w:kern w:val="0"/>
                <w:sz w:val="21"/>
                <w:szCs w:val="21"/>
                <w:lang w:val="en-US" w:eastAsia="zh-CN" w:bidi="ar"/>
              </w:rPr>
              <w:t>NAPPA</w:t>
            </w:r>
          </w:p>
        </w:tc>
        <w:tc>
          <w:tcPr>
            <w:tcW w:w="1716" w:type="dxa"/>
          </w:tcPr>
          <w:p>
            <w:pPr>
              <w:autoSpaceDE w:val="0"/>
              <w:autoSpaceDN w:val="0"/>
              <w:jc w:val="both"/>
              <w:rPr>
                <w:rFonts w:ascii="Times New Roman" w:hAnsi="Times New Roman" w:eastAsia="DINNextLTPro-Medium" w:cs="Times New Roman"/>
                <w:color w:val="231F2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DINNextLTPro-Medium" w:cs="Times New Roman"/>
                <w:color w:val="231F20"/>
                <w:kern w:val="0"/>
                <w:sz w:val="21"/>
                <w:szCs w:val="21"/>
                <w:lang w:bidi="ar"/>
              </w:rPr>
              <w:t>+</w:t>
            </w:r>
          </w:p>
        </w:tc>
        <w:tc>
          <w:tcPr>
            <w:tcW w:w="1716" w:type="dxa"/>
          </w:tcPr>
          <w:p>
            <w:pPr>
              <w:autoSpaceDE w:val="0"/>
              <w:autoSpaceDN w:val="0"/>
              <w:jc w:val="left"/>
              <w:rPr>
                <w:rFonts w:hint="default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+</w:t>
            </w:r>
          </w:p>
        </w:tc>
        <w:tc>
          <w:tcPr>
            <w:tcW w:w="1828" w:type="dxa"/>
          </w:tcPr>
          <w:p>
            <w:pPr>
              <w:autoSpaceDE w:val="0"/>
              <w:autoSpaceDN w:val="0"/>
              <w:jc w:val="left"/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3173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Times New Roman" w:hAnsi="Times New Roman" w:eastAsia="DINNextLTPro-Medium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hAnsi="Times New Roman" w:eastAsia="DINNextLTPro-Medium" w:cs="Times New Roman"/>
                <w:iCs/>
                <w:color w:val="231F20"/>
                <w:kern w:val="0"/>
                <w:sz w:val="21"/>
                <w:szCs w:val="21"/>
                <w:lang w:bidi="ar"/>
              </w:rPr>
              <w:t>Ectoine</w:t>
            </w:r>
          </w:p>
        </w:tc>
        <w:tc>
          <w:tcPr>
            <w:tcW w:w="1716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+</w:t>
            </w:r>
          </w:p>
        </w:tc>
        <w:tc>
          <w:tcPr>
            <w:tcW w:w="1716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1828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1"/>
                <w:szCs w:val="21"/>
                <w:lang w:val="en-US" w:eastAsia="zh-CN" w:bidi="ar"/>
              </w:rPr>
              <w:t>-</w:t>
            </w:r>
          </w:p>
        </w:tc>
      </w:tr>
      <w:bookmarkEnd w:id="7"/>
      <w:bookmarkEnd w:id="9"/>
    </w:tbl>
    <w:p>
      <w:pPr>
        <w:autoSpaceDE/>
        <w:autoSpaceDN/>
        <w:spacing w:line="480" w:lineRule="auto"/>
        <w:jc w:val="both"/>
        <w:rPr>
          <w:rFonts w:ascii="Times New Roman" w:hAnsi="Times New Roman" w:eastAsia="宋体" w:cs="Times New Roman"/>
          <w:color w:val="FF0000"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iCs/>
          <w:kern w:val="2"/>
          <w:sz w:val="21"/>
          <w:szCs w:val="21"/>
          <w:lang w:eastAsia="zh-CN"/>
        </w:rPr>
        <w:t xml:space="preserve"> </w:t>
      </w:r>
      <w:r>
        <w:rPr>
          <w:rFonts w:ascii="Times New Roman" w:hAnsi="Times New Roman" w:eastAsia="DINNextLTPro-Medium" w:cs="Times New Roman"/>
          <w:iCs/>
          <w:color w:val="231F20"/>
          <w:sz w:val="21"/>
          <w:szCs w:val="21"/>
          <w:lang w:eastAsia="zh-CN" w:bidi="ar"/>
        </w:rPr>
        <w:t>NAPAA*</w:t>
      </w:r>
      <w:r>
        <w:rPr>
          <w:rFonts w:hint="eastAsia" w:ascii="Times New Roman" w:hAnsi="Times New Roman" w:eastAsia="宋体" w:cs="Times New Roman"/>
          <w:iCs/>
          <w:color w:val="auto"/>
          <w:kern w:val="2"/>
          <w:sz w:val="21"/>
          <w:szCs w:val="21"/>
          <w:lang w:eastAsia="zh-CN" w:bidi="ar-SA"/>
        </w:rPr>
        <w:t>：</w:t>
      </w:r>
      <w:r>
        <w:rPr>
          <w:rFonts w:ascii="Times New Roman" w:hAnsi="Times New Roman" w:eastAsia="宋体" w:cs="Times New Roman"/>
          <w:iCs/>
          <w:color w:val="auto"/>
          <w:kern w:val="2"/>
          <w:sz w:val="21"/>
          <w:szCs w:val="21"/>
          <w:lang w:eastAsia="zh-CN" w:bidi="ar-SA"/>
        </w:rPr>
        <w:t>Non-alpha poly-amino acids like e-Polylysin</w:t>
      </w: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 w:val="0"/>
        <w:spacing w:line="480" w:lineRule="auto"/>
        <w:rPr>
          <w:rFonts w:ascii="Times New Roman" w:hAnsi="Times New Roman" w:eastAsia="Calibri" w:cs="Times New Roman"/>
          <w:color w:val="auto"/>
          <w:sz w:val="21"/>
          <w:szCs w:val="21"/>
          <w:lang w:eastAsia="en-US" w:bidi="ar-SA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Table S3</w:t>
      </w:r>
      <w:r>
        <w:rPr>
          <w:rFonts w:ascii="Times New Roman" w:hAnsi="Times New Roman" w:cs="Times New Roman"/>
          <w:sz w:val="21"/>
          <w:szCs w:val="21"/>
        </w:rPr>
        <w:t xml:space="preserve"> The results of </w:t>
      </w:r>
      <w:r>
        <w:rPr>
          <w:rFonts w:ascii="Times New Roman" w:hAnsi="Times New Roman" w:eastAsia="宋体" w:cs="宋体"/>
          <w:sz w:val="21"/>
          <w:szCs w:val="21"/>
        </w:rPr>
        <w:t>conduct the COG category analysis of coding proteins</w:t>
      </w:r>
      <w:r>
        <w:rPr>
          <w:rFonts w:ascii="Times New Roman" w:hAnsi="Times New Roman" w:cs="Times New Roman"/>
          <w:sz w:val="21"/>
          <w:szCs w:val="21"/>
        </w:rPr>
        <w:t xml:space="preserve"> about GX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Q1321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T</w:t>
      </w:r>
      <w:r>
        <w:rPr>
          <w:rFonts w:ascii="Times New Roman" w:hAnsi="Times New Roman" w:cs="Times New Roman"/>
          <w:sz w:val="21"/>
          <w:szCs w:val="21"/>
        </w:rPr>
        <w:t xml:space="preserve"> and reference strains of the genus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/>
          <w:iCs/>
          <w:sz w:val="21"/>
          <w:szCs w:val="21"/>
        </w:rPr>
        <w:t>Brevibacterium</w:t>
      </w:r>
      <w:r>
        <w:rPr>
          <w:rFonts w:ascii="Times New Roman" w:hAnsi="Times New Roman" w:cs="Times New Roman"/>
          <w:sz w:val="21"/>
          <w:szCs w:val="21"/>
        </w:rPr>
        <w:t>.</w:t>
      </w:r>
    </w:p>
    <w:tbl>
      <w:tblPr>
        <w:tblStyle w:val="5"/>
        <w:tblW w:w="9356" w:type="dxa"/>
        <w:tblInd w:w="-2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5"/>
        <w:gridCol w:w="1559"/>
        <w:gridCol w:w="1701"/>
        <w:gridCol w:w="1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F</w:t>
            </w:r>
            <w:r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  <w:t>unctional-Categories</w:t>
            </w:r>
          </w:p>
        </w:tc>
        <w:tc>
          <w:tcPr>
            <w:tcW w:w="155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  <w:t>GX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Q1321</w:t>
            </w:r>
            <w:r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:vertAlign w:val="superscript"/>
              </w:rPr>
              <w:t>T</w:t>
            </w:r>
          </w:p>
        </w:tc>
        <w:tc>
          <w:tcPr>
            <w:tcW w:w="170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szCs w:val="21"/>
                <w:lang w:val="en-US" w:eastAsia="zh-CN"/>
              </w:rPr>
              <w:t xml:space="preserve">B. samyangense 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sz w:val="21"/>
                <w:szCs w:val="21"/>
                <w:lang w:val="en-US" w:eastAsia="zh-CN"/>
              </w:rPr>
              <w:t>SST-8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sz w:val="21"/>
                <w:szCs w:val="21"/>
                <w:vertAlign w:val="superscript"/>
                <w:lang w:val="en-US" w:eastAsia="zh-CN"/>
              </w:rPr>
              <w:t>T</w:t>
            </w:r>
          </w:p>
        </w:tc>
        <w:tc>
          <w:tcPr>
            <w:tcW w:w="170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szCs w:val="21"/>
                <w:lang w:val="en-US" w:eastAsia="zh-CN"/>
              </w:rPr>
              <w:t>B.</w:t>
            </w:r>
            <w:r>
              <w:rPr>
                <w:rFonts w:ascii="Times New Roman" w:hAnsi="Times New Roman" w:eastAsia="Calibri" w:cs="Times New Roman"/>
                <w:i/>
                <w:iCs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4"/>
                <w:szCs w:val="24"/>
                <w:lang w:val="en-US" w:eastAsia="zh-CN"/>
              </w:rPr>
              <w:t xml:space="preserve">rongguiense </w:t>
            </w:r>
            <w:r>
              <w:rPr>
                <w:rFonts w:hint="eastAsia" w:ascii="Times New Roman" w:hAnsi="Times New Roman" w:eastAsia="宋体" w:cs="Times New Roman"/>
                <w:b/>
                <w:color w:val="231F20"/>
                <w:kern w:val="0"/>
                <w:sz w:val="21"/>
                <w:szCs w:val="21"/>
                <w:lang w:val="en-US" w:eastAsia="zh-CN" w:bidi="ar"/>
              </w:rPr>
              <w:t>5221</w:t>
            </w:r>
            <w:r>
              <w:rPr>
                <w:rFonts w:ascii="Times New Roman" w:hAnsi="Times New Roman" w:eastAsia="DINNextLTPro-Medium" w:cs="Times New Roman"/>
                <w:b/>
                <w:color w:val="231F20"/>
                <w:kern w:val="0"/>
                <w:sz w:val="21"/>
                <w:szCs w:val="21"/>
                <w:vertAlign w:val="superscript"/>
                <w:lang w:bidi="ar"/>
              </w:rPr>
              <w:t>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RNA processing and modification</w:t>
            </w:r>
          </w:p>
        </w:tc>
        <w:tc>
          <w:tcPr>
            <w:tcW w:w="1559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Chromatin structure and dynamics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Energy production and conversion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168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Cell cycle control, cell division, chromosome</w:t>
            </w:r>
            <w:r>
              <w:rPr>
                <w:rFonts w:hint="eastAsia" w:ascii="Times New Roman" w:hAnsi="Times New Roman" w:eastAsia="等线 Light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partitioning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Amino acid transport and metabolism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332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Nucleotide transport and metabolism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8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Carbohydrate transport and metabolism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165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Coenzyme transport and metabolism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166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等线 Light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Lipid transport and metabolism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等线 Light" w:cs="Times New Roman"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Translation, ribosomal structure and biogenesis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201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等线 Light" w:cs="Times New Roman"/>
                <w:sz w:val="21"/>
                <w:szCs w:val="21"/>
              </w:rPr>
              <w:t>Transcription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206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等线 Light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Replication, recombination and repair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191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等线 Light" w:cs="Times New Roman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Cell wall/membrane/envelope biogenesis</w:t>
            </w: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129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123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Cell motility</w:t>
            </w: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Posttranslational modification, protein turnover, chaperones</w:t>
            </w: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122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84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Inorganic ion transport and metabolism</w:t>
            </w: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208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Secondary metabolites biosynthesis, transport and catabolism</w:t>
            </w: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等线 Light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General function prediction only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222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Function unknown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517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Signal transduction mechanisms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Intracellular trafficking, secretion, and vesicular transport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Defense mechanisms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 w:val="21"/>
                <w:szCs w:val="21"/>
              </w:rPr>
              <w:t>Extracellular structures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iCs/>
                <w:sz w:val="21"/>
                <w:szCs w:val="21"/>
                <w:lang w:val="en-US" w:eastAsia="zh-CN"/>
              </w:rPr>
              <w:t>Mobilome: prophages, transposons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8 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395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宋体" w:cs="Times New Roman"/>
                <w:i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Cytoskeleton </w:t>
            </w:r>
          </w:p>
        </w:tc>
        <w:tc>
          <w:tcPr>
            <w:tcW w:w="1559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01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</w:t>
            </w:r>
          </w:p>
        </w:tc>
      </w:tr>
    </w:tbl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  <w:r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  <w:drawing>
          <wp:inline distT="0" distB="0" distL="114300" distR="114300">
            <wp:extent cx="4321175" cy="3526155"/>
            <wp:effectExtent l="0" t="0" r="0" b="0"/>
            <wp:docPr id="10" name="图片 10" descr="Fig.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. S3"/>
                    <pic:cNvPicPr>
                      <a:picLocks noChangeAspect="1"/>
                    </pic:cNvPicPr>
                  </pic:nvPicPr>
                  <pic:blipFill>
                    <a:blip r:embed="rId7"/>
                    <a:srcRect l="9359" t="3929" r="8673" b="15860"/>
                    <a:stretch>
                      <a:fillRect/>
                    </a:stretch>
                  </pic:blipFill>
                  <pic:spPr>
                    <a:xfrm>
                      <a:off x="0" y="0"/>
                      <a:ext cx="4321175" cy="352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cs="Times New Roman" w:eastAsiaTheme="minorEastAsia"/>
          <w:color w:val="231F20"/>
          <w:sz w:val="16"/>
          <w:szCs w:val="16"/>
          <w:lang w:eastAsia="zh-CN" w:bidi="ar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Fig. 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eastAsia="zh-CN"/>
        </w:rPr>
        <w:t>S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val="en-US" w:eastAsia="zh-CN"/>
        </w:rPr>
        <w:t>3</w:t>
      </w:r>
      <w:r>
        <w:rPr>
          <w:rFonts w:ascii="Times New Roman" w:hAnsi="Times New Roman" w:eastAsia="宋体" w:cs="Times New Roman"/>
          <w:b/>
          <w:sz w:val="21"/>
          <w:szCs w:val="21"/>
          <w:lang w:eastAsia="zh-CN"/>
        </w:rPr>
        <w:t xml:space="preserve"> </w:t>
      </w:r>
      <w:r>
        <w:rPr>
          <w:rFonts w:ascii="Times New Roman" w:hAnsi="Times New Roman" w:cs="Times New Roman"/>
          <w:iCs/>
          <w:sz w:val="21"/>
          <w:szCs w:val="21"/>
        </w:rPr>
        <w:t>AAI values</w:t>
      </w:r>
      <w:r>
        <w:rPr>
          <w:rFonts w:hint="eastAsia" w:ascii="Times New Roman" w:hAnsi="Times New Roman" w:eastAsia="宋体" w:cs="Times New Roman"/>
          <w:iCs/>
          <w:sz w:val="21"/>
          <w:szCs w:val="21"/>
          <w:lang w:val="en-US" w:eastAsia="zh-CN"/>
        </w:rPr>
        <w:t xml:space="preserve"> of</w:t>
      </w:r>
      <w:r>
        <w:rPr>
          <w:rFonts w:ascii="Times New Roman" w:hAnsi="Times New Roman" w:cs="Times New Roman"/>
          <w:iCs/>
          <w:sz w:val="21"/>
          <w:szCs w:val="21"/>
        </w:rPr>
        <w:t xml:space="preserve"> strain GX</w:t>
      </w:r>
      <w:r>
        <w:rPr>
          <w:rFonts w:hint="eastAsia" w:ascii="Times New Roman" w:hAnsi="Times New Roman" w:eastAsia="宋体" w:cs="Times New Roman"/>
          <w:iCs/>
          <w:sz w:val="21"/>
          <w:szCs w:val="21"/>
          <w:lang w:val="en-US" w:eastAsia="zh-CN"/>
        </w:rPr>
        <w:t>Q1321</w:t>
      </w:r>
      <w:r>
        <w:rPr>
          <w:rFonts w:ascii="Times New Roman" w:hAnsi="Times New Roman" w:cs="Times New Roman"/>
          <w:iCs/>
          <w:sz w:val="21"/>
          <w:szCs w:val="21"/>
          <w:vertAlign w:val="superscript"/>
        </w:rPr>
        <w:t>T</w:t>
      </w:r>
      <w:r>
        <w:rPr>
          <w:rFonts w:ascii="Times New Roman" w:hAnsi="Times New Roman" w:cs="Times New Roman"/>
          <w:iCs/>
          <w:sz w:val="21"/>
          <w:szCs w:val="21"/>
        </w:rPr>
        <w:t xml:space="preserve"> and </w:t>
      </w:r>
      <w:r>
        <w:rPr>
          <w:rFonts w:hint="eastAsia" w:ascii="Times New Roman" w:hAnsi="Times New Roman" w:eastAsia="宋体" w:cs="Times New Roman"/>
          <w:iCs/>
          <w:sz w:val="21"/>
          <w:szCs w:val="21"/>
          <w:lang w:val="en-US" w:eastAsia="zh-CN"/>
        </w:rPr>
        <w:t xml:space="preserve">reference strains </w:t>
      </w:r>
      <w:r>
        <w:rPr>
          <w:rFonts w:hint="eastAsia" w:ascii="Times New Roman" w:hAnsi="Times New Roman" w:eastAsia="宋体" w:cs="Times New Roman"/>
          <w:i/>
          <w:iCs w:val="0"/>
          <w:sz w:val="21"/>
          <w:szCs w:val="21"/>
          <w:lang w:val="en-US" w:eastAsia="zh-CN"/>
        </w:rPr>
        <w:t>B. samyangense</w:t>
      </w:r>
      <w:r>
        <w:rPr>
          <w:rFonts w:hint="eastAsia" w:ascii="Times New Roman" w:hAnsi="Times New Roman" w:eastAsia="宋体" w:cs="Times New Roman"/>
          <w:iCs/>
          <w:sz w:val="21"/>
          <w:szCs w:val="21"/>
          <w:lang w:val="en-US" w:eastAsia="zh-CN"/>
        </w:rPr>
        <w:t xml:space="preserve"> SST-8</w:t>
      </w:r>
      <w:r>
        <w:rPr>
          <w:rFonts w:hint="eastAsia" w:ascii="Times New Roman" w:hAnsi="Times New Roman" w:eastAsia="宋体" w:cs="Times New Roman"/>
          <w:iCs/>
          <w:sz w:val="21"/>
          <w:szCs w:val="21"/>
          <w:vertAlign w:val="superscript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iCs/>
          <w:sz w:val="21"/>
          <w:szCs w:val="21"/>
          <w:lang w:val="en-US" w:eastAsia="zh-CN"/>
        </w:rPr>
        <w:t xml:space="preserve"> and </w:t>
      </w:r>
      <w:r>
        <w:rPr>
          <w:rFonts w:hint="eastAsia" w:ascii="Times New Roman" w:hAnsi="Times New Roman" w:eastAsia="宋体" w:cs="Times New Roman"/>
          <w:i/>
          <w:iCs w:val="0"/>
          <w:sz w:val="21"/>
          <w:szCs w:val="21"/>
          <w:lang w:val="en-US" w:eastAsia="zh-CN"/>
        </w:rPr>
        <w:t>B. rongguiense</w:t>
      </w:r>
      <w:r>
        <w:rPr>
          <w:rFonts w:hint="eastAsia" w:ascii="Times New Roman" w:hAnsi="Times New Roman" w:eastAsia="宋体" w:cs="Times New Roman"/>
          <w:iCs/>
          <w:sz w:val="21"/>
          <w:szCs w:val="21"/>
          <w:lang w:val="en-US" w:eastAsia="zh-CN"/>
        </w:rPr>
        <w:t xml:space="preserve"> 5221</w:t>
      </w:r>
      <w:r>
        <w:rPr>
          <w:rFonts w:hint="eastAsia" w:ascii="Times New Roman" w:hAnsi="Times New Roman" w:eastAsia="宋体" w:cs="Times New Roman"/>
          <w:iCs/>
          <w:sz w:val="21"/>
          <w:szCs w:val="21"/>
          <w:vertAlign w:val="superscript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iCs/>
          <w:sz w:val="21"/>
          <w:szCs w:val="21"/>
          <w:vertAlign w:val="baseline"/>
          <w:lang w:val="en-US" w:eastAsia="zh-CN"/>
        </w:rPr>
        <w:t>.</w:t>
      </w: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ascii="Times New Roman" w:hAnsi="Times New Roman" w:eastAsia="Calibri" w:cs="Times New Roman"/>
          <w:b/>
          <w:bCs/>
          <w:kern w:val="0"/>
          <w:sz w:val="22"/>
          <w:szCs w:val="21"/>
          <w:highlight w:val="none"/>
          <w:lang w:eastAsia="en-US"/>
        </w:rPr>
        <w:t>Table S</w:t>
      </w:r>
      <w:r>
        <w:rPr>
          <w:rFonts w:hint="eastAsia" w:ascii="Times New Roman" w:hAnsi="Times New Roman" w:eastAsia="宋体" w:cs="Times New Roman"/>
          <w:b/>
          <w:bCs/>
          <w:kern w:val="0"/>
          <w:sz w:val="22"/>
          <w:szCs w:val="21"/>
          <w:highlight w:val="none"/>
          <w:lang w:val="en-US" w:eastAsia="zh-CN"/>
        </w:rPr>
        <w:t xml:space="preserve">4 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Genes related to phosphorus metabolism of strain GXQ1321</w:t>
      </w:r>
      <w:r>
        <w:rPr>
          <w:rFonts w:hint="default" w:ascii="Times New Roman" w:hAnsi="Times New Roman" w:cs="Times New Roman"/>
          <w:highlight w:val="none"/>
          <w:vertAlign w:val="superscript"/>
          <w:lang w:val="en-US" w:eastAsia="zh-CN"/>
        </w:rPr>
        <w:t>T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 xml:space="preserve"> and its closely related species. S=subsystem; a=Thioredoxin-disulfide reductase; b=Utilization of glutathione as a sulphur source; c=Ammonia assimilation; d=Cyanate hydrolysis; e=Nitrate and nitrite ammonification .</w:t>
      </w:r>
    </w:p>
    <w:tbl>
      <w:tblPr>
        <w:tblStyle w:val="3"/>
        <w:tblW w:w="86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3383"/>
        <w:gridCol w:w="1334"/>
        <w:gridCol w:w="1720"/>
        <w:gridCol w:w="1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33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Role</w:t>
            </w:r>
          </w:p>
        </w:tc>
        <w:tc>
          <w:tcPr>
            <w:tcW w:w="13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GXQ1321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vertAlign w:val="super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B. samyangense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SST-8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T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B. rongguiense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5221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Thioredoxin reductase (EC 1.8.1.9)</w:t>
            </w:r>
          </w:p>
        </w:tc>
        <w:tc>
          <w:tcPr>
            <w:tcW w:w="1334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720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630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Alkyl hydroperoxide reductase protein F (EC 1.6.4.-)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Alkylhydroperoxidase protein D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Hydrogen peroxide-inducible genes activator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Thiol peroxidase, Tpx-type (EC 1.11.1.15)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Alkyl hydroperoxide reductase subunit C-like protein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b</w:t>
            </w: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Gamma-glutamyltranspeptidase (EC 2.3.2.2)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Putative gluthatione transporter, solute-binding component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Putative glutathione transporter, permease component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Putative glutathione transporter, ATP-binding component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Putative glutathione transporter,solute-binding component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Glutamine synthetase type I (EC 6.3.1.2)</w:t>
            </w:r>
          </w:p>
        </w:tc>
        <w:tc>
          <w:tcPr>
            <w:tcW w:w="1334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720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30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Glutamate-ammonia-ligase adenylyltransferase (EC 2.7.7.42)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Glutamate synthase [NADPH] large chain (EC 1.4.1.13)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Glutamate synthase, alpha subunit domain protein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Ammonium transporter family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Global nitrogen regulatory protein, CRP family of transcriptional regulators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Glutamine synthetase inactivating factor IF17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83" w:type="dxa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Nitrogen regulation protein NR(II) (EC 2.7.3.-)</w:t>
            </w:r>
          </w:p>
        </w:tc>
        <w:tc>
          <w:tcPr>
            <w:tcW w:w="133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  <w:tc>
          <w:tcPr>
            <w:tcW w:w="17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3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</w:tbl>
    <w:p/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  <w:bookmarkStart w:id="10" w:name="_GoBack"/>
      <w: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  <w:drawing>
          <wp:inline distT="0" distB="0" distL="114300" distR="114300">
            <wp:extent cx="5266690" cy="4094480"/>
            <wp:effectExtent l="0" t="0" r="3810" b="7620"/>
            <wp:docPr id="5" name="图片 5" descr="D:/YQ/GXQ1321文章投稿/图/Fig. S8.tifFig.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/YQ/GXQ1321文章投稿/图/Fig. S8.tifFig. S8"/>
                    <pic:cNvPicPr>
                      <a:picLocks noChangeAspect="1"/>
                    </pic:cNvPicPr>
                  </pic:nvPicPr>
                  <pic:blipFill>
                    <a:blip r:embed="rId8"/>
                    <a:srcRect t="12" b="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09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0"/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b/>
          <w:sz w:val="21"/>
          <w:szCs w:val="21"/>
          <w:lang w:eastAsia="zh-CN"/>
        </w:rPr>
      </w:pPr>
      <w:r>
        <w:rPr>
          <w:rFonts w:hint="eastAsia" w:ascii="Times New Roman" w:hAnsi="Times New Roman" w:cs="Times New Roman"/>
          <w:b/>
          <w:sz w:val="21"/>
          <w:szCs w:val="21"/>
          <w:lang w:eastAsia="zh-CN"/>
        </w:rPr>
        <w:t>Fig. S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>5</w:t>
      </w:r>
      <w:r>
        <w:rPr>
          <w:rFonts w:hint="eastAsia" w:ascii="Times New Roman" w:hAnsi="Times New Roman" w:cs="Times New Roman"/>
          <w:b/>
          <w:sz w:val="21"/>
          <w:szCs w:val="21"/>
          <w:lang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eastAsia="zh-CN"/>
        </w:rPr>
        <w:t>Transmission electron micrographs of the cells of strain GXQ1321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vertAlign w:val="superscript"/>
          <w:lang w:eastAsia="zh-CN"/>
        </w:rPr>
        <w:t>T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eastAsia="zh-CN"/>
        </w:rPr>
        <w:t xml:space="preserve"> Cells are cultured on 2216E medium at 30 °C for 24-36 h. Bar, 1μm</w:t>
      </w:r>
      <w:r>
        <w:rPr>
          <w:rFonts w:hint="eastAsia" w:ascii="Times New Roman" w:hAnsi="Times New Roman" w:cs="Times New Roman"/>
          <w:b/>
          <w:sz w:val="21"/>
          <w:szCs w:val="21"/>
          <w:lang w:eastAsia="zh-CN"/>
        </w:rPr>
        <w:t>.</w:t>
      </w: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jc w:val="center"/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  <w:r>
        <w:drawing>
          <wp:inline distT="0" distB="0" distL="114300" distR="114300">
            <wp:extent cx="1901825" cy="6196330"/>
            <wp:effectExtent l="0" t="0" r="3175" b="127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l="4466" t="1732"/>
                    <a:stretch>
                      <a:fillRect/>
                    </a:stretch>
                  </pic:blipFill>
                  <pic:spPr>
                    <a:xfrm>
                      <a:off x="0" y="0"/>
                      <a:ext cx="1901825" cy="619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snapToGrid w:val="0"/>
        <w:spacing w:line="480" w:lineRule="auto"/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sz w:val="21"/>
          <w:szCs w:val="21"/>
          <w:lang w:eastAsia="zh-CN"/>
        </w:rPr>
        <w:t>Fig. S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>6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eastAsia="zh-CN"/>
        </w:rPr>
        <w:t xml:space="preserve"> TLC</w:t>
      </w:r>
      <w:r>
        <w:rPr>
          <w:rFonts w:hint="eastAsia" w:ascii="Times New Roman" w:hAnsi="Times New Roman" w:cs="Times New Roman"/>
          <w:b/>
          <w:sz w:val="21"/>
          <w:szCs w:val="21"/>
          <w:lang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eastAsia="zh-CN"/>
        </w:rPr>
        <w:t>chromatogram of GXQ1321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vertAlign w:val="superscript"/>
          <w:lang w:eastAsia="zh-CN"/>
        </w:rPr>
        <w:t>T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eastAsia="zh-CN"/>
        </w:rPr>
        <w:t xml:space="preserve"> peptidoglycan structure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.</w:t>
      </w: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-472440</wp:posOffset>
            </wp:positionH>
            <wp:positionV relativeFrom="paragraph">
              <wp:posOffset>91440</wp:posOffset>
            </wp:positionV>
            <wp:extent cx="6365875" cy="2172335"/>
            <wp:effectExtent l="0" t="0" r="0" b="0"/>
            <wp:wrapTopAndBottom/>
            <wp:docPr id="7" name="图片 7" descr="磷酸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磷酸壁"/>
                    <pic:cNvPicPr>
                      <a:picLocks noChangeAspect="1"/>
                    </pic:cNvPicPr>
                  </pic:nvPicPr>
                  <pic:blipFill>
                    <a:blip r:embed="rId10"/>
                    <a:srcRect l="2480" t="23058" r="2585" b="22958"/>
                    <a:stretch>
                      <a:fillRect/>
                    </a:stretch>
                  </pic:blipFill>
                  <pic:spPr>
                    <a:xfrm>
                      <a:off x="0" y="0"/>
                      <a:ext cx="6365875" cy="2172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480" w:lineRule="auto"/>
        <w:rPr>
          <w:rFonts w:hint="default"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val="en-US" w:eastAsia="zh-CN"/>
        </w:rPr>
      </w:pPr>
      <w:r>
        <w:rPr>
          <w:rFonts w:ascii="Times New Roman" w:hAnsi="Times New Roman" w:cs="Times New Roman"/>
          <w:b/>
          <w:szCs w:val="21"/>
        </w:rPr>
        <w:t xml:space="preserve">Fig. </w:t>
      </w:r>
      <w:r>
        <w:rPr>
          <w:rFonts w:hint="eastAsia" w:ascii="Times New Roman" w:hAnsi="Times New Roman" w:eastAsia="宋体" w:cs="Times New Roman"/>
          <w:b/>
          <w:szCs w:val="21"/>
          <w:lang w:eastAsia="zh-CN"/>
        </w:rPr>
        <w:t>S</w:t>
      </w:r>
      <w:r>
        <w:rPr>
          <w:rFonts w:hint="eastAsia" w:ascii="Times New Roman" w:hAnsi="Times New Roman" w:eastAsia="宋体" w:cs="Times New Roman"/>
          <w:b/>
          <w:szCs w:val="21"/>
          <w:lang w:val="en-US" w:eastAsia="zh-CN"/>
        </w:rPr>
        <w:t>7</w:t>
      </w:r>
      <w:r>
        <w:rPr>
          <w:rFonts w:hint="eastAsia" w:ascii="Times New Roman" w:hAnsi="Times New Roman" w:eastAsia="宋体" w:cs="Times New Roman"/>
          <w:b/>
          <w:szCs w:val="21"/>
          <w:lang w:eastAsia="zh-CN"/>
        </w:rPr>
        <w:t xml:space="preserve"> 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eastAsia="zh-CN"/>
        </w:rPr>
        <w:t>Polar lipids of GX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val="en-US" w:eastAsia="zh-CN"/>
        </w:rPr>
        <w:t>Q1321</w:t>
      </w:r>
      <w:r>
        <w:rPr>
          <w:rFonts w:hint="eastAsia" w:ascii="Times New Roman" w:hAnsi="Times New Roman" w:eastAsia="宋体" w:cs="Times New Roman"/>
          <w:bCs/>
          <w:sz w:val="21"/>
          <w:szCs w:val="21"/>
          <w:vertAlign w:val="superscript"/>
          <w:lang w:eastAsia="zh-CN"/>
        </w:rPr>
        <w:t>T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eastAsia="zh-CN"/>
        </w:rPr>
        <w:t>. Polar lipids of strain separated by two-dimensional TLC and detected with molybdophosphoric acid reagent; (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eastAsia="zh-CN"/>
        </w:rPr>
        <w:t>),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eastAsia="宋体" w:cs="Arial"/>
          <w:bCs/>
          <w:sz w:val="21"/>
          <w:szCs w:val="21"/>
          <w:lang w:eastAsia="zh-CN"/>
        </w:rPr>
        <w:t>α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eastAsia="zh-CN"/>
        </w:rPr>
        <w:t>-naphthol reagent; (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eastAsia="zh-CN"/>
        </w:rPr>
        <w:t>), anisaldehyde reagents; (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val="en-US" w:eastAsia="zh-CN"/>
        </w:rPr>
        <w:t>C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eastAsia="zh-CN"/>
        </w:rPr>
        <w:t>). All data presented are from this study. DPG, diphosphatidylglycerol; PG,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eastAsia="zh-CN"/>
        </w:rPr>
        <w:t>phosphatidylglycerol; PGL1-PGL3, phosphoglycolipid</w:t>
      </w:r>
      <w:r>
        <w:rPr>
          <w:rFonts w:hint="eastAsia" w:ascii="Times New Roman" w:hAnsi="Times New Roman" w:eastAsia="宋体" w:cs="Times New Roman"/>
          <w:bCs/>
          <w:sz w:val="21"/>
          <w:szCs w:val="21"/>
          <w:lang w:val="en-US" w:eastAsia="zh-CN"/>
        </w:rPr>
        <w:t>; UG, unknown glycolipids.</w:t>
      </w: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rPr>
          <w:rFonts w:ascii="Times New Roman" w:hAnsi="Times New Roman" w:cs="Times New Roman" w:eastAsiaTheme="minorEastAsia"/>
          <w:color w:val="333333"/>
          <w:sz w:val="24"/>
          <w:szCs w:val="24"/>
          <w:shd w:val="clear" w:color="auto" w:fill="FCFCFC"/>
          <w:lang w:eastAsia="zh-CN"/>
        </w:rPr>
      </w:pPr>
    </w:p>
    <w:p>
      <w:pPr>
        <w:autoSpaceDE/>
        <w:autoSpaceDN/>
        <w:spacing w:line="480" w:lineRule="auto"/>
        <w:jc w:val="both"/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</w:pPr>
      <w:r>
        <w:rPr>
          <w:rFonts w:ascii="Times New Roman" w:hAnsi="Times New Roman" w:eastAsia="Calibri" w:cs="Times New Roman"/>
          <w:b/>
          <w:bCs/>
          <w:iCs w:val="0"/>
          <w:kern w:val="0"/>
          <w:sz w:val="22"/>
          <w:szCs w:val="21"/>
          <w:lang w:eastAsia="en-US"/>
        </w:rPr>
        <w:t xml:space="preserve">Table </w:t>
      </w:r>
      <w:r>
        <w:rPr>
          <w:rFonts w:ascii="Times New Roman" w:hAnsi="Times New Roman" w:cs="Times New Roman"/>
          <w:b/>
          <w:bCs/>
          <w:szCs w:val="21"/>
        </w:rPr>
        <w:t>S</w:t>
      </w:r>
      <w:r>
        <w:rPr>
          <w:rFonts w:ascii="Times New Roman" w:hAnsi="Times New Roman" w:eastAsia="Calibri" w:cs="Times New Roman"/>
          <w:b/>
          <w:bCs/>
          <w:iCs w:val="0"/>
          <w:kern w:val="0"/>
          <w:sz w:val="22"/>
          <w:szCs w:val="21"/>
          <w:lang w:eastAsia="en-US"/>
        </w:rPr>
        <w:t xml:space="preserve">4 </w:t>
      </w:r>
      <w:r>
        <w:rPr>
          <w:rFonts w:ascii="Times New Roman" w:hAnsi="Times New Roman" w:eastAsia="Calibri" w:cs="Times New Roman"/>
          <w:iCs w:val="0"/>
          <w:kern w:val="0"/>
          <w:sz w:val="21"/>
          <w:szCs w:val="21"/>
          <w:lang w:eastAsia="en-US"/>
        </w:rPr>
        <w:t>Cellular fatty acid composition of GX</w:t>
      </w:r>
      <w:r>
        <w:rPr>
          <w:rFonts w:hint="eastAsia" w:ascii="Times New Roman" w:hAnsi="Times New Roman" w:eastAsia="宋体" w:cs="Times New Roman"/>
          <w:iCs w:val="0"/>
          <w:kern w:val="0"/>
          <w:sz w:val="21"/>
          <w:szCs w:val="21"/>
          <w:lang w:val="en-US" w:eastAsia="zh-CN"/>
        </w:rPr>
        <w:t>Q1321</w:t>
      </w:r>
      <w:r>
        <w:rPr>
          <w:rFonts w:ascii="Times New Roman" w:hAnsi="Times New Roman" w:eastAsia="Calibri" w:cs="Times New Roman"/>
          <w:iCs w:val="0"/>
          <w:kern w:val="0"/>
          <w:sz w:val="21"/>
          <w:szCs w:val="21"/>
          <w:vertAlign w:val="superscript"/>
          <w:lang w:eastAsia="en-US"/>
        </w:rPr>
        <w:t>T</w:t>
      </w:r>
      <w:r>
        <w:rPr>
          <w:rFonts w:ascii="Times New Roman" w:hAnsi="Times New Roman" w:eastAsia="Calibri" w:cs="Times New Roman"/>
          <w:iCs w:val="0"/>
          <w:kern w:val="0"/>
          <w:sz w:val="21"/>
          <w:szCs w:val="21"/>
          <w:lang w:eastAsia="en-US"/>
        </w:rPr>
        <w:t xml:space="preserve"> and related strains. Compounds occurring at percentages of 1 or higher are given. All presented data were obtained in the same laboratory under standardized conditions</w:t>
      </w:r>
      <w:r>
        <w:rPr>
          <w:rFonts w:ascii="Times New Roman" w:hAnsi="Times New Roman" w:eastAsia="Calibri" w:cs="Times New Roman"/>
          <w:kern w:val="0"/>
          <w:sz w:val="21"/>
          <w:szCs w:val="21"/>
          <w:lang w:eastAsia="en-US"/>
        </w:rPr>
        <w:t>.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2126"/>
        <w:gridCol w:w="2124"/>
        <w:gridCol w:w="2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top w:val="single" w:color="auto" w:sz="12" w:space="0"/>
              <w:left w:val="nil"/>
              <w:bottom w:val="single" w:color="auto" w:sz="12" w:space="0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  <w:t>Fatty acids (%)</w:t>
            </w:r>
          </w:p>
        </w:tc>
        <w:tc>
          <w:tcPr>
            <w:tcW w:w="1247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  <w:t>GX</w:t>
            </w:r>
            <w:r>
              <w:rPr>
                <w:rFonts w:hint="eastAsia"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val="en-US" w:eastAsia="zh-CN"/>
              </w:rPr>
              <w:t>Q1321</w:t>
            </w:r>
            <w:r>
              <w:rPr>
                <w:rFonts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vertAlign w:val="superscript"/>
                <w:lang w:eastAsia="zh-CN"/>
              </w:rPr>
              <w:t>T</w:t>
            </w:r>
          </w:p>
        </w:tc>
        <w:tc>
          <w:tcPr>
            <w:tcW w:w="1246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E/>
              <w:autoSpaceDN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kern w:val="2"/>
                <w:sz w:val="21"/>
                <w:szCs w:val="21"/>
                <w:lang w:eastAsia="zh-CN"/>
              </w:rPr>
              <w:t>B</w:t>
            </w:r>
            <w:r>
              <w:rPr>
                <w:rFonts w:hint="eastAsia" w:ascii="Times New Roman" w:hAnsi="Times New Roman" w:eastAsia="宋体" w:cs="Times New Roman"/>
                <w:b/>
                <w:bCs/>
                <w:i/>
                <w:kern w:val="2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b/>
                <w:bCs/>
                <w:i/>
                <w:kern w:val="2"/>
                <w:sz w:val="21"/>
                <w:szCs w:val="21"/>
                <w:lang w:eastAsia="zh-CN"/>
              </w:rPr>
              <w:t xml:space="preserve"> samyangense</w:t>
            </w:r>
            <w:r>
              <w:rPr>
                <w:rFonts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val="en-US" w:eastAsia="zh-CN"/>
              </w:rPr>
              <w:t>SST-8</w:t>
            </w:r>
            <w:r>
              <w:rPr>
                <w:rFonts w:hint="eastAsia"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vertAlign w:val="superscript"/>
                <w:lang w:val="en-US" w:eastAsia="zh-CN"/>
              </w:rPr>
              <w:t>T</w:t>
            </w:r>
          </w:p>
        </w:tc>
        <w:tc>
          <w:tcPr>
            <w:tcW w:w="1199" w:type="pct"/>
            <w:tcBorders>
              <w:top w:val="single" w:color="auto" w:sz="12" w:space="0"/>
              <w:bottom w:val="single" w:color="auto" w:sz="12" w:space="0"/>
              <w:right w:val="nil"/>
            </w:tcBorders>
          </w:tcPr>
          <w:p>
            <w:pPr>
              <w:autoSpaceDE/>
              <w:autoSpaceDN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kern w:val="2"/>
                <w:sz w:val="21"/>
                <w:szCs w:val="21"/>
                <w:lang w:eastAsia="zh-CN"/>
              </w:rPr>
              <w:t>B</w:t>
            </w:r>
            <w:r>
              <w:rPr>
                <w:rFonts w:hint="eastAsia" w:ascii="Times New Roman" w:hAnsi="Times New Roman" w:eastAsia="宋体" w:cs="Times New Roman"/>
                <w:b/>
                <w:bCs/>
                <w:i/>
                <w:kern w:val="2"/>
                <w:sz w:val="21"/>
                <w:szCs w:val="21"/>
                <w:lang w:val="en-US" w:eastAsia="zh-CN"/>
              </w:rPr>
              <w:t xml:space="preserve">. </w:t>
            </w:r>
            <w:r>
              <w:rPr>
                <w:rFonts w:hint="eastAsia" w:ascii="Times New Roman" w:hAnsi="Times New Roman" w:eastAsia="宋体" w:cs="Times New Roman"/>
                <w:b/>
                <w:bCs/>
                <w:i/>
                <w:kern w:val="2"/>
                <w:sz w:val="21"/>
                <w:szCs w:val="21"/>
                <w:lang w:eastAsia="zh-CN"/>
              </w:rPr>
              <w:t xml:space="preserve">rongguiense 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/>
                <w:kern w:val="2"/>
                <w:sz w:val="21"/>
                <w:szCs w:val="21"/>
                <w:lang w:eastAsia="zh-CN"/>
              </w:rPr>
              <w:t>5221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/>
                <w:kern w:val="2"/>
                <w:sz w:val="21"/>
                <w:szCs w:val="21"/>
                <w:vertAlign w:val="superscript"/>
                <w:lang w:eastAsia="zh-CN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top w:val="single" w:color="auto" w:sz="12" w:space="0"/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anteiso-C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19:0</w:t>
            </w:r>
          </w:p>
        </w:tc>
        <w:tc>
          <w:tcPr>
            <w:tcW w:w="1247" w:type="pct"/>
            <w:tcBorders>
              <w:top w:val="single" w:color="auto" w:sz="12" w:space="0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27.28</w:t>
            </w:r>
          </w:p>
        </w:tc>
        <w:tc>
          <w:tcPr>
            <w:tcW w:w="1246" w:type="pct"/>
            <w:tcBorders>
              <w:top w:val="single" w:color="auto" w:sz="12" w:space="0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–</w:t>
            </w:r>
          </w:p>
        </w:tc>
        <w:tc>
          <w:tcPr>
            <w:tcW w:w="1199" w:type="pct"/>
            <w:tcBorders>
              <w:top w:val="single" w:color="auto" w:sz="12" w:space="0"/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anteiso-C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17:0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15.95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35.3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39.3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anteiso-C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 xml:space="preserve">15:0 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8.97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29.9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46.2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16:0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12.21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2.5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12:0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2.08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14:0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1.75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15:0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1.56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15.5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iso-C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17:0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4.2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18:1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1.9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16:0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13.8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4.2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C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vertAlign w:val="subscript"/>
                <w:lang w:eastAsia="zh-CN"/>
              </w:rPr>
              <w:t>18:0</w:t>
            </w:r>
          </w:p>
        </w:tc>
        <w:tc>
          <w:tcPr>
            <w:tcW w:w="1247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246" w:type="pct"/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4.0</w:t>
            </w:r>
          </w:p>
        </w:tc>
        <w:tc>
          <w:tcPr>
            <w:tcW w:w="1199" w:type="pct"/>
            <w:tcBorders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7" w:type="pct"/>
            <w:tcBorders>
              <w:left w:val="nil"/>
              <w:bottom w:val="single" w:color="auto" w:sz="12" w:space="0"/>
            </w:tcBorders>
          </w:tcPr>
          <w:p>
            <w:pPr>
              <w:autoSpaceDE/>
              <w:autoSpaceDN/>
              <w:spacing w:line="360" w:lineRule="auto"/>
              <w:rPr>
                <w:rFonts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 xml:space="preserve">anteiso-C17:1 </w:t>
            </w:r>
            <w:r>
              <w:rPr>
                <w:rFonts w:hint="eastAsia" w:ascii="Times New Roman" w:hAnsi="Times New Roman" w:eastAsia="宋体" w:cs="Times New Roman"/>
                <w:i/>
                <w:iCs w:val="0"/>
                <w:kern w:val="2"/>
                <w:sz w:val="21"/>
                <w:szCs w:val="21"/>
                <w:lang w:eastAsia="zh-CN"/>
              </w:rPr>
              <w:t>ω</w:t>
            </w: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eastAsia="zh-CN"/>
              </w:rPr>
              <w:t>9c</w:t>
            </w:r>
          </w:p>
        </w:tc>
        <w:tc>
          <w:tcPr>
            <w:tcW w:w="1247" w:type="pct"/>
            <w:tcBorders>
              <w:bottom w:val="single" w:color="auto" w:sz="12" w:space="0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5.35</w:t>
            </w:r>
          </w:p>
        </w:tc>
        <w:tc>
          <w:tcPr>
            <w:tcW w:w="1246" w:type="pct"/>
            <w:tcBorders>
              <w:bottom w:val="single" w:color="auto" w:sz="12" w:space="0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199" w:type="pct"/>
            <w:tcBorders>
              <w:bottom w:val="single" w:color="auto" w:sz="12" w:space="0"/>
              <w:right w:val="nil"/>
            </w:tcBorders>
          </w:tcPr>
          <w:p>
            <w:pPr>
              <w:autoSpaceDE/>
              <w:autoSpaceDN/>
              <w:spacing w:line="360" w:lineRule="auto"/>
              <w:rPr>
                <w:rFonts w:hint="default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2"/>
                <w:sz w:val="21"/>
                <w:szCs w:val="21"/>
                <w:lang w:val="en-US" w:eastAsia="zh-CN"/>
              </w:rPr>
              <w:t>-</w:t>
            </w:r>
          </w:p>
        </w:tc>
      </w:tr>
    </w:tbl>
    <w:p>
      <w:pPr>
        <w:autoSpaceDE/>
        <w:autoSpaceDN/>
        <w:jc w:val="both"/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</w:pPr>
    </w:p>
    <w:p>
      <w:pPr>
        <w:rPr>
          <w:rFonts w:ascii="Times New Roman" w:hAnsi="Times New Roman" w:eastAsia="Georgia" w:cs="Times New Roman"/>
          <w:color w:val="333333"/>
          <w:sz w:val="24"/>
          <w:szCs w:val="24"/>
          <w:shd w:val="clear" w:color="auto" w:fill="FCFCFC"/>
          <w:lang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INNextLTPro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CNA L+ Univers">
    <w:altName w:val="微软雅黑"/>
    <w:panose1 w:val="00000000000000000000"/>
    <w:charset w:val="7A"/>
    <w:family w:val="swiss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CF8880"/>
    <w:multiLevelType w:val="singleLevel"/>
    <w:tmpl w:val="9ACF8880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2B560EBA"/>
    <w:rsid w:val="17187A11"/>
    <w:rsid w:val="2B560EBA"/>
    <w:rsid w:val="2D733402"/>
    <w:rsid w:val="2ED727E7"/>
    <w:rsid w:val="3B182328"/>
    <w:rsid w:val="3CCD1E7D"/>
    <w:rsid w:val="4CBA4C41"/>
    <w:rsid w:val="4D634817"/>
    <w:rsid w:val="51CC5C33"/>
    <w:rsid w:val="62461C1F"/>
    <w:rsid w:val="63974B7F"/>
    <w:rsid w:val="73C14EBD"/>
    <w:rsid w:val="771D4F43"/>
    <w:rsid w:val="788D35B0"/>
    <w:rsid w:val="7A8B4155"/>
    <w:rsid w:val="7AFC7093"/>
    <w:rsid w:val="7EDA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网格型1"/>
    <w:basedOn w:val="2"/>
    <w:autoRedefine/>
    <w:qFormat/>
    <w:uiPriority w:val="39"/>
    <w:rPr>
      <w:rFonts w:ascii="Calibri" w:hAnsi="Calibr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网格型2"/>
    <w:basedOn w:val="2"/>
    <w:autoRedefine/>
    <w:qFormat/>
    <w:uiPriority w:val="3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BACNA L+ Univers" w:hAnsi="Calibri" w:eastAsia="BACNA L+ Univers" w:cs="BACNA L+ Univers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922</Words>
  <Characters>5156</Characters>
  <Lines>0</Lines>
  <Paragraphs>0</Paragraphs>
  <TotalTime>0</TotalTime>
  <ScaleCrop>false</ScaleCrop>
  <LinksUpToDate>false</LinksUpToDate>
  <CharactersWithSpaces>5704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2024-05-10T01:44:00Z</dcterms:created>
  <dc:creator>杨泉</dc:creator>
  <cp:lastModifiedBy>杨泉</cp:lastModifiedBy>
  <dcterms:modified xsi:type="dcterms:W3CDTF">2024-07-11T12:38:01Z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37D3326DD2E14218BEA39A2BB4A198D7_11</vt:lpwstr>
  </property>
</Properties>
</file>