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766651" w14:textId="7F61FB78" w:rsidR="00085F64" w:rsidRDefault="00085F64">
      <w:pPr>
        <w:spacing w:before="240" w:after="240"/>
      </w:pPr>
    </w:p>
    <w:p w14:paraId="6CF91DAE" w14:textId="77777777" w:rsidR="00A746F5" w:rsidRDefault="00A746F5">
      <w:pPr>
        <w:spacing w:before="240" w:after="240"/>
      </w:pPr>
    </w:p>
    <w:p w14:paraId="6B400D49" w14:textId="77777777" w:rsidR="00085F64" w:rsidRDefault="00A746F5">
      <w:pPr>
        <w:pStyle w:val="Heading3"/>
        <w:rPr>
          <w:b/>
        </w:rPr>
      </w:pPr>
      <w:bookmarkStart w:id="0" w:name="_1660m7hv5va7" w:colFirst="0" w:colLast="0"/>
      <w:bookmarkEnd w:id="0"/>
      <w:r>
        <w:rPr>
          <w:b/>
        </w:rPr>
        <w:t>Supplementary Information</w:t>
      </w:r>
    </w:p>
    <w:p w14:paraId="134A9DE3" w14:textId="77777777" w:rsidR="00085F64" w:rsidRDefault="00085F64"/>
    <w:p w14:paraId="3097C463" w14:textId="77777777" w:rsidR="00085F64" w:rsidRDefault="00085F64">
      <w:pPr>
        <w:pStyle w:val="Title"/>
        <w:rPr>
          <w:b/>
          <w:sz w:val="28"/>
          <w:szCs w:val="28"/>
        </w:rPr>
      </w:pPr>
      <w:bookmarkStart w:id="1" w:name="_z6xpigjidyth" w:colFirst="0" w:colLast="0"/>
      <w:bookmarkEnd w:id="1"/>
    </w:p>
    <w:p w14:paraId="4955E946" w14:textId="77777777" w:rsidR="00085F64" w:rsidRDefault="00A746F5">
      <w:pPr>
        <w:pStyle w:val="Title"/>
        <w:rPr>
          <w:b/>
          <w:sz w:val="36"/>
          <w:szCs w:val="36"/>
        </w:rPr>
      </w:pPr>
      <w:bookmarkStart w:id="2" w:name="_m42ov1ijsuzs" w:colFirst="0" w:colLast="0"/>
      <w:bookmarkEnd w:id="2"/>
      <w:r>
        <w:rPr>
          <w:b/>
          <w:sz w:val="36"/>
          <w:szCs w:val="36"/>
        </w:rPr>
        <w:t>Tracking the global reduction of marine traffic during the COVID-19 pandemic</w:t>
      </w:r>
    </w:p>
    <w:p w14:paraId="7FE2FE10" w14:textId="77777777" w:rsidR="00085F64" w:rsidRDefault="00A746F5">
      <w:pPr>
        <w:rPr>
          <w:vertAlign w:val="superscript"/>
        </w:rPr>
      </w:pPr>
      <w:r>
        <w:t xml:space="preserve">David March*, Kristian Metcalfe, Joaquin </w:t>
      </w:r>
      <w:proofErr w:type="spellStart"/>
      <w:r>
        <w:t>Tintoré</w:t>
      </w:r>
      <w:proofErr w:type="spellEnd"/>
      <w:r>
        <w:t>, Brendan J Godley</w:t>
      </w:r>
    </w:p>
    <w:p w14:paraId="4239B1A2" w14:textId="77777777" w:rsidR="00085F64" w:rsidRDefault="00085F64"/>
    <w:p w14:paraId="3A607D93" w14:textId="77777777" w:rsidR="00085F64" w:rsidRDefault="00085F64"/>
    <w:p w14:paraId="22BE558F" w14:textId="77777777" w:rsidR="00085F64" w:rsidRDefault="00085F64"/>
    <w:p w14:paraId="7AE50AAA" w14:textId="77777777" w:rsidR="00085F64" w:rsidRDefault="00085F64"/>
    <w:p w14:paraId="3FD7130B" w14:textId="77777777" w:rsidR="00085F64" w:rsidRDefault="00A746F5">
      <w:r>
        <w:t>*Corresponding author: David March, email: D.March@exeter.ac.uk. Present address: Centre for Ecology and Con</w:t>
      </w:r>
      <w:r>
        <w:t>servation, University of Exeter, Cornwall Campus, Penryn TR10 9EZ, United Kingdom.</w:t>
      </w:r>
    </w:p>
    <w:p w14:paraId="39026D6E" w14:textId="77777777" w:rsidR="00085F64" w:rsidRDefault="00085F64"/>
    <w:p w14:paraId="2D2CE609" w14:textId="77777777" w:rsidR="00085F64" w:rsidRDefault="00085F64"/>
    <w:p w14:paraId="2E81AF47" w14:textId="77777777" w:rsidR="00085F64" w:rsidRDefault="00085F64"/>
    <w:p w14:paraId="402DFFA0" w14:textId="77777777" w:rsidR="00085F64" w:rsidRDefault="00085F64"/>
    <w:p w14:paraId="3FB465E1" w14:textId="77777777" w:rsidR="00085F64" w:rsidRDefault="00A746F5">
      <w:pPr>
        <w:rPr>
          <w:b/>
        </w:rPr>
      </w:pPr>
      <w:r>
        <w:rPr>
          <w:b/>
        </w:rPr>
        <w:t>Contents</w:t>
      </w:r>
    </w:p>
    <w:p w14:paraId="06B550E4" w14:textId="77777777" w:rsidR="00085F64" w:rsidRDefault="00085F64">
      <w:pPr>
        <w:widowControl w:val="0"/>
        <w:pBdr>
          <w:top w:val="nil"/>
          <w:left w:val="nil"/>
          <w:bottom w:val="nil"/>
          <w:right w:val="nil"/>
          <w:between w:val="nil"/>
        </w:pBdr>
        <w:rPr>
          <w:rFonts w:ascii="Calibri" w:eastAsia="Calibri" w:hAnsi="Calibri" w:cs="Calibri"/>
        </w:rPr>
      </w:pPr>
    </w:p>
    <w:p w14:paraId="74ED00BC" w14:textId="77777777" w:rsidR="00085F64" w:rsidRDefault="00A746F5">
      <w:r>
        <w:t>Supplementary Tables (Table S1-S2)</w:t>
      </w:r>
    </w:p>
    <w:p w14:paraId="43421832" w14:textId="77777777" w:rsidR="00085F64" w:rsidRDefault="00A746F5">
      <w:r>
        <w:t>Supplementary Figures (Figures S1-S11)</w:t>
      </w:r>
    </w:p>
    <w:p w14:paraId="59A6FF38" w14:textId="77777777" w:rsidR="00085F64" w:rsidRDefault="00A746F5">
      <w:r>
        <w:br w:type="page"/>
      </w:r>
    </w:p>
    <w:p w14:paraId="7699E500" w14:textId="77777777" w:rsidR="00085F64" w:rsidRDefault="00A746F5">
      <w:pPr>
        <w:pStyle w:val="Heading4"/>
        <w:rPr>
          <w:b/>
        </w:rPr>
      </w:pPr>
      <w:bookmarkStart w:id="3" w:name="_zeog1vk5niqj" w:colFirst="0" w:colLast="0"/>
      <w:bookmarkEnd w:id="3"/>
      <w:r>
        <w:rPr>
          <w:b/>
        </w:rPr>
        <w:lastRenderedPageBreak/>
        <w:t>Supplementary Tables</w:t>
      </w:r>
    </w:p>
    <w:p w14:paraId="08F33327" w14:textId="77777777" w:rsidR="00085F64" w:rsidRDefault="00085F64"/>
    <w:p w14:paraId="74FE2646" w14:textId="77777777" w:rsidR="00085F64" w:rsidRDefault="00A746F5">
      <w:pPr>
        <w:jc w:val="both"/>
      </w:pPr>
      <w:bookmarkStart w:id="4" w:name="gj9m8vaogdts" w:colFirst="0" w:colLast="0"/>
      <w:bookmarkEnd w:id="4"/>
      <w:r>
        <w:rPr>
          <w:b/>
        </w:rPr>
        <w:t xml:space="preserve">Table S1. Global changes in marine traffic density and occupancy in the oceans during COVID-19. </w:t>
      </w:r>
      <w:r>
        <w:t>Estimated changes correspond to the difference between April 2020, where more stringent lockdown measures took place globally, and April 2019, as a reference pe</w:t>
      </w:r>
      <w:r>
        <w:t>riod.</w:t>
      </w:r>
      <w:r>
        <w:rPr>
          <w:b/>
        </w:rPr>
        <w:t xml:space="preserve"> </w:t>
      </w:r>
      <w:r>
        <w:t>Percentage of the ocean with positive and negative changes in traffic density. Average change excluded grid cells without presence of marine traffic in any of the two reference periods. Occupancy estimates reflect gains and reduction of the extent us</w:t>
      </w:r>
      <w:r>
        <w:t>ed by marine traffic. All estimates are based on a global grid of 0.25 degrees resolution.</w:t>
      </w:r>
    </w:p>
    <w:p w14:paraId="550F33BB" w14:textId="77777777" w:rsidR="00085F64" w:rsidRDefault="00A746F5">
      <w:r>
        <w:t xml:space="preserve"> </w:t>
      </w:r>
    </w:p>
    <w:p w14:paraId="434060C7" w14:textId="77777777" w:rsidR="00085F64" w:rsidRDefault="00A746F5">
      <w:r>
        <w:rPr>
          <w:noProof/>
        </w:rPr>
        <w:drawing>
          <wp:inline distT="114300" distB="114300" distL="114300" distR="114300" wp14:anchorId="64443FCD" wp14:editId="2950796F">
            <wp:extent cx="6141720" cy="2214563"/>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6141720" cy="2214563"/>
                    </a:xfrm>
                    <a:prstGeom prst="rect">
                      <a:avLst/>
                    </a:prstGeom>
                    <a:ln/>
                  </pic:spPr>
                </pic:pic>
              </a:graphicData>
            </a:graphic>
          </wp:inline>
        </w:drawing>
      </w:r>
    </w:p>
    <w:p w14:paraId="17CD95F3" w14:textId="77777777" w:rsidR="00085F64" w:rsidRDefault="00A746F5">
      <w:pPr>
        <w:pStyle w:val="Heading4"/>
      </w:pPr>
      <w:bookmarkStart w:id="5" w:name="_3bp4dimf895h" w:colFirst="0" w:colLast="0"/>
      <w:bookmarkEnd w:id="5"/>
      <w:r>
        <w:br w:type="page"/>
      </w:r>
    </w:p>
    <w:p w14:paraId="44FE5515" w14:textId="77777777" w:rsidR="00085F64" w:rsidRDefault="00A746F5">
      <w:pPr>
        <w:jc w:val="both"/>
      </w:pPr>
      <w:r>
        <w:rPr>
          <w:b/>
        </w:rPr>
        <w:lastRenderedPageBreak/>
        <w:t xml:space="preserve">Table S2. Maximal and most recent daily change in active vessels per sector in the Western Mediterranean during COVID-19. </w:t>
      </w:r>
      <w:r>
        <w:t>Maximal and most recent change in num</w:t>
      </w:r>
      <w:r>
        <w:t>ber vessels underway in relation to 2019 since the WHO pandemic declaration on the 11</w:t>
      </w:r>
      <w:r>
        <w:rPr>
          <w:vertAlign w:val="superscript"/>
        </w:rPr>
        <w:t>th</w:t>
      </w:r>
      <w:r>
        <w:t xml:space="preserve"> March 2020. Data are daily numbers of vessels underway within the coastal zone (44.4 km) of EU countries present in the study area (i.e., Spain, France, Italy). Relativ</w:t>
      </w:r>
      <w:r>
        <w:t>e change estimated using the log percentage change (L%).</w:t>
      </w:r>
    </w:p>
    <w:p w14:paraId="6C12DD3E" w14:textId="77777777" w:rsidR="00085F64" w:rsidRDefault="00A746F5">
      <w:pPr>
        <w:pStyle w:val="Heading4"/>
      </w:pPr>
      <w:bookmarkStart w:id="6" w:name="_7t66dstob948" w:colFirst="0" w:colLast="0"/>
      <w:bookmarkEnd w:id="6"/>
      <w:r>
        <w:rPr>
          <w:noProof/>
        </w:rPr>
        <w:drawing>
          <wp:inline distT="114300" distB="114300" distL="114300" distR="114300" wp14:anchorId="0F4F68A0" wp14:editId="2155A7F7">
            <wp:extent cx="5212080" cy="2491740"/>
            <wp:effectExtent l="0" t="0" r="7620" b="381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5212841" cy="2492104"/>
                    </a:xfrm>
                    <a:prstGeom prst="rect">
                      <a:avLst/>
                    </a:prstGeom>
                    <a:ln/>
                  </pic:spPr>
                </pic:pic>
              </a:graphicData>
            </a:graphic>
          </wp:inline>
        </w:drawing>
      </w:r>
      <w:bookmarkStart w:id="7" w:name="_GoBack"/>
      <w:bookmarkEnd w:id="7"/>
      <w:r>
        <w:br w:type="page"/>
      </w:r>
    </w:p>
    <w:p w14:paraId="2ABE92D4" w14:textId="77777777" w:rsidR="00085F64" w:rsidRDefault="00A746F5">
      <w:pPr>
        <w:pStyle w:val="Heading4"/>
        <w:rPr>
          <w:b/>
        </w:rPr>
      </w:pPr>
      <w:bookmarkStart w:id="8" w:name="_ez66sn21fu7w" w:colFirst="0" w:colLast="0"/>
      <w:bookmarkEnd w:id="8"/>
      <w:r>
        <w:rPr>
          <w:b/>
        </w:rPr>
        <w:lastRenderedPageBreak/>
        <w:t>Supplementary Figures</w:t>
      </w:r>
    </w:p>
    <w:p w14:paraId="6C1399DE" w14:textId="77777777" w:rsidR="00085F64" w:rsidRDefault="00085F64"/>
    <w:p w14:paraId="4702C518" w14:textId="77777777" w:rsidR="00085F64" w:rsidRDefault="00A746F5">
      <w:r>
        <w:rPr>
          <w:noProof/>
        </w:rPr>
        <w:drawing>
          <wp:inline distT="114300" distB="114300" distL="114300" distR="114300" wp14:anchorId="26BB4151" wp14:editId="78C58A60">
            <wp:extent cx="5386388" cy="5869781"/>
            <wp:effectExtent l="0" t="0" r="0" b="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a:stretch>
                      <a:fillRect/>
                    </a:stretch>
                  </pic:blipFill>
                  <pic:spPr>
                    <a:xfrm>
                      <a:off x="0" y="0"/>
                      <a:ext cx="5386388" cy="5869781"/>
                    </a:xfrm>
                    <a:prstGeom prst="rect">
                      <a:avLst/>
                    </a:prstGeom>
                    <a:ln/>
                  </pic:spPr>
                </pic:pic>
              </a:graphicData>
            </a:graphic>
          </wp:inline>
        </w:drawing>
      </w:r>
    </w:p>
    <w:p w14:paraId="505015D7" w14:textId="77777777" w:rsidR="00085F64" w:rsidRDefault="00085F64"/>
    <w:p w14:paraId="2B62B711" w14:textId="77777777" w:rsidR="00085F64" w:rsidRDefault="00A746F5">
      <w:r>
        <w:rPr>
          <w:b/>
        </w:rPr>
        <w:t xml:space="preserve">Figure S1. Change in traffic density in relation to the distance to the coast (a-f) and the latitudinal gradient (g-l). </w:t>
      </w:r>
      <w:r>
        <w:t>Changes estimated by calculating the absolute diff</w:t>
      </w:r>
      <w:r>
        <w:t>erence in traffic density between April 2020 and April 2019. Vessel categories: all vessels (</w:t>
      </w:r>
      <w:r>
        <w:rPr>
          <w:b/>
        </w:rPr>
        <w:t>a, g</w:t>
      </w:r>
      <w:r>
        <w:t>), cargo (</w:t>
      </w:r>
      <w:r>
        <w:rPr>
          <w:b/>
        </w:rPr>
        <w:t>b, h</w:t>
      </w:r>
      <w:r>
        <w:t>), tanker (</w:t>
      </w:r>
      <w:r>
        <w:rPr>
          <w:b/>
        </w:rPr>
        <w:t xml:space="preserve">c, </w:t>
      </w:r>
      <w:proofErr w:type="spellStart"/>
      <w:r>
        <w:rPr>
          <w:b/>
        </w:rPr>
        <w:t>i</w:t>
      </w:r>
      <w:proofErr w:type="spellEnd"/>
      <w:r>
        <w:t>), passenger (</w:t>
      </w:r>
      <w:r>
        <w:rPr>
          <w:b/>
        </w:rPr>
        <w:t>d, j</w:t>
      </w:r>
      <w:r>
        <w:t>), fishing (</w:t>
      </w:r>
      <w:r>
        <w:rPr>
          <w:b/>
        </w:rPr>
        <w:t>e, k</w:t>
      </w:r>
      <w:r>
        <w:t>), and other vessels (</w:t>
      </w:r>
      <w:r>
        <w:rPr>
          <w:b/>
        </w:rPr>
        <w:t>f, l</w:t>
      </w:r>
      <w:r>
        <w:t>).</w:t>
      </w:r>
      <w:r>
        <w:br w:type="page"/>
      </w:r>
    </w:p>
    <w:p w14:paraId="0515D87A" w14:textId="77777777" w:rsidR="00085F64" w:rsidRDefault="00085F64">
      <w:pPr>
        <w:jc w:val="both"/>
      </w:pPr>
    </w:p>
    <w:p w14:paraId="321E76DF" w14:textId="77777777" w:rsidR="00085F64" w:rsidRDefault="00A746F5">
      <w:pPr>
        <w:jc w:val="both"/>
      </w:pPr>
      <w:r>
        <w:rPr>
          <w:noProof/>
        </w:rPr>
        <w:drawing>
          <wp:inline distT="114300" distB="114300" distL="114300" distR="114300" wp14:anchorId="4D5A8FCB" wp14:editId="264B2F98">
            <wp:extent cx="5943600" cy="5143500"/>
            <wp:effectExtent l="0" t="0" r="0" b="0"/>
            <wp:docPr id="1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2"/>
                    <a:srcRect/>
                    <a:stretch>
                      <a:fillRect/>
                    </a:stretch>
                  </pic:blipFill>
                  <pic:spPr>
                    <a:xfrm>
                      <a:off x="0" y="0"/>
                      <a:ext cx="5943600" cy="5143500"/>
                    </a:xfrm>
                    <a:prstGeom prst="rect">
                      <a:avLst/>
                    </a:prstGeom>
                    <a:ln/>
                  </pic:spPr>
                </pic:pic>
              </a:graphicData>
            </a:graphic>
          </wp:inline>
        </w:drawing>
      </w:r>
    </w:p>
    <w:p w14:paraId="55C3057A" w14:textId="77777777" w:rsidR="00085F64" w:rsidRDefault="00A746F5">
      <w:bookmarkStart w:id="9" w:name="owfgb013hiwg" w:colFirst="0" w:colLast="0"/>
      <w:bookmarkEnd w:id="9"/>
      <w:r>
        <w:rPr>
          <w:b/>
        </w:rPr>
        <w:t>Fig S2. Monthly vessel traffic density in April 2019.</w:t>
      </w:r>
      <w:r>
        <w:t xml:space="preserve"> Vessel categories: (</w:t>
      </w:r>
      <w:r>
        <w:rPr>
          <w:b/>
        </w:rPr>
        <w:t>a</w:t>
      </w:r>
      <w:r>
        <w:t>) all vessels, (</w:t>
      </w:r>
      <w:r>
        <w:rPr>
          <w:b/>
        </w:rPr>
        <w:t>b</w:t>
      </w:r>
      <w:r>
        <w:t>) cargo, (</w:t>
      </w:r>
      <w:r>
        <w:rPr>
          <w:b/>
        </w:rPr>
        <w:t>c</w:t>
      </w:r>
      <w:r>
        <w:t>) tanker, (</w:t>
      </w:r>
      <w:r>
        <w:rPr>
          <w:b/>
        </w:rPr>
        <w:t>d</w:t>
      </w:r>
      <w:r>
        <w:t>) passenger, (</w:t>
      </w:r>
      <w:r>
        <w:rPr>
          <w:b/>
        </w:rPr>
        <w:t>e</w:t>
      </w:r>
      <w:r>
        <w:t>) fishing, (</w:t>
      </w:r>
      <w:r>
        <w:rPr>
          <w:b/>
        </w:rPr>
        <w:t>f</w:t>
      </w:r>
      <w:r>
        <w:t>) other vessels.</w:t>
      </w:r>
    </w:p>
    <w:p w14:paraId="35B60990" w14:textId="77777777" w:rsidR="00085F64" w:rsidRDefault="00A746F5">
      <w:r>
        <w:br w:type="page"/>
      </w:r>
    </w:p>
    <w:p w14:paraId="2399B6E6" w14:textId="77777777" w:rsidR="00085F64" w:rsidRDefault="00A746F5">
      <w:r>
        <w:rPr>
          <w:noProof/>
        </w:rPr>
        <w:lastRenderedPageBreak/>
        <w:drawing>
          <wp:inline distT="114300" distB="114300" distL="114300" distR="114300" wp14:anchorId="2D6DB3AF" wp14:editId="649315C4">
            <wp:extent cx="5949073" cy="5176838"/>
            <wp:effectExtent l="0" t="0" r="0" b="0"/>
            <wp:docPr id="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5949073" cy="5176838"/>
                    </a:xfrm>
                    <a:prstGeom prst="rect">
                      <a:avLst/>
                    </a:prstGeom>
                    <a:ln/>
                  </pic:spPr>
                </pic:pic>
              </a:graphicData>
            </a:graphic>
          </wp:inline>
        </w:drawing>
      </w:r>
    </w:p>
    <w:p w14:paraId="5B0A6A5F" w14:textId="77777777" w:rsidR="00085F64" w:rsidRDefault="00A746F5">
      <w:bookmarkStart w:id="10" w:name="w6ot2i3ywp8e" w:colFirst="0" w:colLast="0"/>
      <w:bookmarkEnd w:id="10"/>
      <w:r>
        <w:rPr>
          <w:b/>
        </w:rPr>
        <w:t>Figure S3. Global maps of the percentage of contribution of each vessel category to the overall change in traffic density.</w:t>
      </w:r>
      <w:r>
        <w:t xml:space="preserve"> Changes estimated by calculating the absolute difference in traffic density between April 2020 and April 2019. Vessel categories: (</w:t>
      </w:r>
      <w:r>
        <w:rPr>
          <w:b/>
        </w:rPr>
        <w:t>a</w:t>
      </w:r>
      <w:r>
        <w:t>)</w:t>
      </w:r>
      <w:r>
        <w:t xml:space="preserve"> cargo, (</w:t>
      </w:r>
      <w:r>
        <w:rPr>
          <w:b/>
        </w:rPr>
        <w:t>b</w:t>
      </w:r>
      <w:r>
        <w:t>) tanker, (</w:t>
      </w:r>
      <w:r>
        <w:rPr>
          <w:b/>
        </w:rPr>
        <w:t>c</w:t>
      </w:r>
      <w:r>
        <w:t>) passenger, (</w:t>
      </w:r>
      <w:r>
        <w:rPr>
          <w:b/>
        </w:rPr>
        <w:t>d</w:t>
      </w:r>
      <w:r>
        <w:t>) fishing, (</w:t>
      </w:r>
      <w:r>
        <w:rPr>
          <w:b/>
        </w:rPr>
        <w:t>e</w:t>
      </w:r>
      <w:r>
        <w:t>) other vessels.</w:t>
      </w:r>
      <w:r>
        <w:br w:type="page"/>
      </w:r>
    </w:p>
    <w:p w14:paraId="399FB007" w14:textId="77777777" w:rsidR="00085F64" w:rsidRDefault="00A746F5">
      <w:pPr>
        <w:widowControl w:val="0"/>
      </w:pPr>
      <w:r>
        <w:rPr>
          <w:rFonts w:ascii="Calibri" w:eastAsia="Calibri" w:hAnsi="Calibri" w:cs="Calibri"/>
          <w:noProof/>
        </w:rPr>
        <w:lastRenderedPageBreak/>
        <w:drawing>
          <wp:inline distT="114300" distB="114300" distL="114300" distR="114300" wp14:anchorId="79B6EE32" wp14:editId="79DCE6E0">
            <wp:extent cx="5943600" cy="6464300"/>
            <wp:effectExtent l="0" t="0" r="0" b="0"/>
            <wp:docPr id="1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a:stretch>
                      <a:fillRect/>
                    </a:stretch>
                  </pic:blipFill>
                  <pic:spPr>
                    <a:xfrm>
                      <a:off x="0" y="0"/>
                      <a:ext cx="5943600" cy="6464300"/>
                    </a:xfrm>
                    <a:prstGeom prst="rect">
                      <a:avLst/>
                    </a:prstGeom>
                    <a:ln/>
                  </pic:spPr>
                </pic:pic>
              </a:graphicData>
            </a:graphic>
          </wp:inline>
        </w:drawing>
      </w:r>
    </w:p>
    <w:p w14:paraId="3E30DD80" w14:textId="77777777" w:rsidR="00085F64" w:rsidRDefault="00A746F5">
      <w:pPr>
        <w:widowControl w:val="0"/>
        <w:pBdr>
          <w:top w:val="nil"/>
          <w:left w:val="nil"/>
          <w:bottom w:val="nil"/>
          <w:right w:val="nil"/>
          <w:between w:val="nil"/>
        </w:pBdr>
        <w:jc w:val="both"/>
      </w:pPr>
      <w:bookmarkStart w:id="11" w:name="2co2qxr3l9da" w:colFirst="0" w:colLast="0"/>
      <w:bookmarkEnd w:id="11"/>
      <w:r>
        <w:rPr>
          <w:b/>
        </w:rPr>
        <w:t>Figure S4. Relative change within Exclusive Economic Zones</w:t>
      </w:r>
      <w:r>
        <w:t xml:space="preserve"> (</w:t>
      </w:r>
      <w:r>
        <w:rPr>
          <w:b/>
        </w:rPr>
        <w:t>EEZ) per ship category.</w:t>
      </w:r>
      <w:r>
        <w:t xml:space="preserve"> (</w:t>
      </w:r>
      <w:r>
        <w:rPr>
          <w:b/>
        </w:rPr>
        <w:t>a-e</w:t>
      </w:r>
      <w:r>
        <w:t>) EEZ grouped by income class from the World Bank, (</w:t>
      </w:r>
      <w:r>
        <w:rPr>
          <w:b/>
        </w:rPr>
        <w:t>f-j</w:t>
      </w:r>
      <w:r>
        <w:t>) EEZ grouped by region. Vessels classified</w:t>
      </w:r>
      <w:r>
        <w:t xml:space="preserve"> as follows: (</w:t>
      </w:r>
      <w:r>
        <w:rPr>
          <w:b/>
        </w:rPr>
        <w:t>a, f</w:t>
      </w:r>
      <w:r>
        <w:t>) cargo, (</w:t>
      </w:r>
      <w:r>
        <w:rPr>
          <w:b/>
        </w:rPr>
        <w:t>b, g</w:t>
      </w:r>
      <w:r>
        <w:t>) tanker, (</w:t>
      </w:r>
      <w:r>
        <w:rPr>
          <w:b/>
        </w:rPr>
        <w:t>c, h</w:t>
      </w:r>
      <w:r>
        <w:t>) passenger, (</w:t>
      </w:r>
      <w:r>
        <w:rPr>
          <w:b/>
        </w:rPr>
        <w:t xml:space="preserve">d, </w:t>
      </w:r>
      <w:proofErr w:type="spellStart"/>
      <w:r>
        <w:rPr>
          <w:b/>
        </w:rPr>
        <w:t>i</w:t>
      </w:r>
      <w:proofErr w:type="spellEnd"/>
      <w:r>
        <w:t>) fishing, and (</w:t>
      </w:r>
      <w:r>
        <w:rPr>
          <w:b/>
        </w:rPr>
        <w:t>e, j</w:t>
      </w:r>
      <w:r>
        <w:t>) other vessels. Relative change estimated using the log percentage change (L%). Box plot shows the median, the interquartile range (IQR), and Tukey whiskers (±1.5 times I</w:t>
      </w:r>
      <w:r>
        <w:t>QR).</w:t>
      </w:r>
    </w:p>
    <w:p w14:paraId="73AE52FC" w14:textId="77777777" w:rsidR="00085F64" w:rsidRDefault="00A746F5">
      <w:pPr>
        <w:widowControl w:val="0"/>
        <w:pBdr>
          <w:top w:val="nil"/>
          <w:left w:val="nil"/>
          <w:bottom w:val="nil"/>
          <w:right w:val="nil"/>
          <w:between w:val="nil"/>
        </w:pBdr>
      </w:pPr>
      <w:r>
        <w:br w:type="page"/>
      </w:r>
    </w:p>
    <w:p w14:paraId="01B28570" w14:textId="77777777" w:rsidR="00085F64" w:rsidRDefault="00A746F5">
      <w:pPr>
        <w:widowControl w:val="0"/>
        <w:pBdr>
          <w:top w:val="nil"/>
          <w:left w:val="nil"/>
          <w:bottom w:val="nil"/>
          <w:right w:val="nil"/>
          <w:between w:val="nil"/>
        </w:pBdr>
      </w:pPr>
      <w:r>
        <w:rPr>
          <w:noProof/>
        </w:rPr>
        <w:lastRenderedPageBreak/>
        <w:drawing>
          <wp:inline distT="114300" distB="114300" distL="114300" distR="114300" wp14:anchorId="2A92232D" wp14:editId="435C3C4E">
            <wp:extent cx="4953000" cy="7229475"/>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a:stretch>
                      <a:fillRect/>
                    </a:stretch>
                  </pic:blipFill>
                  <pic:spPr>
                    <a:xfrm>
                      <a:off x="0" y="0"/>
                      <a:ext cx="4953000" cy="7229475"/>
                    </a:xfrm>
                    <a:prstGeom prst="rect">
                      <a:avLst/>
                    </a:prstGeom>
                    <a:ln/>
                  </pic:spPr>
                </pic:pic>
              </a:graphicData>
            </a:graphic>
          </wp:inline>
        </w:drawing>
      </w:r>
    </w:p>
    <w:p w14:paraId="38B5BEC7" w14:textId="77777777" w:rsidR="00085F64" w:rsidRDefault="00A746F5">
      <w:pPr>
        <w:widowControl w:val="0"/>
        <w:pBdr>
          <w:top w:val="nil"/>
          <w:left w:val="nil"/>
          <w:bottom w:val="nil"/>
          <w:right w:val="nil"/>
          <w:between w:val="nil"/>
        </w:pBdr>
      </w:pPr>
      <w:bookmarkStart w:id="12" w:name="x37gjesvosoy" w:colFirst="0" w:colLast="0"/>
      <w:bookmarkEnd w:id="12"/>
      <w:r>
        <w:rPr>
          <w:b/>
        </w:rPr>
        <w:t>Figure S5. Traffic density versus its relative change for each country’s EEZ.</w:t>
      </w:r>
      <w:r>
        <w:t xml:space="preserve"> Bubbles are scaled to the area of each country’s EEZ and color-coded by their income. Vessel categories: (</w:t>
      </w:r>
      <w:r>
        <w:rPr>
          <w:b/>
        </w:rPr>
        <w:t>a</w:t>
      </w:r>
      <w:r>
        <w:t>) all vessels, (</w:t>
      </w:r>
      <w:r>
        <w:rPr>
          <w:b/>
        </w:rPr>
        <w:t>b</w:t>
      </w:r>
      <w:r>
        <w:t>) cargo, (</w:t>
      </w:r>
      <w:r>
        <w:rPr>
          <w:b/>
        </w:rPr>
        <w:t>c</w:t>
      </w:r>
      <w:r>
        <w:t>) tanker, (</w:t>
      </w:r>
      <w:r>
        <w:rPr>
          <w:b/>
        </w:rPr>
        <w:t>d</w:t>
      </w:r>
      <w:r>
        <w:t>) passenger, (</w:t>
      </w:r>
      <w:r>
        <w:rPr>
          <w:b/>
        </w:rPr>
        <w:t>e</w:t>
      </w:r>
      <w:r>
        <w:t>) fishi</w:t>
      </w:r>
      <w:r>
        <w:t>ng, (</w:t>
      </w:r>
      <w:r>
        <w:rPr>
          <w:b/>
        </w:rPr>
        <w:t>f</w:t>
      </w:r>
      <w:r>
        <w:t>) other vessels. Relative change estimated using the log percentage change (L%).</w:t>
      </w:r>
      <w:r>
        <w:br w:type="page"/>
      </w:r>
    </w:p>
    <w:p w14:paraId="2F64AEC4" w14:textId="77777777" w:rsidR="00085F64" w:rsidRDefault="00A746F5">
      <w:pPr>
        <w:widowControl w:val="0"/>
        <w:pBdr>
          <w:top w:val="nil"/>
          <w:left w:val="nil"/>
          <w:bottom w:val="nil"/>
          <w:right w:val="nil"/>
          <w:between w:val="nil"/>
        </w:pBdr>
      </w:pPr>
      <w:r>
        <w:rPr>
          <w:noProof/>
        </w:rPr>
        <w:lastRenderedPageBreak/>
        <w:drawing>
          <wp:inline distT="114300" distB="114300" distL="114300" distR="114300" wp14:anchorId="448256B3" wp14:editId="5744ED1D">
            <wp:extent cx="5943600" cy="4330700"/>
            <wp:effectExtent l="0" t="0" r="0" b="0"/>
            <wp:docPr id="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6"/>
                    <a:srcRect/>
                    <a:stretch>
                      <a:fillRect/>
                    </a:stretch>
                  </pic:blipFill>
                  <pic:spPr>
                    <a:xfrm>
                      <a:off x="0" y="0"/>
                      <a:ext cx="5943600" cy="4330700"/>
                    </a:xfrm>
                    <a:prstGeom prst="rect">
                      <a:avLst/>
                    </a:prstGeom>
                    <a:ln/>
                  </pic:spPr>
                </pic:pic>
              </a:graphicData>
            </a:graphic>
          </wp:inline>
        </w:drawing>
      </w:r>
    </w:p>
    <w:p w14:paraId="449150D9" w14:textId="77777777" w:rsidR="00085F64" w:rsidRDefault="00085F64">
      <w:pPr>
        <w:widowControl w:val="0"/>
        <w:pBdr>
          <w:top w:val="nil"/>
          <w:left w:val="nil"/>
          <w:bottom w:val="nil"/>
          <w:right w:val="nil"/>
          <w:between w:val="nil"/>
        </w:pBdr>
        <w:rPr>
          <w:b/>
        </w:rPr>
      </w:pPr>
    </w:p>
    <w:p w14:paraId="15D75ECA" w14:textId="77777777" w:rsidR="00085F64" w:rsidRDefault="00A746F5">
      <w:pPr>
        <w:widowControl w:val="0"/>
        <w:pBdr>
          <w:top w:val="nil"/>
          <w:left w:val="nil"/>
          <w:bottom w:val="nil"/>
          <w:right w:val="nil"/>
          <w:between w:val="nil"/>
        </w:pBdr>
      </w:pPr>
      <w:bookmarkStart w:id="13" w:name="kix.xc93bw922f4y" w:colFirst="0" w:colLast="0"/>
      <w:bookmarkEnd w:id="13"/>
      <w:r>
        <w:rPr>
          <w:b/>
        </w:rPr>
        <w:t xml:space="preserve">Figure S6. Average change in traffic density in Economic Exclusive Zones (EEZs) per vessel categories. </w:t>
      </w:r>
      <w:r>
        <w:t>Changes estimated by calculating the absolute difference in tr</w:t>
      </w:r>
      <w:r>
        <w:t>affic density between April 2020 and April 2019 in EEZs (n = 255). Vessel categories: (</w:t>
      </w:r>
      <w:r>
        <w:rPr>
          <w:b/>
        </w:rPr>
        <w:t>a</w:t>
      </w:r>
      <w:r>
        <w:t>) cargo, (</w:t>
      </w:r>
      <w:r>
        <w:rPr>
          <w:b/>
        </w:rPr>
        <w:t>b</w:t>
      </w:r>
      <w:r>
        <w:t>) tanker, (</w:t>
      </w:r>
      <w:r>
        <w:rPr>
          <w:b/>
        </w:rPr>
        <w:t>c</w:t>
      </w:r>
      <w:r>
        <w:t>) passenger, (</w:t>
      </w:r>
      <w:r>
        <w:rPr>
          <w:b/>
        </w:rPr>
        <w:t>d</w:t>
      </w:r>
      <w:r>
        <w:t>) fishing, (</w:t>
      </w:r>
      <w:r>
        <w:rPr>
          <w:b/>
        </w:rPr>
        <w:t>e</w:t>
      </w:r>
      <w:r>
        <w:t xml:space="preserve">) other vessels. </w:t>
      </w:r>
      <w:r>
        <w:br w:type="page"/>
      </w:r>
    </w:p>
    <w:p w14:paraId="025C2994" w14:textId="77777777" w:rsidR="00085F64" w:rsidRDefault="00A746F5">
      <w:pPr>
        <w:widowControl w:val="0"/>
      </w:pPr>
      <w:r>
        <w:rPr>
          <w:noProof/>
        </w:rPr>
        <w:lastRenderedPageBreak/>
        <w:drawing>
          <wp:inline distT="114300" distB="114300" distL="114300" distR="114300" wp14:anchorId="0A495472" wp14:editId="3A3943E6">
            <wp:extent cx="5943600" cy="4330700"/>
            <wp:effectExtent l="0" t="0" r="0" b="0"/>
            <wp:docPr id="12"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7"/>
                    <a:srcRect/>
                    <a:stretch>
                      <a:fillRect/>
                    </a:stretch>
                  </pic:blipFill>
                  <pic:spPr>
                    <a:xfrm>
                      <a:off x="0" y="0"/>
                      <a:ext cx="5943600" cy="4330700"/>
                    </a:xfrm>
                    <a:prstGeom prst="rect">
                      <a:avLst/>
                    </a:prstGeom>
                    <a:ln/>
                  </pic:spPr>
                </pic:pic>
              </a:graphicData>
            </a:graphic>
          </wp:inline>
        </w:drawing>
      </w:r>
    </w:p>
    <w:p w14:paraId="24B3BD1A" w14:textId="77777777" w:rsidR="00085F64" w:rsidRDefault="00085F64">
      <w:pPr>
        <w:widowControl w:val="0"/>
        <w:rPr>
          <w:b/>
        </w:rPr>
      </w:pPr>
    </w:p>
    <w:p w14:paraId="1E6A59FA" w14:textId="77777777" w:rsidR="00085F64" w:rsidRDefault="00A746F5">
      <w:pPr>
        <w:widowControl w:val="0"/>
        <w:pBdr>
          <w:top w:val="nil"/>
          <w:left w:val="nil"/>
          <w:bottom w:val="nil"/>
          <w:right w:val="nil"/>
          <w:between w:val="nil"/>
        </w:pBdr>
      </w:pPr>
      <w:bookmarkStart w:id="14" w:name="kix.agroaxf8dsqj" w:colFirst="0" w:colLast="0"/>
      <w:bookmarkEnd w:id="14"/>
      <w:r>
        <w:rPr>
          <w:b/>
        </w:rPr>
        <w:t xml:space="preserve">Figure S7. Average change in traffic density in Areas Beyond National Jurisdiction (ABJN). </w:t>
      </w:r>
      <w:r>
        <w:t>Chan</w:t>
      </w:r>
      <w:r>
        <w:t>ges estimated by calculating the absolute difference in traffic density between April 2020 and April 2019 in ABJN (n = 26). Vessel categories: (</w:t>
      </w:r>
      <w:r>
        <w:rPr>
          <w:b/>
        </w:rPr>
        <w:t>a</w:t>
      </w:r>
      <w:r>
        <w:t>) cargo, (</w:t>
      </w:r>
      <w:r>
        <w:rPr>
          <w:b/>
        </w:rPr>
        <w:t>b</w:t>
      </w:r>
      <w:r>
        <w:t>) tanker, (</w:t>
      </w:r>
      <w:r>
        <w:rPr>
          <w:b/>
        </w:rPr>
        <w:t>c</w:t>
      </w:r>
      <w:r>
        <w:t>) passenger, (</w:t>
      </w:r>
      <w:r>
        <w:rPr>
          <w:b/>
        </w:rPr>
        <w:t>d</w:t>
      </w:r>
      <w:r>
        <w:t>) fishing, (</w:t>
      </w:r>
      <w:r>
        <w:rPr>
          <w:b/>
        </w:rPr>
        <w:t>e</w:t>
      </w:r>
      <w:r>
        <w:t xml:space="preserve">) other vessels. </w:t>
      </w:r>
      <w:r>
        <w:br w:type="page"/>
      </w:r>
      <w:r>
        <w:rPr>
          <w:noProof/>
        </w:rPr>
        <w:lastRenderedPageBreak/>
        <w:drawing>
          <wp:inline distT="114300" distB="114300" distL="114300" distR="114300" wp14:anchorId="41EEA805" wp14:editId="7BB09D02">
            <wp:extent cx="5943600" cy="4559300"/>
            <wp:effectExtent l="0" t="0" r="0" b="0"/>
            <wp:docPr id="1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8"/>
                    <a:srcRect/>
                    <a:stretch>
                      <a:fillRect/>
                    </a:stretch>
                  </pic:blipFill>
                  <pic:spPr>
                    <a:xfrm>
                      <a:off x="0" y="0"/>
                      <a:ext cx="5943600" cy="4559300"/>
                    </a:xfrm>
                    <a:prstGeom prst="rect">
                      <a:avLst/>
                    </a:prstGeom>
                    <a:ln/>
                  </pic:spPr>
                </pic:pic>
              </a:graphicData>
            </a:graphic>
          </wp:inline>
        </w:drawing>
      </w:r>
    </w:p>
    <w:p w14:paraId="710A99E5" w14:textId="77777777" w:rsidR="00085F64" w:rsidRDefault="00085F64">
      <w:pPr>
        <w:widowControl w:val="0"/>
        <w:pBdr>
          <w:top w:val="nil"/>
          <w:left w:val="nil"/>
          <w:bottom w:val="nil"/>
          <w:right w:val="nil"/>
          <w:between w:val="nil"/>
        </w:pBdr>
      </w:pPr>
    </w:p>
    <w:p w14:paraId="3EBECA5F" w14:textId="77777777" w:rsidR="00085F64" w:rsidRDefault="00A746F5">
      <w:pPr>
        <w:widowControl w:val="0"/>
        <w:pBdr>
          <w:top w:val="nil"/>
          <w:left w:val="nil"/>
          <w:bottom w:val="nil"/>
          <w:right w:val="nil"/>
          <w:between w:val="nil"/>
        </w:pBdr>
      </w:pPr>
      <w:bookmarkStart w:id="15" w:name="v1p2y9fmqg4" w:colFirst="0" w:colLast="0"/>
      <w:bookmarkEnd w:id="15"/>
      <w:r>
        <w:rPr>
          <w:b/>
        </w:rPr>
        <w:t xml:space="preserve">Figure S8. Average change in traffic density per marine ecoregion. </w:t>
      </w:r>
      <w:r>
        <w:t>Changes estimated by calculating the absolute difference in traffic density between April 2020 and April 2019 in marine ecoregions. Vessel categories: (</w:t>
      </w:r>
      <w:r>
        <w:rPr>
          <w:b/>
        </w:rPr>
        <w:t>a</w:t>
      </w:r>
      <w:r>
        <w:t>) cargo, (</w:t>
      </w:r>
      <w:r>
        <w:rPr>
          <w:b/>
        </w:rPr>
        <w:t>b</w:t>
      </w:r>
      <w:r>
        <w:t>) tanker, (</w:t>
      </w:r>
      <w:r>
        <w:rPr>
          <w:b/>
        </w:rPr>
        <w:t>c</w:t>
      </w:r>
      <w:r>
        <w:t xml:space="preserve">) passenger, </w:t>
      </w:r>
      <w:r>
        <w:t>(</w:t>
      </w:r>
      <w:r>
        <w:rPr>
          <w:b/>
        </w:rPr>
        <w:t>d</w:t>
      </w:r>
      <w:r>
        <w:t>) fishing, (</w:t>
      </w:r>
      <w:r>
        <w:rPr>
          <w:b/>
        </w:rPr>
        <w:t>e</w:t>
      </w:r>
      <w:r>
        <w:t xml:space="preserve">) other vessels. </w:t>
      </w:r>
      <w:r>
        <w:br w:type="page"/>
      </w:r>
    </w:p>
    <w:p w14:paraId="386672CF" w14:textId="77777777" w:rsidR="00085F64" w:rsidRDefault="00A746F5">
      <w:pPr>
        <w:widowControl w:val="0"/>
        <w:pBdr>
          <w:top w:val="nil"/>
          <w:left w:val="nil"/>
          <w:bottom w:val="nil"/>
          <w:right w:val="nil"/>
          <w:between w:val="nil"/>
        </w:pBdr>
      </w:pPr>
      <w:r>
        <w:rPr>
          <w:noProof/>
        </w:rPr>
        <w:lastRenderedPageBreak/>
        <w:drawing>
          <wp:inline distT="114300" distB="114300" distL="114300" distR="114300" wp14:anchorId="418443B9" wp14:editId="0A26DC90">
            <wp:extent cx="5943600" cy="4457700"/>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9"/>
                    <a:srcRect/>
                    <a:stretch>
                      <a:fillRect/>
                    </a:stretch>
                  </pic:blipFill>
                  <pic:spPr>
                    <a:xfrm>
                      <a:off x="0" y="0"/>
                      <a:ext cx="5943600" cy="4457700"/>
                    </a:xfrm>
                    <a:prstGeom prst="rect">
                      <a:avLst/>
                    </a:prstGeom>
                    <a:ln/>
                  </pic:spPr>
                </pic:pic>
              </a:graphicData>
            </a:graphic>
          </wp:inline>
        </w:drawing>
      </w:r>
    </w:p>
    <w:p w14:paraId="4D4F2FF0" w14:textId="77777777" w:rsidR="00085F64" w:rsidRDefault="00A746F5">
      <w:pPr>
        <w:widowControl w:val="0"/>
        <w:pBdr>
          <w:top w:val="nil"/>
          <w:left w:val="nil"/>
          <w:bottom w:val="nil"/>
          <w:right w:val="nil"/>
          <w:between w:val="nil"/>
        </w:pBdr>
      </w:pPr>
      <w:bookmarkStart w:id="16" w:name="kix.9adwowm5zp06" w:colFirst="0" w:colLast="0"/>
      <w:bookmarkEnd w:id="16"/>
      <w:r>
        <w:rPr>
          <w:b/>
        </w:rPr>
        <w:t xml:space="preserve">Figure S9. Average change in traffic density per Food and Agriculture Organization (FAO) major fishing area. </w:t>
      </w:r>
      <w:r>
        <w:t xml:space="preserve">Changes estimated by calculating the absolute difference in traffic density between April 2020 and April 2019. </w:t>
      </w:r>
      <w:r>
        <w:t>Vessel categories: (</w:t>
      </w:r>
      <w:r>
        <w:rPr>
          <w:b/>
        </w:rPr>
        <w:t>a</w:t>
      </w:r>
      <w:r>
        <w:t>) cargo, (</w:t>
      </w:r>
      <w:r>
        <w:rPr>
          <w:b/>
        </w:rPr>
        <w:t>b</w:t>
      </w:r>
      <w:r>
        <w:t>) tanker, (</w:t>
      </w:r>
      <w:r>
        <w:rPr>
          <w:b/>
        </w:rPr>
        <w:t>c</w:t>
      </w:r>
      <w:r>
        <w:t>) passenger, (</w:t>
      </w:r>
      <w:r>
        <w:rPr>
          <w:b/>
        </w:rPr>
        <w:t>d</w:t>
      </w:r>
      <w:r>
        <w:t>) fishing, (</w:t>
      </w:r>
      <w:r>
        <w:rPr>
          <w:b/>
        </w:rPr>
        <w:t>e</w:t>
      </w:r>
      <w:r>
        <w:t xml:space="preserve">) other vessels. </w:t>
      </w:r>
      <w:r>
        <w:br w:type="page"/>
      </w:r>
    </w:p>
    <w:p w14:paraId="71EEE1A0" w14:textId="77777777" w:rsidR="00085F64" w:rsidRDefault="00A746F5">
      <w:pPr>
        <w:widowControl w:val="0"/>
        <w:pBdr>
          <w:top w:val="nil"/>
          <w:left w:val="nil"/>
          <w:bottom w:val="nil"/>
          <w:right w:val="nil"/>
          <w:between w:val="nil"/>
        </w:pBdr>
        <w:rPr>
          <w:rFonts w:ascii="Calibri" w:eastAsia="Calibri" w:hAnsi="Calibri" w:cs="Calibri"/>
        </w:rPr>
      </w:pPr>
      <w:r>
        <w:rPr>
          <w:rFonts w:ascii="Calibri" w:eastAsia="Calibri" w:hAnsi="Calibri" w:cs="Calibri"/>
          <w:noProof/>
        </w:rPr>
        <w:lastRenderedPageBreak/>
        <w:drawing>
          <wp:inline distT="114300" distB="114300" distL="114300" distR="114300" wp14:anchorId="0FE83750" wp14:editId="5A9EB7FA">
            <wp:extent cx="5943600" cy="594360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0"/>
                    <a:srcRect/>
                    <a:stretch>
                      <a:fillRect/>
                    </a:stretch>
                  </pic:blipFill>
                  <pic:spPr>
                    <a:xfrm>
                      <a:off x="0" y="0"/>
                      <a:ext cx="5943600" cy="5943600"/>
                    </a:xfrm>
                    <a:prstGeom prst="rect">
                      <a:avLst/>
                    </a:prstGeom>
                    <a:ln/>
                  </pic:spPr>
                </pic:pic>
              </a:graphicData>
            </a:graphic>
          </wp:inline>
        </w:drawing>
      </w:r>
    </w:p>
    <w:p w14:paraId="7452B65A" w14:textId="77777777" w:rsidR="00085F64" w:rsidRDefault="00A746F5">
      <w:pPr>
        <w:widowControl w:val="0"/>
        <w:pBdr>
          <w:top w:val="nil"/>
          <w:left w:val="nil"/>
          <w:bottom w:val="nil"/>
          <w:right w:val="nil"/>
          <w:between w:val="nil"/>
        </w:pBdr>
        <w:rPr>
          <w:rFonts w:ascii="Calibri" w:eastAsia="Calibri" w:hAnsi="Calibri" w:cs="Calibri"/>
        </w:rPr>
      </w:pPr>
      <w:bookmarkStart w:id="17" w:name="c8yix9aj9a51" w:colFirst="0" w:colLast="0"/>
      <w:bookmarkEnd w:id="17"/>
      <w:r>
        <w:rPr>
          <w:b/>
        </w:rPr>
        <w:t xml:space="preserve">Fig S10. Number of unique vessels equipped with AIS in the Western Mediterranean between 2016 and 2020. </w:t>
      </w:r>
      <w:r>
        <w:t>(</w:t>
      </w:r>
      <w:r>
        <w:rPr>
          <w:b/>
        </w:rPr>
        <w:t>a</w:t>
      </w:r>
      <w:r>
        <w:t>) All vessel types, (</w:t>
      </w:r>
      <w:r>
        <w:rPr>
          <w:b/>
        </w:rPr>
        <w:t>b</w:t>
      </w:r>
      <w:r>
        <w:t>) cargo, (</w:t>
      </w:r>
      <w:r>
        <w:rPr>
          <w:b/>
        </w:rPr>
        <w:t>c</w:t>
      </w:r>
      <w:r>
        <w:t>) tanker, (</w:t>
      </w:r>
      <w:r>
        <w:rPr>
          <w:b/>
        </w:rPr>
        <w:t>d</w:t>
      </w:r>
      <w:r>
        <w:t>) passenger,</w:t>
      </w:r>
      <w:r>
        <w:t xml:space="preserve"> (</w:t>
      </w:r>
      <w:r>
        <w:rPr>
          <w:b/>
        </w:rPr>
        <w:t>e</w:t>
      </w:r>
      <w:r>
        <w:t>) fishing, (</w:t>
      </w:r>
      <w:r>
        <w:rPr>
          <w:b/>
        </w:rPr>
        <w:t>f</w:t>
      </w:r>
      <w:r>
        <w:t>) recreational, and (</w:t>
      </w:r>
      <w:r>
        <w:rPr>
          <w:b/>
        </w:rPr>
        <w:t>g</w:t>
      </w:r>
      <w:r>
        <w:t>) others. Daily data using a monthly moving average and standard deviation. Vertical dotted line represents the WHO pandemic declaration on the 11</w:t>
      </w:r>
      <w:r>
        <w:rPr>
          <w:vertAlign w:val="superscript"/>
        </w:rPr>
        <w:t>th</w:t>
      </w:r>
      <w:r>
        <w:t xml:space="preserve"> March 2020.</w:t>
      </w:r>
    </w:p>
    <w:p w14:paraId="242A8505" w14:textId="77777777" w:rsidR="00085F64" w:rsidRDefault="00085F64">
      <w:pPr>
        <w:widowControl w:val="0"/>
        <w:pBdr>
          <w:top w:val="nil"/>
          <w:left w:val="nil"/>
          <w:bottom w:val="nil"/>
          <w:right w:val="nil"/>
          <w:between w:val="nil"/>
        </w:pBdr>
        <w:rPr>
          <w:rFonts w:ascii="Calibri" w:eastAsia="Calibri" w:hAnsi="Calibri" w:cs="Calibri"/>
        </w:rPr>
      </w:pPr>
    </w:p>
    <w:p w14:paraId="0E3DE111" w14:textId="77777777" w:rsidR="00085F64" w:rsidRDefault="00085F64">
      <w:pPr>
        <w:widowControl w:val="0"/>
        <w:pBdr>
          <w:top w:val="nil"/>
          <w:left w:val="nil"/>
          <w:bottom w:val="nil"/>
          <w:right w:val="nil"/>
          <w:between w:val="nil"/>
        </w:pBdr>
        <w:rPr>
          <w:rFonts w:ascii="Calibri" w:eastAsia="Calibri" w:hAnsi="Calibri" w:cs="Calibri"/>
        </w:rPr>
      </w:pPr>
    </w:p>
    <w:p w14:paraId="76F01141" w14:textId="77777777" w:rsidR="00085F64" w:rsidRDefault="00085F64"/>
    <w:p w14:paraId="72D2E0C6" w14:textId="77777777" w:rsidR="00085F64" w:rsidRDefault="00A746F5">
      <w:r>
        <w:rPr>
          <w:noProof/>
        </w:rPr>
        <w:lastRenderedPageBreak/>
        <w:drawing>
          <wp:inline distT="114300" distB="114300" distL="114300" distR="114300" wp14:anchorId="1604C957" wp14:editId="50ACC813">
            <wp:extent cx="5943600" cy="5943600"/>
            <wp:effectExtent l="0" t="0" r="0" b="0"/>
            <wp:docPr id="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1"/>
                    <a:srcRect/>
                    <a:stretch>
                      <a:fillRect/>
                    </a:stretch>
                  </pic:blipFill>
                  <pic:spPr>
                    <a:xfrm>
                      <a:off x="0" y="0"/>
                      <a:ext cx="5943600" cy="5943600"/>
                    </a:xfrm>
                    <a:prstGeom prst="rect">
                      <a:avLst/>
                    </a:prstGeom>
                    <a:ln/>
                  </pic:spPr>
                </pic:pic>
              </a:graphicData>
            </a:graphic>
          </wp:inline>
        </w:drawing>
      </w:r>
    </w:p>
    <w:p w14:paraId="1F05F701" w14:textId="77777777" w:rsidR="00085F64" w:rsidRDefault="00A746F5">
      <w:pPr>
        <w:widowControl w:val="0"/>
        <w:pBdr>
          <w:top w:val="nil"/>
          <w:left w:val="nil"/>
          <w:bottom w:val="nil"/>
          <w:right w:val="nil"/>
          <w:between w:val="nil"/>
        </w:pBdr>
      </w:pPr>
      <w:bookmarkStart w:id="18" w:name="mmkczfym58fk" w:colFirst="0" w:colLast="0"/>
      <w:bookmarkEnd w:id="18"/>
      <w:r>
        <w:rPr>
          <w:b/>
        </w:rPr>
        <w:t xml:space="preserve">Fig S11. Daily relative change in number of vessels </w:t>
      </w:r>
      <w:r>
        <w:rPr>
          <w:b/>
        </w:rPr>
        <w:t>equipped with AIS between 2020 and 2019 in the Western Mediterranean.</w:t>
      </w:r>
      <w:r>
        <w:t xml:space="preserve"> (</w:t>
      </w:r>
      <w:r>
        <w:rPr>
          <w:b/>
        </w:rPr>
        <w:t>a</w:t>
      </w:r>
      <w:r>
        <w:t>) All vessel types, (</w:t>
      </w:r>
      <w:r>
        <w:rPr>
          <w:b/>
        </w:rPr>
        <w:t>b</w:t>
      </w:r>
      <w:r>
        <w:t>) cargo, (</w:t>
      </w:r>
      <w:r>
        <w:rPr>
          <w:b/>
        </w:rPr>
        <w:t>c</w:t>
      </w:r>
      <w:r>
        <w:t>) tanker, (</w:t>
      </w:r>
      <w:r>
        <w:rPr>
          <w:b/>
        </w:rPr>
        <w:t>d</w:t>
      </w:r>
      <w:r>
        <w:t>) passenger, (</w:t>
      </w:r>
      <w:r>
        <w:rPr>
          <w:b/>
        </w:rPr>
        <w:t>e</w:t>
      </w:r>
      <w:r>
        <w:t>) fishing, (</w:t>
      </w:r>
      <w:r>
        <w:rPr>
          <w:b/>
        </w:rPr>
        <w:t>f</w:t>
      </w:r>
      <w:r>
        <w:t>) recreational, and (</w:t>
      </w:r>
      <w:r>
        <w:rPr>
          <w:b/>
        </w:rPr>
        <w:t>g</w:t>
      </w:r>
      <w:r>
        <w:t xml:space="preserve">) others. Relative change estimated using the log percentage change (L%). </w:t>
      </w:r>
      <w:r>
        <w:t>Vertical dotted line represents the WHO pandemic declaration on the 11</w:t>
      </w:r>
      <w:r>
        <w:rPr>
          <w:vertAlign w:val="superscript"/>
        </w:rPr>
        <w:t>th</w:t>
      </w:r>
      <w:r>
        <w:t xml:space="preserve"> March 2020. Blue area in the map inset represents the spatial extent of the AIS dataset.</w:t>
      </w:r>
    </w:p>
    <w:sectPr w:rsidR="00085F64">
      <w:footerReference w:type="default" r:id="rId22"/>
      <w:footerReference w:type="first" r:id="rId23"/>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0DF6F6" w14:textId="77777777" w:rsidR="00000000" w:rsidRDefault="00A746F5">
      <w:pPr>
        <w:spacing w:line="240" w:lineRule="auto"/>
      </w:pPr>
      <w:r>
        <w:separator/>
      </w:r>
    </w:p>
  </w:endnote>
  <w:endnote w:type="continuationSeparator" w:id="0">
    <w:p w14:paraId="24669DFB" w14:textId="77777777" w:rsidR="00000000" w:rsidRDefault="00A746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0C76F6" w14:textId="77777777" w:rsidR="00085F64" w:rsidRDefault="00A746F5">
    <w:pPr>
      <w:jc w:val="right"/>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088D9" w14:textId="77777777" w:rsidR="00085F64" w:rsidRDefault="00A746F5">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8466F5" w14:textId="77777777" w:rsidR="00000000" w:rsidRDefault="00A746F5">
      <w:pPr>
        <w:spacing w:line="240" w:lineRule="auto"/>
      </w:pPr>
      <w:r>
        <w:separator/>
      </w:r>
    </w:p>
  </w:footnote>
  <w:footnote w:type="continuationSeparator" w:id="0">
    <w:p w14:paraId="5C557E3B" w14:textId="77777777" w:rsidR="00000000" w:rsidRDefault="00A746F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F64"/>
    <w:rsid w:val="00085F64"/>
    <w:rsid w:val="00A74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B0D13"/>
  <w15:docId w15:val="{F4AC04C1-334F-4812-8C33-342A79F16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3DA41327EFEC44A74B470931B02F33" ma:contentTypeVersion="13" ma:contentTypeDescription="Create a new document." ma:contentTypeScope="" ma:versionID="b72fba19dd015d6dd8d3665b2cf836a0">
  <xsd:schema xmlns:xsd="http://www.w3.org/2001/XMLSchema" xmlns:xs="http://www.w3.org/2001/XMLSchema" xmlns:p="http://schemas.microsoft.com/office/2006/metadata/properties" xmlns:ns3="eb2d2558-3801-4282-b526-f93fed6ee1f0" xmlns:ns4="8072a183-cbac-4113-a659-c66dd92dd5f6" targetNamespace="http://schemas.microsoft.com/office/2006/metadata/properties" ma:root="true" ma:fieldsID="fb4ac202d986eaae4b8b068f301d9718" ns3:_="" ns4:_="">
    <xsd:import namespace="eb2d2558-3801-4282-b526-f93fed6ee1f0"/>
    <xsd:import namespace="8072a183-cbac-4113-a659-c66dd92dd5f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d2558-3801-4282-b526-f93fed6ee1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72a183-cbac-4113-a659-c66dd92dd5f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6B2BF8D-311D-48B2-AFE2-F79DC2E988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d2558-3801-4282-b526-f93fed6ee1f0"/>
    <ds:schemaRef ds:uri="8072a183-cbac-4113-a659-c66dd92dd5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30B1CA-7D4C-41D0-B389-90A04E7D6AED}">
  <ds:schemaRefs>
    <ds:schemaRef ds:uri="http://schemas.microsoft.com/sharepoint/v3/contenttype/forms"/>
  </ds:schemaRefs>
</ds:datastoreItem>
</file>

<file path=customXml/itemProps3.xml><?xml version="1.0" encoding="utf-8"?>
<ds:datastoreItem xmlns:ds="http://schemas.openxmlformats.org/officeDocument/2006/customXml" ds:itemID="{0FF8FC0E-E0BB-4C34-8F79-BA20F70FD1D7}">
  <ds:schemaRef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8072a183-cbac-4113-a659-c66dd92dd5f6"/>
    <ds:schemaRef ds:uri="eb2d2558-3801-4282-b526-f93fed6ee1f0"/>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790</Words>
  <Characters>4508</Characters>
  <Application>Microsoft Office Word</Application>
  <DocSecurity>0</DocSecurity>
  <Lines>37</Lines>
  <Paragraphs>10</Paragraphs>
  <ScaleCrop>false</ScaleCrop>
  <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March Morla, David</dc:creator>
  <cp:lastModifiedBy>March Morla, David</cp:lastModifiedBy>
  <cp:revision>2</cp:revision>
  <dcterms:created xsi:type="dcterms:W3CDTF">2020-07-21T13:56:00Z</dcterms:created>
  <dcterms:modified xsi:type="dcterms:W3CDTF">2020-07-21T13:56:00Z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0x010100A53DA41327EFEC44A74B470931B02F33</vt:lpwstr>
  </property>
</Properties>
</file>