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712009FC" w14:textId="77777777" w:rsidR="00F8688F" w:rsidRPr="00A03CFD" w:rsidRDefault="00F8688F" w:rsidP="00F8688F">
      <w:pPr>
        <w:spacing w:line="24pt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CFD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752BF6D7" w14:textId="77777777" w:rsidR="00F8688F" w:rsidRDefault="00F8688F" w:rsidP="00F8688F">
      <w:pPr>
        <w:spacing w:line="24pt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CFD">
        <w:rPr>
          <w:rFonts w:ascii="Times New Roman" w:hAnsi="Times New Roman" w:cs="Times New Roman"/>
          <w:b/>
          <w:sz w:val="24"/>
          <w:szCs w:val="24"/>
        </w:rPr>
        <w:t xml:space="preserve">Table S1: 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Prevalence rates (Prev. (%) with a 95%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onfidence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A03CFD">
        <w:rPr>
          <w:rFonts w:ascii="Times New Roman" w:hAnsi="Times New Roman" w:cs="Times New Roman"/>
          <w:bCs/>
          <w:sz w:val="24"/>
          <w:szCs w:val="24"/>
        </w:rPr>
        <w:t>nterval (95% CI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Clopper-Pearson) of </w:t>
      </w:r>
      <w:r w:rsidRPr="00A03CFD">
        <w:rPr>
          <w:rFonts w:ascii="Times New Roman" w:hAnsi="Times New Roman" w:cs="Times New Roman"/>
          <w:bCs/>
          <w:i/>
          <w:sz w:val="24"/>
          <w:szCs w:val="24"/>
        </w:rPr>
        <w:t xml:space="preserve">Giardia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duodenalis </w:t>
      </w:r>
      <w:r w:rsidRPr="005218D5">
        <w:rPr>
          <w:rFonts w:ascii="Times New Roman" w:hAnsi="Times New Roman" w:cs="Times New Roman"/>
          <w:bCs/>
          <w:iCs/>
          <w:sz w:val="24"/>
          <w:szCs w:val="24"/>
        </w:rPr>
        <w:t xml:space="preserve">infected 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cats based on faeces sampled in Jordan.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nfections were confirmed </w:t>
      </w:r>
      <w:r>
        <w:rPr>
          <w:rFonts w:ascii="Times New Roman" w:hAnsi="Times New Roman" w:cs="Times New Roman"/>
          <w:bCs/>
          <w:sz w:val="24"/>
          <w:szCs w:val="24"/>
        </w:rPr>
        <w:t>using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 PCR based on sequencing of the </w:t>
      </w:r>
      <w:r w:rsidRPr="00A03CFD">
        <w:rPr>
          <w:rFonts w:ascii="Times New Roman" w:hAnsi="Times New Roman" w:cs="Times New Roman"/>
          <w:bCs/>
          <w:i/>
          <w:sz w:val="24"/>
          <w:szCs w:val="24"/>
        </w:rPr>
        <w:t>Glutamate dehydrogenase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A03CFD">
        <w:rPr>
          <w:rFonts w:ascii="Times New Roman" w:hAnsi="Times New Roman" w:cs="Times New Roman"/>
          <w:bCs/>
          <w:i/>
          <w:sz w:val="24"/>
          <w:szCs w:val="24"/>
        </w:rPr>
        <w:t>GDH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A03CFD">
        <w:rPr>
          <w:rFonts w:ascii="Times New Roman" w:hAnsi="Times New Roman" w:cs="Times New Roman"/>
          <w:bCs/>
          <w:i/>
          <w:sz w:val="24"/>
          <w:szCs w:val="24"/>
        </w:rPr>
        <w:t>Triose phosphate isomerase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A03CFD">
        <w:rPr>
          <w:rFonts w:ascii="Times New Roman" w:hAnsi="Times New Roman" w:cs="Times New Roman"/>
          <w:bCs/>
          <w:i/>
          <w:sz w:val="24"/>
          <w:szCs w:val="24"/>
        </w:rPr>
        <w:t>TPI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), and </w:t>
      </w:r>
      <w:r w:rsidRPr="00A03CFD">
        <w:rPr>
          <w:rFonts w:ascii="Times New Roman" w:hAnsi="Times New Roman" w:cs="Times New Roman"/>
          <w:bCs/>
          <w:i/>
          <w:sz w:val="24"/>
          <w:szCs w:val="24"/>
        </w:rPr>
        <w:t xml:space="preserve">beta-giardin </w:t>
      </w:r>
      <w:r w:rsidRPr="00A03CFD">
        <w:rPr>
          <w:rFonts w:ascii="Times New Roman" w:hAnsi="Times New Roman" w:cs="Times New Roman"/>
          <w:bCs/>
          <w:sz w:val="24"/>
          <w:szCs w:val="24"/>
        </w:rPr>
        <w:t>(</w:t>
      </w:r>
      <w:r w:rsidRPr="00A03CFD">
        <w:rPr>
          <w:rFonts w:ascii="Times New Roman" w:hAnsi="Times New Roman" w:cs="Times New Roman"/>
          <w:bCs/>
          <w:i/>
          <w:sz w:val="24"/>
          <w:szCs w:val="24"/>
        </w:rPr>
        <w:t>bg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) genes. Infections with </w:t>
      </w:r>
      <w:r w:rsidRPr="00A03CF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Entamoeba </w:t>
      </w:r>
      <w:r w:rsidRPr="00A03C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were confirmed using the </w:t>
      </w:r>
      <w:r w:rsidRPr="00A03CFD">
        <w:rPr>
          <w:rFonts w:ascii="Times New Roman" w:hAnsi="Times New Roman" w:cs="Times New Roman"/>
          <w:bCs/>
          <w:i/>
          <w:color w:val="000000"/>
          <w:sz w:val="24"/>
          <w:szCs w:val="24"/>
        </w:rPr>
        <w:t>18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S</w:t>
      </w:r>
      <w:r w:rsidRPr="00A03CF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rRNA </w:t>
      </w:r>
      <w:r w:rsidRPr="00A03C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gene sequencing.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N: nu</w:t>
      </w:r>
      <w:r w:rsidRPr="00017994">
        <w:rPr>
          <w:rFonts w:ascii="Times New Roman" w:hAnsi="Times New Roman" w:cs="Times New Roman"/>
          <w:bCs/>
          <w:sz w:val="24"/>
          <w:szCs w:val="24"/>
        </w:rPr>
        <w:t>mber of sampled cats.</w:t>
      </w:r>
    </w:p>
    <w:tbl>
      <w:tblPr>
        <w:tblW w:w="456.90pt" w:type="dxa"/>
        <w:tblInd w:w="-5.75pt" w:type="dxa"/>
        <w:tblLayout w:type="fixed"/>
        <w:tblCellMar>
          <w:start w:w="5.75pt" w:type="dxa"/>
          <w:end w:w="5.75pt" w:type="dxa"/>
        </w:tblCellMar>
        <w:tblLook w:firstRow="0" w:lastRow="0" w:firstColumn="0" w:lastColumn="0" w:noHBand="0" w:noVBand="1"/>
      </w:tblPr>
      <w:tblGrid>
        <w:gridCol w:w="2700"/>
        <w:gridCol w:w="1080"/>
        <w:gridCol w:w="1406"/>
        <w:gridCol w:w="1612"/>
        <w:gridCol w:w="2340"/>
      </w:tblGrid>
      <w:tr w:rsidR="00F8688F" w:rsidRPr="006569D8" w14:paraId="0E3D5574" w14:textId="77777777" w:rsidTr="00FB0E77">
        <w:trPr>
          <w:trHeight w:val="432"/>
        </w:trPr>
        <w:tc>
          <w:tcPr>
            <w:tcW w:w="135pt" w:type="dxa"/>
            <w:tcBorders>
              <w:top w:val="nil"/>
              <w:start w:val="nil"/>
              <w:bottom w:val="single" w:sz="4" w:space="0" w:color="000000"/>
              <w:end w:val="nil"/>
            </w:tcBorders>
            <w:shd w:val="clear" w:color="auto" w:fill="auto"/>
          </w:tcPr>
          <w:p w14:paraId="32A97E55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Target gene</w:t>
            </w:r>
          </w:p>
        </w:tc>
        <w:tc>
          <w:tcPr>
            <w:tcW w:w="54pt" w:type="dxa"/>
            <w:tcBorders>
              <w:top w:val="nil"/>
              <w:start w:val="nil"/>
              <w:bottom w:val="single" w:sz="4" w:space="0" w:color="000000"/>
              <w:end w:val="nil"/>
            </w:tcBorders>
            <w:shd w:val="clear" w:color="auto" w:fill="auto"/>
          </w:tcPr>
          <w:p w14:paraId="2B604FD5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70.30pt" w:type="dxa"/>
            <w:tcBorders>
              <w:top w:val="nil"/>
              <w:start w:val="nil"/>
              <w:bottom w:val="single" w:sz="4" w:space="0" w:color="000000"/>
              <w:end w:val="nil"/>
            </w:tcBorders>
            <w:shd w:val="clear" w:color="auto" w:fill="auto"/>
          </w:tcPr>
          <w:p w14:paraId="28E366C3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Infected</w:t>
            </w:r>
          </w:p>
        </w:tc>
        <w:tc>
          <w:tcPr>
            <w:tcW w:w="80.60pt" w:type="dxa"/>
            <w:tcBorders>
              <w:top w:val="nil"/>
              <w:start w:val="nil"/>
              <w:bottom w:val="single" w:sz="4" w:space="0" w:color="000000"/>
              <w:end w:val="nil"/>
            </w:tcBorders>
            <w:shd w:val="clear" w:color="auto" w:fill="auto"/>
          </w:tcPr>
          <w:p w14:paraId="36EA0C26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Prev. (%)</w:t>
            </w:r>
          </w:p>
        </w:tc>
        <w:tc>
          <w:tcPr>
            <w:tcW w:w="117pt" w:type="dxa"/>
            <w:tcBorders>
              <w:top w:val="nil"/>
              <w:start w:val="nil"/>
              <w:bottom w:val="single" w:sz="4" w:space="0" w:color="000000"/>
              <w:end w:val="nil"/>
            </w:tcBorders>
            <w:shd w:val="clear" w:color="auto" w:fill="auto"/>
          </w:tcPr>
          <w:p w14:paraId="4BE0E851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(95% CI)</w:t>
            </w:r>
          </w:p>
        </w:tc>
      </w:tr>
      <w:tr w:rsidR="00F8688F" w:rsidRPr="006569D8" w14:paraId="5DEC2D3F" w14:textId="77777777" w:rsidTr="00FB0E77">
        <w:trPr>
          <w:trHeight w:val="432"/>
        </w:trPr>
        <w:tc>
          <w:tcPr>
            <w:tcW w:w="135pt" w:type="dxa"/>
            <w:tcBorders>
              <w:top w:val="single" w:sz="4" w:space="0" w:color="000000"/>
              <w:start w:val="nil"/>
              <w:bottom w:val="nil"/>
              <w:end w:val="nil"/>
            </w:tcBorders>
            <w:shd w:val="clear" w:color="auto" w:fill="auto"/>
            <w:vAlign w:val="center"/>
          </w:tcPr>
          <w:p w14:paraId="6203F770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bg/TPI/GDH</w:t>
            </w:r>
          </w:p>
        </w:tc>
        <w:tc>
          <w:tcPr>
            <w:tcW w:w="54pt" w:type="dxa"/>
            <w:tcBorders>
              <w:top w:val="single" w:sz="4" w:space="0" w:color="000000"/>
              <w:start w:val="nil"/>
              <w:end w:val="nil"/>
            </w:tcBorders>
            <w:shd w:val="clear" w:color="auto" w:fill="auto"/>
            <w:vAlign w:val="center"/>
          </w:tcPr>
          <w:p w14:paraId="4D387BA6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70.30pt" w:type="dxa"/>
            <w:tcBorders>
              <w:top w:val="single" w:sz="4" w:space="0" w:color="000000"/>
              <w:start w:val="nil"/>
              <w:bottom w:val="nil"/>
              <w:end w:val="nil"/>
            </w:tcBorders>
            <w:shd w:val="clear" w:color="auto" w:fill="auto"/>
            <w:vAlign w:val="center"/>
          </w:tcPr>
          <w:p w14:paraId="0AEC61BB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80.60pt" w:type="dxa"/>
            <w:tcBorders>
              <w:top w:val="single" w:sz="4" w:space="0" w:color="000000"/>
              <w:start w:val="nil"/>
              <w:bottom w:val="nil"/>
              <w:end w:val="nil"/>
            </w:tcBorders>
            <w:shd w:val="clear" w:color="auto" w:fill="auto"/>
            <w:vAlign w:val="center"/>
          </w:tcPr>
          <w:p w14:paraId="296DEEEB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117pt" w:type="dxa"/>
            <w:tcBorders>
              <w:top w:val="single" w:sz="4" w:space="0" w:color="000000"/>
              <w:start w:val="nil"/>
              <w:bottom w:val="nil"/>
              <w:end w:val="nil"/>
            </w:tcBorders>
            <w:shd w:val="clear" w:color="auto" w:fill="auto"/>
            <w:vAlign w:val="center"/>
          </w:tcPr>
          <w:p w14:paraId="797378BF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 – 32.9</w:t>
            </w:r>
          </w:p>
        </w:tc>
      </w:tr>
      <w:tr w:rsidR="00F8688F" w:rsidRPr="006569D8" w14:paraId="57FF3D79" w14:textId="77777777" w:rsidTr="00FB0E77">
        <w:trPr>
          <w:trHeight w:val="432"/>
        </w:trPr>
        <w:tc>
          <w:tcPr>
            <w:tcW w:w="1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</w:tcPr>
          <w:p w14:paraId="4890BF73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Bg</w:t>
            </w:r>
          </w:p>
        </w:tc>
        <w:tc>
          <w:tcPr>
            <w:tcW w:w="54pt" w:type="dxa"/>
            <w:tcBorders>
              <w:start w:val="nil"/>
              <w:end w:val="nil"/>
            </w:tcBorders>
            <w:shd w:val="clear" w:color="auto" w:fill="auto"/>
            <w:vAlign w:val="center"/>
          </w:tcPr>
          <w:p w14:paraId="740D7864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</w:tcPr>
          <w:p w14:paraId="43D07775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0.6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</w:tcPr>
          <w:p w14:paraId="2F83A955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</w:tcPr>
          <w:p w14:paraId="6903F5F2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 – 11.4</w:t>
            </w:r>
          </w:p>
        </w:tc>
      </w:tr>
      <w:tr w:rsidR="00F8688F" w:rsidRPr="006569D8" w14:paraId="7586E89F" w14:textId="77777777" w:rsidTr="00FB0E77">
        <w:trPr>
          <w:trHeight w:val="432"/>
        </w:trPr>
        <w:tc>
          <w:tcPr>
            <w:tcW w:w="13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</w:tcPr>
          <w:p w14:paraId="75E62EC2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TPI</w:t>
            </w:r>
          </w:p>
        </w:tc>
        <w:tc>
          <w:tcPr>
            <w:tcW w:w="54pt" w:type="dxa"/>
            <w:tcBorders>
              <w:start w:val="nil"/>
              <w:end w:val="nil"/>
            </w:tcBorders>
            <w:shd w:val="clear" w:color="auto" w:fill="auto"/>
            <w:vAlign w:val="center"/>
          </w:tcPr>
          <w:p w14:paraId="1A9CC695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.3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</w:tcPr>
          <w:p w14:paraId="0B7B1095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0.6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</w:tcPr>
          <w:p w14:paraId="0B37DE6D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</w:t>
            </w:r>
          </w:p>
        </w:tc>
        <w:tc>
          <w:tcPr>
            <w:tcW w:w="117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</w:tcPr>
          <w:p w14:paraId="795CBB35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 – 20.4</w:t>
            </w:r>
          </w:p>
        </w:tc>
      </w:tr>
      <w:tr w:rsidR="00F8688F" w:rsidRPr="006569D8" w14:paraId="039DABE1" w14:textId="77777777" w:rsidTr="00FB0E77">
        <w:trPr>
          <w:trHeight w:val="432"/>
        </w:trPr>
        <w:tc>
          <w:tcPr>
            <w:tcW w:w="135pt" w:type="dxa"/>
            <w:tcBorders>
              <w:top w:val="nil"/>
              <w:start w:val="nil"/>
              <w:bottom w:val="single" w:sz="4" w:space="0" w:color="000000"/>
              <w:end w:val="nil"/>
            </w:tcBorders>
            <w:shd w:val="clear" w:color="auto" w:fill="auto"/>
            <w:vAlign w:val="center"/>
          </w:tcPr>
          <w:p w14:paraId="53970C14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GDH</w:t>
            </w:r>
          </w:p>
        </w:tc>
        <w:tc>
          <w:tcPr>
            <w:tcW w:w="54pt" w:type="dxa"/>
            <w:tcBorders>
              <w:start w:val="nil"/>
              <w:bottom w:val="single" w:sz="4" w:space="0" w:color="000000"/>
              <w:end w:val="nil"/>
            </w:tcBorders>
            <w:shd w:val="clear" w:color="auto" w:fill="auto"/>
            <w:vAlign w:val="center"/>
          </w:tcPr>
          <w:p w14:paraId="64B73FE4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.30pt" w:type="dxa"/>
            <w:tcBorders>
              <w:top w:val="nil"/>
              <w:start w:val="nil"/>
              <w:bottom w:val="single" w:sz="4" w:space="0" w:color="000000"/>
              <w:end w:val="nil"/>
            </w:tcBorders>
            <w:shd w:val="clear" w:color="auto" w:fill="auto"/>
            <w:vAlign w:val="center"/>
          </w:tcPr>
          <w:p w14:paraId="651B0BDB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80.60pt" w:type="dxa"/>
            <w:tcBorders>
              <w:top w:val="nil"/>
              <w:start w:val="nil"/>
              <w:bottom w:val="single" w:sz="4" w:space="0" w:color="000000"/>
              <w:end w:val="nil"/>
            </w:tcBorders>
            <w:shd w:val="clear" w:color="auto" w:fill="auto"/>
            <w:vAlign w:val="center"/>
          </w:tcPr>
          <w:p w14:paraId="59A2BE54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</w:t>
            </w:r>
          </w:p>
        </w:tc>
        <w:tc>
          <w:tcPr>
            <w:tcW w:w="117pt" w:type="dxa"/>
            <w:tcBorders>
              <w:top w:val="nil"/>
              <w:start w:val="nil"/>
              <w:bottom w:val="single" w:sz="4" w:space="0" w:color="000000"/>
              <w:end w:val="nil"/>
            </w:tcBorders>
            <w:shd w:val="clear" w:color="auto" w:fill="auto"/>
            <w:vAlign w:val="center"/>
          </w:tcPr>
          <w:p w14:paraId="536C7A53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19.7 - 29</w:t>
            </w:r>
          </w:p>
        </w:tc>
      </w:tr>
      <w:tr w:rsidR="00F8688F" w:rsidRPr="006569D8" w14:paraId="751AC4CB" w14:textId="77777777" w:rsidTr="00FB0E77">
        <w:trPr>
          <w:trHeight w:val="720"/>
        </w:trPr>
        <w:tc>
          <w:tcPr>
            <w:tcW w:w="135pt" w:type="dxa"/>
            <w:tcBorders>
              <w:top w:val="single" w:sz="4" w:space="0" w:color="000000"/>
              <w:start w:val="nil"/>
              <w:bottom w:val="single" w:sz="4" w:space="0" w:color="000000"/>
              <w:end w:val="nil"/>
            </w:tcBorders>
            <w:shd w:val="clear" w:color="auto" w:fill="auto"/>
            <w:vAlign w:val="center"/>
          </w:tcPr>
          <w:p w14:paraId="52D79587" w14:textId="77777777" w:rsidR="00F8688F" w:rsidRPr="003360DC" w:rsidRDefault="00F8688F" w:rsidP="00FB0E77">
            <w:pPr>
              <w:spacing w:after="0pt" w:line="24pt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18s rRNA (Entamoeba)</w:t>
            </w:r>
          </w:p>
        </w:tc>
        <w:tc>
          <w:tcPr>
            <w:tcW w:w="54pt" w:type="dxa"/>
            <w:tcBorders>
              <w:top w:val="single" w:sz="4" w:space="0" w:color="000000"/>
              <w:start w:val="nil"/>
              <w:bottom w:val="single" w:sz="4" w:space="0" w:color="000000"/>
              <w:end w:val="nil"/>
            </w:tcBorders>
            <w:shd w:val="clear" w:color="auto" w:fill="auto"/>
            <w:vAlign w:val="center"/>
          </w:tcPr>
          <w:p w14:paraId="33903E20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70.30pt" w:type="dxa"/>
            <w:tcBorders>
              <w:top w:val="single" w:sz="4" w:space="0" w:color="000000"/>
              <w:start w:val="nil"/>
              <w:bottom w:val="single" w:sz="4" w:space="0" w:color="000000"/>
              <w:end w:val="nil"/>
            </w:tcBorders>
            <w:shd w:val="clear" w:color="auto" w:fill="auto"/>
            <w:vAlign w:val="center"/>
          </w:tcPr>
          <w:p w14:paraId="3FAC228C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.60pt" w:type="dxa"/>
            <w:tcBorders>
              <w:top w:val="single" w:sz="4" w:space="0" w:color="000000"/>
              <w:start w:val="nil"/>
              <w:bottom w:val="single" w:sz="4" w:space="0" w:color="000000"/>
              <w:end w:val="nil"/>
            </w:tcBorders>
            <w:shd w:val="clear" w:color="auto" w:fill="auto"/>
            <w:vAlign w:val="center"/>
          </w:tcPr>
          <w:p w14:paraId="49B6354B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pt" w:type="dxa"/>
            <w:tcBorders>
              <w:top w:val="single" w:sz="4" w:space="0" w:color="000000"/>
              <w:start w:val="nil"/>
              <w:bottom w:val="single" w:sz="4" w:space="0" w:color="000000"/>
              <w:end w:val="nil"/>
            </w:tcBorders>
            <w:shd w:val="clear" w:color="auto" w:fill="auto"/>
            <w:vAlign w:val="center"/>
          </w:tcPr>
          <w:p w14:paraId="6E274F51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 – 2.1 </w:t>
            </w:r>
          </w:p>
        </w:tc>
      </w:tr>
      <w:tr w:rsidR="00F8688F" w:rsidRPr="006569D8" w14:paraId="5A075C40" w14:textId="77777777" w:rsidTr="00FB0E77">
        <w:trPr>
          <w:trHeight w:val="720"/>
        </w:trPr>
        <w:tc>
          <w:tcPr>
            <w:tcW w:w="456.90pt" w:type="dxa"/>
            <w:gridSpan w:val="5"/>
            <w:tcBorders>
              <w:top w:val="single" w:sz="4" w:space="0" w:color="000000"/>
              <w:start w:val="nil"/>
              <w:end w:val="nil"/>
            </w:tcBorders>
            <w:shd w:val="clear" w:color="auto" w:fill="auto"/>
            <w:vAlign w:val="center"/>
          </w:tcPr>
          <w:p w14:paraId="1EFC8F04" w14:textId="77777777" w:rsidR="00F8688F" w:rsidRPr="003360DC" w:rsidRDefault="00F8688F" w:rsidP="00FB0E77">
            <w:pPr>
              <w:spacing w:after="0pt" w:line="24pt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76AEE3F" w14:textId="77777777" w:rsidR="00F8688F" w:rsidRPr="00A03CFD" w:rsidRDefault="00F8688F" w:rsidP="00F8688F">
      <w:pPr>
        <w:spacing w:line="24pt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42CF6A" w14:textId="77777777" w:rsidR="00F8688F" w:rsidRDefault="00F8688F" w:rsidP="00F8688F">
      <w:pPr>
        <w:spacing w:after="0pt" w:line="24pt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A1BD7E4" w14:textId="77777777" w:rsidR="00F8688F" w:rsidRPr="00A03CFD" w:rsidRDefault="00F8688F" w:rsidP="00F8688F">
      <w:pPr>
        <w:spacing w:line="24pt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C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S2: 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Multilocus sequence typing of </w:t>
      </w:r>
      <w:r w:rsidRPr="00A03CFD">
        <w:rPr>
          <w:rFonts w:ascii="Times New Roman" w:hAnsi="Times New Roman" w:cs="Times New Roman"/>
          <w:bCs/>
          <w:i/>
          <w:sz w:val="24"/>
          <w:szCs w:val="24"/>
        </w:rPr>
        <w:t>Giardia duodenalis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 infections among stray and pet cats sampled in Jordan between August 2022 and January 2023 based on sequencing of the </w:t>
      </w:r>
      <w:r w:rsidRPr="00A03CFD">
        <w:rPr>
          <w:rFonts w:ascii="Times New Roman" w:hAnsi="Times New Roman" w:cs="Times New Roman"/>
          <w:bCs/>
          <w:i/>
          <w:sz w:val="24"/>
          <w:szCs w:val="24"/>
        </w:rPr>
        <w:t>Glutamate dehydrogenase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A03CFD">
        <w:rPr>
          <w:rFonts w:ascii="Times New Roman" w:hAnsi="Times New Roman" w:cs="Times New Roman"/>
          <w:bCs/>
          <w:i/>
          <w:sz w:val="24"/>
          <w:szCs w:val="24"/>
        </w:rPr>
        <w:t>GDH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A03CFD">
        <w:rPr>
          <w:rFonts w:ascii="Times New Roman" w:hAnsi="Times New Roman" w:cs="Times New Roman"/>
          <w:bCs/>
          <w:i/>
          <w:sz w:val="24"/>
          <w:szCs w:val="24"/>
        </w:rPr>
        <w:t>Triose phosphate isomerase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A03CFD">
        <w:rPr>
          <w:rFonts w:ascii="Times New Roman" w:hAnsi="Times New Roman" w:cs="Times New Roman"/>
          <w:bCs/>
          <w:i/>
          <w:sz w:val="24"/>
          <w:szCs w:val="24"/>
        </w:rPr>
        <w:t>TPI</w:t>
      </w:r>
      <w:r w:rsidRPr="00A03CFD">
        <w:rPr>
          <w:rFonts w:ascii="Times New Roman" w:hAnsi="Times New Roman" w:cs="Times New Roman"/>
          <w:bCs/>
          <w:sz w:val="24"/>
          <w:szCs w:val="24"/>
        </w:rPr>
        <w:t xml:space="preserve">), and </w:t>
      </w:r>
      <w:r w:rsidRPr="00A03CFD">
        <w:rPr>
          <w:rFonts w:ascii="Times New Roman" w:hAnsi="Times New Roman" w:cs="Times New Roman"/>
          <w:bCs/>
          <w:i/>
          <w:sz w:val="24"/>
          <w:szCs w:val="24"/>
        </w:rPr>
        <w:t xml:space="preserve">beta-giardin </w:t>
      </w:r>
      <w:r w:rsidRPr="00A03CFD">
        <w:rPr>
          <w:rFonts w:ascii="Times New Roman" w:hAnsi="Times New Roman" w:cs="Times New Roman"/>
          <w:bCs/>
          <w:sz w:val="24"/>
          <w:szCs w:val="24"/>
        </w:rPr>
        <w:t>(</w:t>
      </w:r>
      <w:r w:rsidRPr="00A03CFD">
        <w:rPr>
          <w:rFonts w:ascii="Times New Roman" w:hAnsi="Times New Roman" w:cs="Times New Roman"/>
          <w:bCs/>
          <w:i/>
          <w:sz w:val="24"/>
          <w:szCs w:val="24"/>
        </w:rPr>
        <w:t>bg</w:t>
      </w:r>
      <w:r w:rsidRPr="00A03CFD">
        <w:rPr>
          <w:rFonts w:ascii="Times New Roman" w:hAnsi="Times New Roman" w:cs="Times New Roman"/>
          <w:bCs/>
          <w:sz w:val="24"/>
          <w:szCs w:val="24"/>
        </w:rPr>
        <w:t>) genes. NS: not sequenced.</w:t>
      </w:r>
    </w:p>
    <w:tbl>
      <w:tblPr>
        <w:tblW w:w="452.05pt" w:type="dxa"/>
        <w:tblInd w:w="-5.75pt" w:type="dxa"/>
        <w:tblLayout w:type="fixed"/>
        <w:tblCellMar>
          <w:start w:w="5.75pt" w:type="dxa"/>
          <w:end w:w="5.75pt" w:type="dxa"/>
        </w:tblCellMar>
        <w:tblLook w:firstRow="0" w:lastRow="0" w:firstColumn="0" w:lastColumn="0" w:noHBand="0" w:noVBand="1"/>
      </w:tblPr>
      <w:tblGrid>
        <w:gridCol w:w="1885"/>
        <w:gridCol w:w="1295"/>
        <w:gridCol w:w="1890"/>
        <w:gridCol w:w="2455"/>
        <w:gridCol w:w="1516"/>
      </w:tblGrid>
      <w:tr w:rsidR="00F8688F" w:rsidRPr="006569D8" w14:paraId="1A877ED6" w14:textId="77777777" w:rsidTr="00FB0E77">
        <w:trPr>
          <w:trHeight w:val="564"/>
        </w:trPr>
        <w:tc>
          <w:tcPr>
            <w:tcW w:w="94.2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1936437C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Number of samples</w:t>
            </w:r>
          </w:p>
        </w:tc>
        <w:tc>
          <w:tcPr>
            <w:tcW w:w="64.75pt" w:type="dxa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1C7B70D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bg</w:t>
            </w:r>
          </w:p>
        </w:tc>
        <w:tc>
          <w:tcPr>
            <w:tcW w:w="94.50pt" w:type="dxa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75C640BE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TPI</w:t>
            </w:r>
          </w:p>
        </w:tc>
        <w:tc>
          <w:tcPr>
            <w:tcW w:w="122.75pt" w:type="dxa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1AE9CC1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GDH</w:t>
            </w:r>
          </w:p>
        </w:tc>
        <w:tc>
          <w:tcPr>
            <w:tcW w:w="75.80pt" w:type="dxa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2C068F6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Assemblage</w:t>
            </w:r>
          </w:p>
        </w:tc>
      </w:tr>
      <w:tr w:rsidR="00F8688F" w:rsidRPr="006569D8" w14:paraId="33D40D69" w14:textId="77777777" w:rsidTr="00FB0E77">
        <w:trPr>
          <w:trHeight w:val="288"/>
        </w:trPr>
        <w:tc>
          <w:tcPr>
            <w:tcW w:w="94.2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B198692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7D4C7D08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BIII</w:t>
            </w:r>
          </w:p>
        </w:tc>
        <w:tc>
          <w:tcPr>
            <w:tcW w:w="94.5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7A658E9E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BIII</w:t>
            </w:r>
          </w:p>
        </w:tc>
        <w:tc>
          <w:tcPr>
            <w:tcW w:w="122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251D4733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B1  </w:t>
            </w:r>
          </w:p>
        </w:tc>
        <w:tc>
          <w:tcPr>
            <w:tcW w:w="75.8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6F41367B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:rsidR="00F8688F" w:rsidRPr="006569D8" w14:paraId="0A4D8150" w14:textId="77777777" w:rsidTr="00FB0E77">
        <w:trPr>
          <w:trHeight w:val="288"/>
        </w:trPr>
        <w:tc>
          <w:tcPr>
            <w:tcW w:w="94.2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69135161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2525E715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.5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A1ED93C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BIII</w:t>
            </w:r>
          </w:p>
        </w:tc>
        <w:tc>
          <w:tcPr>
            <w:tcW w:w="122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4C80AD03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B1</w:t>
            </w:r>
          </w:p>
        </w:tc>
        <w:tc>
          <w:tcPr>
            <w:tcW w:w="75.8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7F7A1A3D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:rsidR="00F8688F" w:rsidRPr="006569D8" w14:paraId="68E8E1BC" w14:textId="77777777" w:rsidTr="00FB0E77">
        <w:trPr>
          <w:trHeight w:val="288"/>
        </w:trPr>
        <w:tc>
          <w:tcPr>
            <w:tcW w:w="94.2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A6683F2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29E0C95C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BIII</w:t>
            </w:r>
          </w:p>
        </w:tc>
        <w:tc>
          <w:tcPr>
            <w:tcW w:w="94.5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2F999E39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BIII</w:t>
            </w:r>
          </w:p>
        </w:tc>
        <w:tc>
          <w:tcPr>
            <w:tcW w:w="122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357B558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.8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46D4B321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:rsidR="00F8688F" w:rsidRPr="006569D8" w14:paraId="3B213DB0" w14:textId="77777777" w:rsidTr="00FB0E77">
        <w:trPr>
          <w:trHeight w:val="288"/>
        </w:trPr>
        <w:tc>
          <w:tcPr>
            <w:tcW w:w="94.2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4928E6F4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4130E992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BIII</w:t>
            </w:r>
          </w:p>
        </w:tc>
        <w:tc>
          <w:tcPr>
            <w:tcW w:w="94.5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0C7D5218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EC32435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B1</w:t>
            </w:r>
          </w:p>
        </w:tc>
        <w:tc>
          <w:tcPr>
            <w:tcW w:w="75.8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F50D5A6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:rsidR="00F8688F" w:rsidRPr="006569D8" w14:paraId="12B3C611" w14:textId="77777777" w:rsidTr="00FB0E77">
        <w:trPr>
          <w:trHeight w:val="288"/>
        </w:trPr>
        <w:tc>
          <w:tcPr>
            <w:tcW w:w="94.2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0548507F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4244DD85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BIII</w:t>
            </w:r>
          </w:p>
        </w:tc>
        <w:tc>
          <w:tcPr>
            <w:tcW w:w="94.5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66F318CC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170B3004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.8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233DBE21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:rsidR="00F8688F" w:rsidRPr="006569D8" w14:paraId="1148EDB4" w14:textId="77777777" w:rsidTr="00FB0E77">
        <w:trPr>
          <w:trHeight w:val="288"/>
        </w:trPr>
        <w:tc>
          <w:tcPr>
            <w:tcW w:w="94.2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15C237FF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6EADF7E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.5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0B8CC4E9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BIII</w:t>
            </w:r>
          </w:p>
        </w:tc>
        <w:tc>
          <w:tcPr>
            <w:tcW w:w="122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26AD3D8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sequenced</w:t>
            </w:r>
          </w:p>
        </w:tc>
        <w:tc>
          <w:tcPr>
            <w:tcW w:w="75.8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474DDDF5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:rsidR="00F8688F" w:rsidRPr="006569D8" w14:paraId="42A2B745" w14:textId="77777777" w:rsidTr="00FB0E77">
        <w:trPr>
          <w:trHeight w:val="288"/>
        </w:trPr>
        <w:tc>
          <w:tcPr>
            <w:tcW w:w="94.2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5D3C2DF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17E7AC7F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.5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2DD1428E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4FF300D3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B1</w:t>
            </w:r>
          </w:p>
        </w:tc>
        <w:tc>
          <w:tcPr>
            <w:tcW w:w="75.8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873842E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:rsidR="00F8688F" w:rsidRPr="006569D8" w14:paraId="482551D2" w14:textId="77777777" w:rsidTr="00FB0E77">
        <w:trPr>
          <w:trHeight w:val="288"/>
        </w:trPr>
        <w:tc>
          <w:tcPr>
            <w:tcW w:w="94.2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775DB4BE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60EBE5B1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.5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4D79D21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BIV</w:t>
            </w:r>
          </w:p>
        </w:tc>
        <w:tc>
          <w:tcPr>
            <w:tcW w:w="122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6EB3CF0E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.8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031B44A6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:rsidR="00F8688F" w:rsidRPr="006569D8" w14:paraId="0C7065C2" w14:textId="77777777" w:rsidTr="00FB0E77">
        <w:trPr>
          <w:trHeight w:val="288"/>
        </w:trPr>
        <w:tc>
          <w:tcPr>
            <w:tcW w:w="94.2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AC0C400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02C1542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4.5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263855FA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A4718DB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75.8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74917CDF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</w:tr>
      <w:tr w:rsidR="00F8688F" w:rsidRPr="006569D8" w14:paraId="1227FE72" w14:textId="77777777" w:rsidTr="00FB0E77">
        <w:trPr>
          <w:trHeight w:val="288"/>
        </w:trPr>
        <w:tc>
          <w:tcPr>
            <w:tcW w:w="94.2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4EFC88EF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491E2146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.5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23EF5C37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0B15F08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75.8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1F978076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</w:tr>
      <w:tr w:rsidR="00F8688F" w:rsidRPr="006569D8" w14:paraId="5CBD1CD6" w14:textId="77777777" w:rsidTr="00FB0E77">
        <w:trPr>
          <w:trHeight w:val="288"/>
        </w:trPr>
        <w:tc>
          <w:tcPr>
            <w:tcW w:w="94.2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23590B25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2A0D58F8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.5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D1AE35B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6B90FBEA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75.8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41D2264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F8688F" w:rsidRPr="006569D8" w14:paraId="0D69D861" w14:textId="77777777" w:rsidTr="00FB0E77">
        <w:trPr>
          <w:trHeight w:val="288"/>
        </w:trPr>
        <w:tc>
          <w:tcPr>
            <w:tcW w:w="94.2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E0814A8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770D65D7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.5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808F020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69F0E1C0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75.8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91172B1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</w:tr>
      <w:tr w:rsidR="00F8688F" w:rsidRPr="006569D8" w14:paraId="7D8282FA" w14:textId="77777777" w:rsidTr="00FB0E77">
        <w:trPr>
          <w:trHeight w:val="288"/>
        </w:trPr>
        <w:tc>
          <w:tcPr>
            <w:tcW w:w="94.2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09EC02E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53F6E5D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.5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7D79D4D3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45E6AA33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sequenced</w:t>
            </w:r>
          </w:p>
        </w:tc>
        <w:tc>
          <w:tcPr>
            <w:tcW w:w="75.8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D1C30A2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8688F" w:rsidRPr="006569D8" w14:paraId="45E65481" w14:textId="77777777" w:rsidTr="00FB0E77">
        <w:trPr>
          <w:trHeight w:val="288"/>
        </w:trPr>
        <w:tc>
          <w:tcPr>
            <w:tcW w:w="94.2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12E79FA4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AE422EE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.5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7D1CE1D1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sequenced</w:t>
            </w:r>
          </w:p>
        </w:tc>
        <w:tc>
          <w:tcPr>
            <w:tcW w:w="122.7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8101B91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.80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7CFE6143" w14:textId="77777777" w:rsidR="00F8688F" w:rsidRPr="00625468" w:rsidRDefault="00F8688F" w:rsidP="00FB0E77">
            <w:pPr>
              <w:spacing w:after="0pt" w:line="24pt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3044BACC" w14:textId="77777777" w:rsidR="00F8688F" w:rsidRPr="003360DC" w:rsidRDefault="00F8688F" w:rsidP="00F8688F">
      <w:pPr>
        <w:spacing w:line="24pt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618BBF" w14:textId="77777777" w:rsidR="008C374B" w:rsidRDefault="008C374B"/>
    <w:sectPr w:rsidR="008C374B" w:rsidSect="00F8688F">
      <w:headerReference w:type="default" r:id="rId4"/>
      <w:footerReference w:type="default" r:id="rId5"/>
      <w:pgSz w:w="595.30pt" w:h="841.90pt"/>
      <w:pgMar w:top="72pt" w:right="72pt" w:bottom="72pt" w:left="72pt" w:header="35.30pt" w:footer="35.30pt" w:gutter="0pt"/>
      <w:lnNumType w:countBy="1" w:restart="continuous"/>
      <w:pgNumType w:start="1"/>
      <w:cols w:space="36pt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11AF2F05" w14:textId="77777777" w:rsidR="00000000" w:rsidRPr="00A03CFD" w:rsidRDefault="00000000">
    <w:pPr>
      <w:pStyle w:val="Footer"/>
      <w:jc w:val="center"/>
    </w:pPr>
    <w:r w:rsidRPr="00A03CFD">
      <w:fldChar w:fldCharType="begin"/>
    </w:r>
    <w:r w:rsidRPr="00A03CFD">
      <w:instrText xml:space="preserve"> PAGE   \* MERGEFORMAT </w:instrText>
    </w:r>
    <w:r w:rsidRPr="00A03CFD">
      <w:fldChar w:fldCharType="separate"/>
    </w:r>
    <w:r w:rsidRPr="00A03CFD">
      <w:t>2</w:t>
    </w:r>
    <w:r w:rsidRPr="00A03CFD">
      <w:fldChar w:fldCharType="end"/>
    </w:r>
  </w:p>
  <w:p w14:paraId="08AB7B82" w14:textId="77777777" w:rsidR="00000000" w:rsidRPr="00A03CFD" w:rsidRDefault="00000000">
    <w:pPr>
      <w:pStyle w:val="Footer"/>
    </w:pPr>
  </w:p>
</w:ftr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57BEE718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88F"/>
    <w:rsid w:val="002A5090"/>
    <w:rsid w:val="003F36CB"/>
    <w:rsid w:val="00695F42"/>
    <w:rsid w:val="008C374B"/>
    <w:rsid w:val="00954821"/>
    <w:rsid w:val="00AF416B"/>
    <w:rsid w:val="00E459B1"/>
    <w:rsid w:val="00E910FB"/>
    <w:rsid w:val="00F8688F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597C56"/>
  <w15:chartTrackingRefBased/>
  <w15:docId w15:val="{F69686F7-BEE7-4AE2-909E-2E591ADFFF9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88F"/>
    <w:rPr>
      <w:rFonts w:ascii="Calibri" w:eastAsia="Calibri" w:hAnsi="Calibri" w:cs="Calibri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688F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88F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88F"/>
    <w:pPr>
      <w:keepNext/>
      <w:keepLines/>
      <w:spacing w:before="8pt" w:after="4p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88F"/>
    <w:pPr>
      <w:keepNext/>
      <w:keepLines/>
      <w:spacing w:before="4pt" w:after="2p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88F"/>
    <w:pPr>
      <w:keepNext/>
      <w:keepLines/>
      <w:spacing w:before="4pt" w:after="2p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88F"/>
    <w:pPr>
      <w:keepNext/>
      <w:keepLines/>
      <w:spacing w:before="2pt" w:after="0p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88F"/>
    <w:pPr>
      <w:keepNext/>
      <w:keepLines/>
      <w:spacing w:before="2pt" w:after="0p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88F"/>
    <w:pPr>
      <w:keepNext/>
      <w:keepLines/>
      <w:spacing w:after="0p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88F"/>
    <w:pPr>
      <w:keepNext/>
      <w:keepLines/>
      <w:spacing w:after="0p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8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8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8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8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8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8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8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8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8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88F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6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88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6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88F"/>
    <w:pPr>
      <w:spacing w:before="8pt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68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88F"/>
    <w:pPr>
      <w:ind w:start="36pt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68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8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8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8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688F"/>
    <w:pPr>
      <w:tabs>
        <w:tab w:val="center" w:pos="225.65pt"/>
        <w:tab w:val="end" w:pos="451.30pt"/>
      </w:tabs>
      <w:spacing w:after="0pt"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88F"/>
    <w:rPr>
      <w:rFonts w:ascii="Calibri" w:eastAsia="Calibri" w:hAnsi="Calibri" w:cs="Calibri"/>
      <w:kern w:val="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8688F"/>
    <w:pPr>
      <w:tabs>
        <w:tab w:val="center" w:pos="225.65pt"/>
        <w:tab w:val="end" w:pos="451.30pt"/>
      </w:tabs>
      <w:spacing w:after="0pt"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88F"/>
    <w:rPr>
      <w:rFonts w:ascii="Calibri" w:eastAsia="Calibri" w:hAnsi="Calibri" w:cs="Calibri"/>
      <w:kern w:val="0"/>
      <w:lang w:val="en-GB"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F8688F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footer" Target="footer1.xml"/><Relationship Id="rId4" Type="http://purl.oclc.org/ooxml/officeDocument/relationships/header" Target="header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180</Words>
  <Characters>1028</Characters>
  <Application>Microsoft Office Word</Application>
  <DocSecurity>0</DocSecurity>
  <Lines>8</Lines>
  <Paragraphs>2</Paragraphs>
  <ScaleCrop>false</ScaleCrop>
  <Company>Springer Nature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2024-08-07T13:54:00Z</dcterms:created>
  <dcterms:modified xsi:type="dcterms:W3CDTF">2024-08-07T13:54:00Z</dcterms:modified>
</cp:coreProperties>
</file>