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Times New Roman Bold" w:hAnsi="Times New Roman Bold" w:eastAsia="宋体" w:cs="Times New Roman Bold"/>
          <w:b/>
          <w:bCs/>
          <w:kern w:val="0"/>
          <w:sz w:val="32"/>
          <w:szCs w:val="32"/>
          <w:lang w:val="en-GB"/>
        </w:rPr>
      </w:pPr>
      <w:r>
        <w:rPr>
          <w:rFonts w:hint="default" w:ascii="Times New Roman Bold" w:hAnsi="Times New Roman Bold" w:eastAsia="宋体" w:cs="Times New Roman Bold"/>
          <w:b/>
          <w:bCs/>
          <w:kern w:val="0"/>
          <w:sz w:val="32"/>
          <w:szCs w:val="32"/>
          <w:lang w:val="en-GB"/>
        </w:rPr>
        <w:t>Electronic supplementary material</w:t>
      </w:r>
    </w:p>
    <w:p>
      <w:pPr>
        <w:spacing w:line="360" w:lineRule="auto"/>
        <w:jc w:val="center"/>
        <w:rPr>
          <w:rFonts w:hint="default" w:ascii="Times New Roman Bold" w:hAnsi="Times New Roman Bold" w:eastAsia="宋体" w:cs="Times New Roman Bold"/>
          <w:b/>
          <w:bCs/>
          <w:kern w:val="0"/>
          <w:sz w:val="32"/>
          <w:szCs w:val="32"/>
          <w:lang w:val="en-GB"/>
        </w:rPr>
      </w:pPr>
    </w:p>
    <w:p>
      <w:pPr>
        <w:spacing w:line="360" w:lineRule="auto"/>
        <w:jc w:val="center"/>
        <w:rPr>
          <w:rFonts w:hint="default" w:ascii="Times New Roman Regular" w:hAnsi="Times New Roman Regular" w:cs="Times New Roman Regular"/>
          <w:szCs w:val="21"/>
        </w:rPr>
      </w:pPr>
      <w:r>
        <w:rPr>
          <w:rFonts w:hint="default" w:ascii="Times New Roman Regular" w:hAnsi="Times New Roman Regular" w:eastAsia="Times New Roman" w:cs="Times New Roman Regular"/>
          <w:b w:val="0"/>
          <w:bCs w:val="0"/>
          <w:i w:val="0"/>
          <w:iCs w:val="0"/>
          <w:caps w:val="0"/>
          <w:color w:val="212121"/>
          <w:spacing w:val="0"/>
          <w:kern w:val="0"/>
          <w:sz w:val="24"/>
          <w:szCs w:val="24"/>
          <w:shd w:val="clear" w:fill="FFFFFF"/>
          <w:lang w:val="en-US" w:eastAsia="zh-CN" w:bidi="ar"/>
        </w:rPr>
        <w:t>Associations between anion gap-to-calcium ratio and mortality in septic patients with diabetes: a retrospective cohort study</w:t>
      </w:r>
    </w:p>
    <w:p>
      <w:pPr>
        <w:spacing w:line="360" w:lineRule="auto"/>
        <w:jc w:val="both"/>
        <w:rPr>
          <w:rFonts w:hint="default" w:ascii="Times New Roman Regular" w:hAnsi="Times New Roman Regular" w:cs="Times New Roman Regular"/>
        </w:rPr>
      </w:pPr>
    </w:p>
    <w:p>
      <w:pPr>
        <w:spacing w:line="360" w:lineRule="auto"/>
        <w:jc w:val="center"/>
        <w:rPr>
          <w:rFonts w:hint="default" w:ascii="Times New Roman Regular" w:hAnsi="Times New Roman Regular" w:cs="Times New Roman Regular"/>
          <w:lang w:val="en-US"/>
        </w:rPr>
      </w:pPr>
      <w:r>
        <w:rPr>
          <w:rFonts w:hint="default" w:ascii="Times New Roman Regular" w:hAnsi="Times New Roman Regular" w:cs="Times New Roman Regular"/>
          <w:lang w:val="en-US"/>
        </w:rPr>
        <w:t>Jing Cai; Lin Pu; Ken Lin; Meng Liu; Nanbing Yuan; Jie Gao; Jingjing Li</w:t>
      </w:r>
    </w:p>
    <w:p>
      <w:pPr>
        <w:spacing w:line="360" w:lineRule="auto"/>
        <w:jc w:val="center"/>
        <w:rPr>
          <w:rFonts w:hint="default" w:ascii="Times New Roman Regular" w:hAnsi="Times New Roman Regular" w:cs="Times New Roman Regular"/>
          <w:lang w:val="en-US"/>
        </w:rPr>
      </w:pPr>
    </w:p>
    <w:p>
      <w:pPr>
        <w:spacing w:line="360" w:lineRule="auto"/>
        <w:jc w:val="center"/>
        <w:rPr>
          <w:rFonts w:hint="default" w:ascii="Times New Roman Regular" w:hAnsi="Times New Roman Regular" w:cs="Times New Roman Regular"/>
          <w:lang w:val="en-US"/>
        </w:rPr>
      </w:pPr>
      <w:r>
        <w:rPr>
          <w:rFonts w:hint="default" w:ascii="Times New Roman Regular" w:hAnsi="Times New Roman Regular" w:cs="Times New Roman Regular"/>
        </w:rPr>
        <w:t>2024-0</w:t>
      </w:r>
      <w:r>
        <w:rPr>
          <w:rFonts w:hint="default" w:ascii="Times New Roman Regular" w:hAnsi="Times New Roman Regular" w:cs="Times New Roman Regular"/>
          <w:lang w:val="en-US"/>
        </w:rPr>
        <w:t>5</w:t>
      </w:r>
      <w:r>
        <w:rPr>
          <w:rFonts w:hint="default" w:ascii="Times New Roman Regular" w:hAnsi="Times New Roman Regular" w:cs="Times New Roman Regular"/>
        </w:rPr>
        <w:t>-</w:t>
      </w:r>
      <w:r>
        <w:rPr>
          <w:rFonts w:hint="default" w:ascii="Times New Roman Regular" w:hAnsi="Times New Roman Regular" w:cs="Times New Roman Regular"/>
          <w:lang w:val="en-US"/>
        </w:rPr>
        <w:t>26</w:t>
      </w:r>
    </w:p>
    <w:p>
      <w:pPr>
        <w:spacing w:line="360" w:lineRule="auto"/>
        <w:rPr>
          <w:rFonts w:hint="default" w:ascii="Times New Roman Regular" w:hAnsi="Times New Roman Regular" w:cs="Times New Roman Regular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  <w:lang w:val="en-US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</w:rPr>
      </w:pPr>
    </w:p>
    <w:p>
      <w:pPr>
        <w:spacing w:line="360" w:lineRule="auto"/>
        <w:rPr>
          <w:rFonts w:hint="default" w:ascii="Times New Roman Regular" w:hAnsi="Times New Roman Regular" w:cs="Times New Roman Regular"/>
        </w:rPr>
      </w:pPr>
    </w:p>
    <w:p>
      <w:pPr>
        <w:spacing w:line="360" w:lineRule="auto"/>
        <w:rPr>
          <w:rFonts w:hint="default" w:ascii="Times New Roman Bold" w:hAnsi="Times New Roman Bold" w:eastAsia="宋体" w:cs="Times New Roman Bold"/>
          <w:b/>
          <w:bCs w:val="0"/>
          <w:sz w:val="24"/>
          <w:szCs w:val="24"/>
        </w:rPr>
      </w:pPr>
      <w:r>
        <w:rPr>
          <w:rFonts w:hint="default" w:ascii="Times New Roman Bold" w:hAnsi="Times New Roman Bold" w:eastAsia="宋体" w:cs="Times New Roman Bold"/>
          <w:b/>
          <w:bCs w:val="0"/>
          <w:sz w:val="24"/>
          <w:szCs w:val="24"/>
        </w:rPr>
        <w:t>Contents</w:t>
      </w:r>
    </w:p>
    <w:p>
      <w:pPr>
        <w:spacing w:line="360" w:lineRule="auto"/>
        <w:jc w:val="left"/>
        <w:rPr>
          <w:rFonts w:hint="default" w:ascii="Times New Roman Regular" w:hAnsi="Times New Roman Regular" w:cs="Times New Roman Regular"/>
          <w:lang w:val="en-US"/>
        </w:rPr>
      </w:pPr>
      <w:r>
        <w:rPr>
          <w:rFonts w:hint="default" w:ascii="Times New Roman Regular" w:hAnsi="Times New Roman Regular" w:cs="Times New Roman Regular"/>
        </w:rPr>
        <w:t>Table S1. Detailed inclusion and exclusion</w:t>
      </w:r>
      <w:r>
        <w:rPr>
          <w:rFonts w:hint="default" w:ascii="Times New Roman Regular" w:hAnsi="Times New Roman Regular" w:cs="Times New Roman Regular"/>
          <w:lang w:val="en-US"/>
        </w:rPr>
        <w:t xml:space="preserve"> criteria ......</w:t>
      </w:r>
      <w:r>
        <w:rPr>
          <w:rFonts w:hint="default" w:ascii="Times New Roman Regular" w:hAnsi="Times New Roman Regular" w:cs="Times New Roman Regular"/>
        </w:rPr>
        <w:t>…………</w:t>
      </w:r>
      <w:r>
        <w:rPr>
          <w:rFonts w:hint="default" w:ascii="Times New Roman Regular" w:hAnsi="Times New Roman Regular" w:cs="Times New Roman Regular"/>
          <w:lang w:val="en-US"/>
        </w:rPr>
        <w:t>..........</w:t>
      </w:r>
      <w:r>
        <w:rPr>
          <w:rFonts w:hint="default" w:ascii="Times New Roman Regular" w:hAnsi="Times New Roman Regular" w:cs="Times New Roman Regular"/>
        </w:rPr>
        <w:t>………</w:t>
      </w:r>
      <w:r>
        <w:rPr>
          <w:rFonts w:hint="default" w:ascii="Times New Roman Regular" w:hAnsi="Times New Roman Regular" w:cs="Times New Roman Regular"/>
          <w:lang w:val="en-US"/>
        </w:rPr>
        <w:t>..........</w:t>
      </w:r>
      <w:r>
        <w:rPr>
          <w:rFonts w:hint="default" w:ascii="Times New Roman Regular" w:hAnsi="Times New Roman Regular" w:cs="Times New Roman Regular"/>
        </w:rPr>
        <w:t>.………</w:t>
      </w:r>
      <w:r>
        <w:rPr>
          <w:rFonts w:hint="default" w:ascii="Times New Roman Regular" w:hAnsi="Times New Roman Regular" w:cs="Times New Roman Regular"/>
          <w:lang w:val="en-US"/>
        </w:rPr>
        <w:t>..3</w:t>
      </w:r>
    </w:p>
    <w:p>
      <w:pPr>
        <w:spacing w:line="360" w:lineRule="auto"/>
        <w:jc w:val="left"/>
        <w:rPr>
          <w:rFonts w:hint="default" w:ascii="Times New Roman Regular" w:hAnsi="Times New Roman Regular" w:cs="Times New Roman Regular"/>
          <w:lang w:val="en-US"/>
        </w:rPr>
      </w:pPr>
      <w:r>
        <w:rPr>
          <w:rFonts w:hint="default" w:ascii="Times New Roman Regular" w:hAnsi="Times New Roman Regular" w:cs="Times New Roman Regular"/>
        </w:rPr>
        <w:t xml:space="preserve">Table S2. The definition of </w:t>
      </w:r>
      <w:r>
        <w:rPr>
          <w:rFonts w:hint="default" w:ascii="Times New Roman Regular" w:hAnsi="Times New Roman Regular" w:cs="Times New Roman Regular"/>
          <w:lang w:val="en-US"/>
        </w:rPr>
        <w:t>Sepsis-3.0</w:t>
      </w:r>
      <w:r>
        <w:rPr>
          <w:rFonts w:hint="default" w:ascii="Times New Roman Regular" w:hAnsi="Times New Roman Regular" w:cs="Times New Roman Regular"/>
        </w:rPr>
        <w:t xml:space="preserve"> and primary outcome…………</w:t>
      </w:r>
      <w:r>
        <w:rPr>
          <w:rFonts w:hint="default" w:ascii="Times New Roman Regular" w:hAnsi="Times New Roman Regular" w:cs="Times New Roman Regular"/>
          <w:lang w:val="en-US"/>
        </w:rPr>
        <w:t>.</w:t>
      </w:r>
      <w:r>
        <w:rPr>
          <w:rFonts w:hint="default" w:ascii="Times New Roman Regular" w:hAnsi="Times New Roman Regular" w:cs="Times New Roman Regular"/>
        </w:rPr>
        <w:t>……..…</w:t>
      </w:r>
      <w:r>
        <w:rPr>
          <w:rFonts w:hint="default" w:ascii="Times New Roman Regular" w:hAnsi="Times New Roman Regular" w:cs="Times New Roman Regular"/>
          <w:lang w:val="en-US"/>
        </w:rPr>
        <w:t>...........</w:t>
      </w:r>
      <w:r>
        <w:rPr>
          <w:rFonts w:hint="default" w:ascii="Times New Roman Regular" w:hAnsi="Times New Roman Regular" w:cs="Times New Roman Regular"/>
        </w:rPr>
        <w:t>…</w:t>
      </w:r>
      <w:r>
        <w:rPr>
          <w:rFonts w:hint="default" w:ascii="Times New Roman Regular" w:hAnsi="Times New Roman Regular" w:cs="Times New Roman Regular"/>
          <w:lang w:val="en-US"/>
        </w:rPr>
        <w:t>....</w:t>
      </w:r>
      <w:r>
        <w:rPr>
          <w:rFonts w:hint="default" w:ascii="Times New Roman Regular" w:hAnsi="Times New Roman Regular" w:cs="Times New Roman Regular"/>
        </w:rPr>
        <w:t>….</w:t>
      </w:r>
      <w:r>
        <w:rPr>
          <w:rFonts w:hint="default" w:ascii="Times New Roman Regular" w:hAnsi="Times New Roman Regular" w:cs="Times New Roman Regular"/>
          <w:lang w:val="en-US"/>
        </w:rPr>
        <w:t>4</w:t>
      </w:r>
    </w:p>
    <w:p>
      <w:pPr>
        <w:spacing w:line="360" w:lineRule="auto"/>
        <w:jc w:val="left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Table S3. Missing values analysis………………………………………………..</w:t>
      </w:r>
      <w:r>
        <w:rPr>
          <w:rFonts w:hint="default" w:ascii="Times New Roman Regular" w:hAnsi="Times New Roman Regular" w:cs="Times New Roman Regular"/>
          <w:lang w:val="en-US"/>
        </w:rPr>
        <w:t>.......</w:t>
      </w:r>
      <w:r>
        <w:rPr>
          <w:rFonts w:hint="default" w:ascii="Times New Roman Regular" w:hAnsi="Times New Roman Regular" w:cs="Times New Roman Regular"/>
        </w:rPr>
        <w:t>……</w:t>
      </w:r>
      <w:r>
        <w:rPr>
          <w:rFonts w:hint="default" w:ascii="Times New Roman Regular" w:hAnsi="Times New Roman Regular" w:cs="Times New Roman Regular"/>
          <w:lang w:val="en-US"/>
        </w:rPr>
        <w:t>........5</w:t>
      </w:r>
    </w:p>
    <w:p>
      <w:pPr>
        <w:spacing w:line="360" w:lineRule="auto"/>
        <w:jc w:val="left"/>
        <w:rPr>
          <w:rFonts w:hint="default" w:ascii="Times New Roman Regular" w:hAnsi="Times New Roman Regular" w:cs="Times New Roman Regular"/>
          <w:lang w:val="en-US"/>
        </w:rPr>
      </w:pPr>
      <w:r>
        <w:rPr>
          <w:rFonts w:hint="default" w:ascii="Times New Roman Regular" w:hAnsi="Times New Roman Regular" w:cs="Times New Roman Regular"/>
        </w:rPr>
        <w:t>Table S4. Propensity score matching ……………………….………………………</w:t>
      </w:r>
      <w:r>
        <w:rPr>
          <w:rFonts w:hint="default" w:ascii="Times New Roman Regular" w:hAnsi="Times New Roman Regular" w:cs="Times New Roman Regular"/>
          <w:lang w:val="en-US"/>
        </w:rPr>
        <w:t>.......</w:t>
      </w:r>
      <w:r>
        <w:rPr>
          <w:rFonts w:hint="default" w:ascii="Times New Roman Regular" w:hAnsi="Times New Roman Regular" w:cs="Times New Roman Regular"/>
        </w:rPr>
        <w:t>…</w:t>
      </w:r>
      <w:r>
        <w:rPr>
          <w:rFonts w:hint="default" w:ascii="Times New Roman Regular" w:hAnsi="Times New Roman Regular" w:cs="Times New Roman Regular"/>
          <w:lang w:val="en-US"/>
        </w:rPr>
        <w:t>........7</w:t>
      </w:r>
    </w:p>
    <w:p>
      <w:pPr>
        <w:spacing w:line="360" w:lineRule="auto"/>
        <w:jc w:val="left"/>
        <w:rPr>
          <w:rFonts w:hint="default" w:ascii="Times New Roman Regular" w:hAnsi="Times New Roman Regular" w:cs="Times New Roman Regular"/>
          <w:lang w:val="en-US"/>
        </w:rPr>
      </w:pPr>
      <w:r>
        <w:rPr>
          <w:rFonts w:hint="default" w:ascii="Times New Roman Regular" w:hAnsi="Times New Roman Regular" w:cs="Times New Roman Regular"/>
        </w:rPr>
        <w:t>Figure S1. Absolute standard difference of covariates ……………..….………</w:t>
      </w:r>
      <w:r>
        <w:rPr>
          <w:rFonts w:hint="default" w:ascii="Times New Roman Regular" w:hAnsi="Times New Roman Regular" w:cs="Times New Roman Regular"/>
          <w:lang w:val="en-US"/>
        </w:rPr>
        <w:t>..........</w:t>
      </w:r>
      <w:r>
        <w:rPr>
          <w:rFonts w:hint="default" w:ascii="Times New Roman Regular" w:hAnsi="Times New Roman Regular" w:cs="Times New Roman Regular"/>
        </w:rPr>
        <w:t>……</w:t>
      </w:r>
      <w:r>
        <w:rPr>
          <w:rFonts w:hint="default" w:ascii="Times New Roman Regular" w:hAnsi="Times New Roman Regular" w:cs="Times New Roman Regular"/>
          <w:lang w:val="en-US"/>
        </w:rPr>
        <w:t>........ 8</w:t>
      </w:r>
    </w:p>
    <w:p>
      <w:pPr>
        <w:spacing w:line="360" w:lineRule="auto"/>
        <w:jc w:val="left"/>
        <w:rPr>
          <w:rFonts w:hint="default" w:ascii="Times New Roman Regular" w:hAnsi="Times New Roman Regular" w:cs="Times New Roman Regular"/>
          <w:lang w:val="en-US"/>
        </w:rPr>
      </w:pPr>
      <w:r>
        <w:rPr>
          <w:rFonts w:hint="default" w:ascii="Times New Roman Regular" w:hAnsi="Times New Roman Regular" w:cs="Times New Roman Regular"/>
        </w:rPr>
        <w:t xml:space="preserve">Figure S2. </w:t>
      </w:r>
      <w:bookmarkStart w:id="0" w:name="_Hlk163922683"/>
      <w:r>
        <w:rPr>
          <w:rFonts w:hint="default" w:ascii="Times New Roman Regular" w:hAnsi="Times New Roman Regular" w:cs="Times New Roman Regular"/>
        </w:rPr>
        <w:t>Standardized differences in covariates</w:t>
      </w:r>
      <w:bookmarkEnd w:id="0"/>
      <w:r>
        <w:rPr>
          <w:rFonts w:hint="default" w:ascii="Times New Roman Regular" w:hAnsi="Times New Roman Regular" w:cs="Times New Roman Regular"/>
        </w:rPr>
        <w:t>…………………………..…</w:t>
      </w:r>
      <w:r>
        <w:rPr>
          <w:rFonts w:hint="default" w:ascii="Times New Roman Regular" w:hAnsi="Times New Roman Regular" w:cs="Times New Roman Regular"/>
          <w:lang w:val="en-US"/>
        </w:rPr>
        <w:t>.........</w:t>
      </w:r>
      <w:r>
        <w:rPr>
          <w:rFonts w:hint="default" w:ascii="Times New Roman Regular" w:hAnsi="Times New Roman Regular" w:cs="Times New Roman Regular"/>
        </w:rPr>
        <w:t>………</w:t>
      </w:r>
      <w:r>
        <w:rPr>
          <w:rFonts w:hint="default" w:ascii="Times New Roman Regular" w:hAnsi="Times New Roman Regular" w:cs="Times New Roman Regular"/>
          <w:lang w:val="en-US"/>
        </w:rPr>
        <w:t>.</w:t>
      </w:r>
      <w:r>
        <w:rPr>
          <w:rFonts w:hint="default" w:ascii="Times New Roman Regular" w:hAnsi="Times New Roman Regular" w:cs="Times New Roman Regular"/>
        </w:rPr>
        <w:t>...</w:t>
      </w:r>
      <w:r>
        <w:rPr>
          <w:rFonts w:hint="default" w:ascii="Times New Roman Regular" w:hAnsi="Times New Roman Regular" w:cs="Times New Roman Regular"/>
          <w:lang w:val="en-US"/>
        </w:rPr>
        <w:t>...9</w:t>
      </w:r>
    </w:p>
    <w:p>
      <w:pPr>
        <w:spacing w:line="360" w:lineRule="auto"/>
        <w:jc w:val="left"/>
        <w:rPr>
          <w:rFonts w:hint="default" w:ascii="Times New Roman Regular" w:hAnsi="Times New Roman Regular" w:cs="Times New Roman Regular"/>
          <w:lang w:val="en-US"/>
        </w:rPr>
      </w:pPr>
      <w:r>
        <w:rPr>
          <w:rFonts w:hint="default" w:ascii="Times New Roman Regular" w:hAnsi="Times New Roman Regular" w:cs="Times New Roman Regular"/>
        </w:rPr>
        <w:t>Table S5. Subgroup analyses………………………………………………….…</w:t>
      </w:r>
      <w:r>
        <w:rPr>
          <w:rFonts w:hint="default" w:ascii="Times New Roman Regular" w:hAnsi="Times New Roman Regular" w:cs="Times New Roman Regular"/>
          <w:lang w:val="en-US"/>
        </w:rPr>
        <w:t>.....</w:t>
      </w:r>
      <w:r>
        <w:rPr>
          <w:rFonts w:hint="default" w:ascii="Times New Roman Regular" w:hAnsi="Times New Roman Regular" w:cs="Times New Roman Regular"/>
        </w:rPr>
        <w:t>..……</w:t>
      </w:r>
      <w:r>
        <w:rPr>
          <w:rFonts w:hint="default" w:ascii="Times New Roman Regular" w:hAnsi="Times New Roman Regular" w:cs="Times New Roman Regular"/>
          <w:lang w:val="en-US"/>
        </w:rPr>
        <w:t>.</w:t>
      </w:r>
      <w:r>
        <w:rPr>
          <w:rFonts w:hint="default" w:ascii="Times New Roman Regular" w:hAnsi="Times New Roman Regular" w:cs="Times New Roman Regular"/>
        </w:rPr>
        <w:t>…</w:t>
      </w:r>
      <w:r>
        <w:rPr>
          <w:rFonts w:hint="default" w:ascii="Times New Roman Regular" w:hAnsi="Times New Roman Regular" w:cs="Times New Roman Regular"/>
          <w:lang w:val="en-US"/>
        </w:rPr>
        <w:t>....10</w:t>
      </w:r>
    </w:p>
    <w:p>
      <w:pPr>
        <w:spacing w:line="360" w:lineRule="auto"/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  <w:bookmarkStart w:id="1" w:name="_Hlk157950859"/>
      <w:bookmarkStart w:id="2" w:name="_Hlk161660438"/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Bold" w:hAnsi="Times New Roman Bold" w:eastAsia="宋体" w:cs="Times New Roman Bold"/>
          <w:b/>
          <w:bCs w:val="0"/>
          <w:sz w:val="20"/>
          <w:szCs w:val="20"/>
        </w:rPr>
      </w:pPr>
      <w:bookmarkStart w:id="3" w:name="_Hlk163922075"/>
      <w:bookmarkStart w:id="4" w:name="_Hlk163922290"/>
      <w:r>
        <w:rPr>
          <w:rFonts w:hint="default" w:ascii="Times New Roman Bold" w:hAnsi="Times New Roman Bold" w:eastAsia="宋体" w:cs="Times New Roman Bold"/>
          <w:b/>
          <w:bCs w:val="0"/>
          <w:sz w:val="20"/>
          <w:szCs w:val="20"/>
        </w:rPr>
        <w:t>Table S1.</w:t>
      </w:r>
      <w:bookmarkEnd w:id="3"/>
      <w:r>
        <w:rPr>
          <w:rFonts w:hint="default" w:ascii="Times New Roman Bold" w:hAnsi="Times New Roman Bold" w:eastAsia="宋体" w:cs="Times New Roman Bold"/>
          <w:b/>
          <w:bCs w:val="0"/>
          <w:sz w:val="20"/>
          <w:szCs w:val="20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sz w:val="20"/>
          <w:szCs w:val="20"/>
        </w:rPr>
        <w:t>Detailed inclusion and exclusion criteria</w:t>
      </w:r>
    </w:p>
    <w:bookmarkEnd w:id="4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sz w:val="20"/>
                <w:szCs w:val="20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sz w:val="20"/>
                <w:szCs w:val="20"/>
              </w:rPr>
              <w:t>Category</w:t>
            </w:r>
          </w:p>
        </w:tc>
        <w:tc>
          <w:tcPr>
            <w:tcW w:w="6316" w:type="dxa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sz w:val="20"/>
                <w:szCs w:val="20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sz w:val="20"/>
                <w:szCs w:val="20"/>
              </w:rPr>
              <w:t>Specific content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0" w:type="dxa"/>
          </w:tcPr>
          <w:p>
            <w:pPr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Inclusion criteria</w:t>
            </w:r>
          </w:p>
        </w:tc>
        <w:tc>
          <w:tcPr>
            <w:tcW w:w="6316" w:type="dxa"/>
          </w:tcPr>
          <w:p>
            <w:pPr>
              <w:jc w:val="both"/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i w:val="0"/>
                <w:iCs w:val="0"/>
                <w:caps w:val="0"/>
                <w:color w:val="212121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  <w:t xml:space="preserve">(1)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patients with the diagnosis of</w:t>
            </w:r>
            <w:r>
              <w:rPr>
                <w:rFonts w:hint="default" w:ascii="Times New Roman Regular" w:hAnsi="Times New Roman Regular" w:eastAsia="Times New Roman" w:cs="Times New Roman Regular"/>
                <w:i w:val="0"/>
                <w:iCs w:val="0"/>
                <w:caps w:val="0"/>
                <w:color w:val="212121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  <w:t xml:space="preserve"> sepsis or septic shock; (2) with diabetes mellitus; (3)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older than 18 years</w:t>
            </w:r>
            <w:r>
              <w:rPr>
                <w:rFonts w:hint="default" w:ascii="Times New Roman Regular" w:hAnsi="Times New Roman Regular" w:eastAsia="Times New Roman" w:cs="Times New Roman Regular"/>
                <w:i w:val="0"/>
                <w:iCs w:val="0"/>
                <w:caps w:val="0"/>
                <w:color w:val="212121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  <w:t xml:space="preserve">; (4)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 xml:space="preserve">admitted directly to the ICU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rFonts w:hint="default"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Exclusion criteria</w:t>
            </w:r>
          </w:p>
        </w:tc>
        <w:tc>
          <w:tcPr>
            <w:tcW w:w="6316" w:type="dxa"/>
          </w:tcPr>
          <w:p>
            <w:pP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 xml:space="preserve">(1) patients who were not admitted to ICU; (2) 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  <w:t>Multiple ICU admissions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; (3)</w:t>
            </w:r>
            <w:r>
              <w:rPr>
                <w:rFonts w:hint="default" w:ascii="Times New Roman Regular" w:hAnsi="Times New Roman Regular" w:cs="Times New Roman Regular"/>
                <w:sz w:val="20"/>
                <w:szCs w:val="20"/>
                <w:lang w:val="en-US"/>
              </w:rPr>
              <w:t>who did not have</w:t>
            </w:r>
            <w:r>
              <w:rPr>
                <w:rFonts w:hint="default" w:ascii="Times New Roman Regular" w:hAnsi="Times New Roman Regular" w:eastAsia="Times New Roman" w:cs="Times New Roman Regular"/>
                <w:i w:val="0"/>
                <w:iCs w:val="0"/>
                <w:caps w:val="0"/>
                <w:color w:val="212121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  <w:t xml:space="preserve"> comprehensive anion gap and blood calcium data.</w:t>
            </w:r>
          </w:p>
        </w:tc>
      </w:tr>
    </w:tbl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autoSpaceDE w:val="0"/>
        <w:autoSpaceDN w:val="0"/>
        <w:adjustRightInd w:val="0"/>
        <w:spacing w:line="400" w:lineRule="atLeast"/>
        <w:jc w:val="left"/>
        <w:rPr>
          <w:rFonts w:hint="default" w:ascii="Times New Roman Bold" w:hAnsi="Times New Roman Bold" w:cs="Times New Roman Bold"/>
          <w:b/>
          <w:bCs/>
          <w:kern w:val="0"/>
          <w:sz w:val="20"/>
          <w:szCs w:val="20"/>
          <w:lang w:val="en-US"/>
        </w:rPr>
      </w:pPr>
      <w:bookmarkStart w:id="5" w:name="_Hlk163922307"/>
      <w:r>
        <w:rPr>
          <w:rFonts w:hint="default" w:ascii="Times New Roman Bold" w:hAnsi="Times New Roman Bold" w:cs="Times New Roman Bold"/>
          <w:b/>
          <w:bCs/>
          <w:kern w:val="0"/>
          <w:sz w:val="20"/>
          <w:szCs w:val="20"/>
          <w:lang w:val="en-US"/>
        </w:rPr>
        <w:t xml:space="preserve">Table S2. </w:t>
      </w:r>
      <w:r>
        <w:rPr>
          <w:rFonts w:hint="default" w:ascii="Times New Roman" w:hAnsi="Times New Roman" w:cs="Times New Roman"/>
          <w:b w:val="0"/>
          <w:bCs w:val="0"/>
          <w:kern w:val="0"/>
          <w:sz w:val="20"/>
          <w:szCs w:val="20"/>
          <w:lang w:val="en-US"/>
        </w:rPr>
        <w:t>The definition of Sepsis-3.0 and primary outcome</w:t>
      </w:r>
    </w:p>
    <w:bookmarkEnd w:id="5"/>
    <w:tbl>
      <w:tblPr>
        <w:tblStyle w:val="6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sz w:val="20"/>
                <w:szCs w:val="20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6521" w:type="dxa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sz w:val="20"/>
                <w:szCs w:val="20"/>
              </w:rPr>
            </w:pPr>
            <w:bookmarkStart w:id="6" w:name="_Hlk163922059"/>
            <w:r>
              <w:rPr>
                <w:rFonts w:hint="default" w:ascii="Times New Roman Bold" w:hAnsi="Times New Roman Bold" w:eastAsia="宋体" w:cs="Times New Roman Bold"/>
                <w:b/>
                <w:bCs/>
                <w:sz w:val="20"/>
                <w:szCs w:val="20"/>
              </w:rPr>
              <w:t>Definition</w:t>
            </w:r>
            <w:bookmarkEnd w:id="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  <w:lang w:val="en-US"/>
              </w:rPr>
              <w:t>Sepsis-3.0</w:t>
            </w:r>
          </w:p>
        </w:tc>
        <w:tc>
          <w:tcPr>
            <w:tcW w:w="6521" w:type="dxa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patients with a diagnosis of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  <w:lang w:val="en-US"/>
              </w:rPr>
              <w:t>sepsis or septic shock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bookmarkStart w:id="7" w:name="_Hlk163922114"/>
            <w:r>
              <w:rPr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  <w:lang w:val="en-US"/>
              </w:rPr>
              <w:t>30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>-day mortality</w:t>
            </w:r>
            <w:bookmarkEnd w:id="7"/>
          </w:p>
        </w:tc>
        <w:tc>
          <w:tcPr>
            <w:tcW w:w="6521" w:type="dxa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  <w:lang w:val="en-US"/>
              </w:rPr>
              <w:t>30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-day mortality was defined as the status of patient survival within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  <w:lang w:val="en-US"/>
              </w:rPr>
              <w:t>30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0"/>
                <w:szCs w:val="20"/>
              </w:rPr>
              <w:t xml:space="preserve"> days from admission</w:t>
            </w:r>
          </w:p>
        </w:tc>
      </w:tr>
    </w:tbl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  <w:sz w:val="20"/>
          <w:szCs w:val="20"/>
        </w:rPr>
      </w:pPr>
      <w:r>
        <w:rPr>
          <w:rFonts w:hint="default" w:ascii="Times New Roman Bold" w:hAnsi="Times New Roman Bold" w:cs="Times New Roman Bold"/>
          <w:b/>
          <w:bCs w:val="0"/>
          <w:sz w:val="20"/>
          <w:szCs w:val="20"/>
        </w:rPr>
        <w:t>Table S</w:t>
      </w:r>
      <w:r>
        <w:rPr>
          <w:rFonts w:hint="default" w:ascii="Times New Roman Bold" w:hAnsi="Times New Roman Bold" w:cs="Times New Roman Bold"/>
          <w:b/>
          <w:bCs w:val="0"/>
          <w:sz w:val="20"/>
          <w:szCs w:val="20"/>
          <w:lang w:val="en-US"/>
        </w:rPr>
        <w:t>3</w:t>
      </w:r>
      <w:r>
        <w:rPr>
          <w:rFonts w:hint="default" w:ascii="Times New Roman Bold" w:hAnsi="Times New Roman Bold" w:cs="Times New Roman Bold"/>
          <w:b/>
          <w:bCs w:val="0"/>
          <w:sz w:val="20"/>
          <w:szCs w:val="20"/>
        </w:rPr>
        <w:t xml:space="preserve">. </w:t>
      </w:r>
      <w:r>
        <w:rPr>
          <w:rFonts w:hint="default" w:ascii="Times New Roman" w:hAnsi="Times New Roman" w:cs="Times New Roman"/>
          <w:b w:val="0"/>
          <w:bCs/>
          <w:sz w:val="20"/>
          <w:szCs w:val="20"/>
        </w:rPr>
        <w:t>Missing values analysis of included variables</w:t>
      </w:r>
      <w:r>
        <w:rPr>
          <w:rFonts w:hint="default" w:ascii="Times New Roman Bold" w:hAnsi="Times New Roman Bold" w:cs="Times New Roman Bold"/>
          <w:b/>
          <w:bCs w:val="0"/>
          <w:sz w:val="20"/>
          <w:szCs w:val="20"/>
        </w:rPr>
        <w:t xml:space="preserve"> </w:t>
      </w:r>
      <w:bookmarkEnd w:id="1"/>
      <w:bookmarkEnd w:id="2"/>
    </w:p>
    <w:tbl>
      <w:tblPr>
        <w:tblStyle w:val="5"/>
        <w:tblpPr w:leftFromText="180" w:rightFromText="180" w:vertAnchor="text" w:horzAnchor="page" w:tblpX="1801" w:tblpY="49"/>
        <w:tblOverlap w:val="never"/>
        <w:tblW w:w="8520" w:type="dxa"/>
        <w:jc w:val="center"/>
        <w:tblBorders>
          <w:top w:val="single" w:color="000000" w:sz="8" w:space="0"/>
          <w:left w:val="single" w:color="auto" w:sz="4" w:space="0"/>
          <w:bottom w:val="single" w:color="000000" w:sz="8" w:space="0"/>
          <w:right w:val="single" w:color="auto" w:sz="4" w:space="0"/>
          <w:insideH w:val="none" w:color="auto" w:sz="0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2"/>
        <w:gridCol w:w="933"/>
        <w:gridCol w:w="905"/>
        <w:gridCol w:w="1106"/>
        <w:gridCol w:w="840"/>
        <w:gridCol w:w="1027"/>
        <w:gridCol w:w="812"/>
        <w:gridCol w:w="845"/>
      </w:tblGrid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852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shd w:val="clear" w:color="FFFFFF" w:fill="D9D9D9"/>
              </w:rPr>
            </w:pPr>
            <w:r>
              <w:rPr>
                <w:rFonts w:hint="default" w:ascii="Times New Roman Bold" w:hAnsi="Times New Roman Bold" w:eastAsia="MingLiU" w:cs="Times New Roman Bold"/>
                <w:b/>
                <w:bCs/>
                <w:color w:val="000000"/>
                <w:kern w:val="0"/>
                <w:szCs w:val="21"/>
              </w:rPr>
              <w:t>Univariate Statistics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2052" w:type="dxa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E0E0E0"/>
            <w:tcMar>
              <w:left w:w="100" w:type="dxa"/>
              <w:right w:w="100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-1040" w:leftChars="0" w:right="60" w:rightChars="0" w:firstLine="1099" w:firstLineChars="611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933" w:type="dxa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F9F9FB"/>
            <w:tcMar>
              <w:left w:w="100" w:type="dxa"/>
              <w:right w:w="100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905" w:type="dxa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F9F9FB"/>
            <w:tcMar>
              <w:left w:w="100" w:type="dxa"/>
              <w:right w:w="100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106" w:type="dxa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F9F9FB"/>
            <w:tcMar>
              <w:left w:w="100" w:type="dxa"/>
              <w:right w:w="100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867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9F9FB"/>
            <w:tcMar>
              <w:left w:w="100" w:type="dxa"/>
              <w:right w:w="100" w:type="dxa"/>
            </w:tcMar>
            <w:vAlign w:val="bottom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657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9F9FB"/>
            <w:tcMar>
              <w:left w:w="100" w:type="dxa"/>
              <w:right w:w="100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</w:rPr>
              <w:t>No. of Extremes</w:t>
            </w: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2052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E0E0E0"/>
            <w:tcMar>
              <w:left w:w="100" w:type="dxa"/>
              <w:right w:w="100" w:type="dxa"/>
            </w:tcMar>
            <w:vAlign w:val="bottom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33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F9F9FB"/>
            <w:tcMar>
              <w:left w:w="100" w:type="dxa"/>
              <w:right w:w="100" w:type="dxa"/>
            </w:tcMar>
            <w:vAlign w:val="bottom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05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F9F9FB"/>
            <w:tcMar>
              <w:left w:w="100" w:type="dxa"/>
              <w:right w:w="100" w:type="dxa"/>
            </w:tcMar>
            <w:vAlign w:val="bottom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06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F9F9FB"/>
            <w:tcMar>
              <w:left w:w="100" w:type="dxa"/>
              <w:right w:w="100" w:type="dxa"/>
            </w:tcMar>
            <w:vAlign w:val="bottom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auto" w:sz="4" w:space="0"/>
              <w:bottom w:val="single" w:color="auto" w:sz="4" w:space="0"/>
            </w:tcBorders>
            <w:shd w:val="clear" w:color="auto" w:fill="F9F9FB"/>
            <w:tcMar>
              <w:left w:w="100" w:type="dxa"/>
              <w:right w:w="100" w:type="dxa"/>
            </w:tcMar>
            <w:vAlign w:val="bottom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</w:rPr>
              <w:t>Count</w:t>
            </w:r>
          </w:p>
        </w:tc>
        <w:tc>
          <w:tcPr>
            <w:tcW w:w="1027" w:type="dxa"/>
            <w:tcBorders>
              <w:top w:val="single" w:color="auto" w:sz="4" w:space="0"/>
              <w:bottom w:val="single" w:color="auto" w:sz="4" w:space="0"/>
            </w:tcBorders>
            <w:shd w:val="clear" w:color="auto" w:fill="F9F9FB"/>
            <w:tcMar>
              <w:left w:w="100" w:type="dxa"/>
              <w:right w:w="100" w:type="dxa"/>
            </w:tcMar>
            <w:vAlign w:val="bottom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812" w:type="dxa"/>
            <w:tcBorders>
              <w:top w:val="single" w:color="auto" w:sz="4" w:space="0"/>
              <w:bottom w:val="single" w:color="auto" w:sz="4" w:space="0"/>
            </w:tcBorders>
            <w:shd w:val="clear" w:color="auto" w:fill="F9F9FB"/>
            <w:tcMar>
              <w:left w:w="100" w:type="dxa"/>
              <w:right w:w="100" w:type="dxa"/>
            </w:tcMar>
            <w:vAlign w:val="bottom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845" w:type="dxa"/>
            <w:tcBorders>
              <w:top w:val="single" w:color="auto" w:sz="4" w:space="0"/>
              <w:bottom w:val="single" w:color="auto" w:sz="4" w:space="0"/>
            </w:tcBorders>
            <w:shd w:val="clear" w:color="auto" w:fill="F9F9FB"/>
            <w:tcMar>
              <w:left w:w="100" w:type="dxa"/>
              <w:right w:w="100" w:type="dxa"/>
            </w:tcMar>
            <w:vAlign w:val="bottom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</w:rPr>
              <w:t>High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B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MI,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kg/m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color w:val="auto"/>
                <w:sz w:val="18"/>
                <w:szCs w:val="18"/>
                <w:vertAlign w:val="superscript"/>
                <w:lang w:val="en-US" w:eastAsia="zh-CN"/>
              </w:rPr>
              <w:t>2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943</w:t>
            </w:r>
          </w:p>
        </w:tc>
        <w:tc>
          <w:tcPr>
            <w:tcW w:w="90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31.3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4</w:t>
            </w:r>
          </w:p>
        </w:tc>
        <w:tc>
          <w:tcPr>
            <w:tcW w:w="1106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9.20462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73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41.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6</w:t>
            </w:r>
          </w:p>
        </w:tc>
        <w:tc>
          <w:tcPr>
            <w:tcW w:w="812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84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37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Lactate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, mmol/l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1308</w:t>
            </w:r>
          </w:p>
        </w:tc>
        <w:tc>
          <w:tcPr>
            <w:tcW w:w="90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3.094</w:t>
            </w:r>
          </w:p>
        </w:tc>
        <w:tc>
          <w:tcPr>
            <w:tcW w:w="1106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2.6670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3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08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19.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1</w:t>
            </w:r>
          </w:p>
        </w:tc>
        <w:tc>
          <w:tcPr>
            <w:tcW w:w="812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4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121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N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eutrophil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1456</w:t>
            </w:r>
          </w:p>
        </w:tc>
        <w:tc>
          <w:tcPr>
            <w:tcW w:w="90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82.999</w:t>
            </w:r>
          </w:p>
        </w:tc>
        <w:tc>
          <w:tcPr>
            <w:tcW w:w="1106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11.0814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10.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812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59</w:t>
            </w:r>
          </w:p>
        </w:tc>
        <w:tc>
          <w:tcPr>
            <w:tcW w:w="84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tcBorders>
              <w:bottom w:val="nil"/>
            </w:tcBorders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INR</w:t>
            </w:r>
          </w:p>
        </w:tc>
        <w:tc>
          <w:tcPr>
            <w:tcW w:w="933" w:type="dxa"/>
            <w:tcBorders>
              <w:bottom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1522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1.748</w:t>
            </w:r>
          </w:p>
        </w:tc>
        <w:tc>
          <w:tcPr>
            <w:tcW w:w="1106" w:type="dxa"/>
            <w:tcBorders>
              <w:bottom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1.4899</w:t>
            </w:r>
          </w:p>
        </w:tc>
        <w:tc>
          <w:tcPr>
            <w:tcW w:w="840" w:type="dxa"/>
            <w:tcBorders>
              <w:bottom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94</w:t>
            </w:r>
          </w:p>
        </w:tc>
        <w:tc>
          <w:tcPr>
            <w:tcW w:w="1027" w:type="dxa"/>
            <w:tcBorders>
              <w:bottom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5.8</w:t>
            </w:r>
          </w:p>
        </w:tc>
        <w:tc>
          <w:tcPr>
            <w:tcW w:w="812" w:type="dxa"/>
            <w:tcBorders>
              <w:bottom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45" w:type="dxa"/>
            <w:tcBorders>
              <w:bottom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179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>Temperature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1584</w:t>
            </w:r>
          </w:p>
        </w:tc>
        <w:tc>
          <w:tcPr>
            <w:tcW w:w="90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36.816</w:t>
            </w:r>
          </w:p>
        </w:tc>
        <w:tc>
          <w:tcPr>
            <w:tcW w:w="1106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.7312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32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2.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812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84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21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H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emoglobin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, g/L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13</w:t>
            </w:r>
          </w:p>
        </w:tc>
        <w:tc>
          <w:tcPr>
            <w:tcW w:w="90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11.647</w:t>
            </w:r>
          </w:p>
        </w:tc>
        <w:tc>
          <w:tcPr>
            <w:tcW w:w="1106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2.0680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.2</w:t>
            </w:r>
          </w:p>
        </w:tc>
        <w:tc>
          <w:tcPr>
            <w:tcW w:w="812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4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12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Platelet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eastAsia="STIX-Regular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>×</w:t>
            </w:r>
            <w:r>
              <w:rPr>
                <w:rFonts w:hint="default" w:ascii="Times New Roman Regular" w:hAnsi="Times New Roman Regular" w:eastAsia="MyriadPro-Ligh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>10</w:t>
            </w:r>
            <w:r>
              <w:rPr>
                <w:rFonts w:hint="default" w:ascii="Times New Roman Regular" w:hAnsi="Times New Roman Regular" w:eastAsia="MyriadPro-Light" w:cs="Times New Roman Regular"/>
                <w:color w:val="000000"/>
                <w:kern w:val="0"/>
                <w:sz w:val="18"/>
                <w:szCs w:val="18"/>
                <w:vertAlign w:val="superscript"/>
                <w:lang w:val="en-US" w:eastAsia="zh-CN" w:bidi="ar"/>
              </w:rPr>
              <w:t>9</w:t>
            </w:r>
            <w:r>
              <w:rPr>
                <w:rFonts w:hint="default" w:ascii="Times New Roman Regular" w:hAnsi="Times New Roman Regular" w:eastAsia="MyriadPro-Ligh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/L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13</w:t>
            </w:r>
          </w:p>
        </w:tc>
        <w:tc>
          <w:tcPr>
            <w:tcW w:w="90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242.47</w:t>
            </w:r>
          </w:p>
        </w:tc>
        <w:tc>
          <w:tcPr>
            <w:tcW w:w="1106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115.202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.2</w:t>
            </w:r>
          </w:p>
        </w:tc>
        <w:tc>
          <w:tcPr>
            <w:tcW w:w="812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4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45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WBC </w:t>
            </w:r>
            <w:r>
              <w:rPr>
                <w:rFonts w:hint="default" w:ascii="Times New Roman Regular" w:hAnsi="Times New Roman Regular" w:eastAsia="STIX-Regular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>×</w:t>
            </w:r>
            <w:r>
              <w:rPr>
                <w:rFonts w:hint="default" w:ascii="Times New Roman Regular" w:hAnsi="Times New Roman Regular" w:eastAsia="MyriadPro-Ligh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>10</w:t>
            </w:r>
            <w:r>
              <w:rPr>
                <w:rFonts w:hint="default" w:ascii="Times New Roman Regular" w:hAnsi="Times New Roman Regular" w:eastAsia="MyriadPro-Light" w:cs="Times New Roman Regular"/>
                <w:color w:val="000000"/>
                <w:kern w:val="0"/>
                <w:sz w:val="18"/>
                <w:szCs w:val="18"/>
                <w:vertAlign w:val="superscript"/>
                <w:lang w:val="en-US" w:eastAsia="zh-CN" w:bidi="ar"/>
              </w:rPr>
              <w:t>9</w:t>
            </w:r>
            <w:r>
              <w:rPr>
                <w:rFonts w:hint="default" w:ascii="Times New Roman Regular" w:hAnsi="Times New Roman Regular" w:eastAsia="MyriadPro-Ligh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/L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13</w:t>
            </w:r>
          </w:p>
        </w:tc>
        <w:tc>
          <w:tcPr>
            <w:tcW w:w="90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14.860</w:t>
            </w:r>
          </w:p>
        </w:tc>
        <w:tc>
          <w:tcPr>
            <w:tcW w:w="1106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10.4860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.2</w:t>
            </w:r>
          </w:p>
        </w:tc>
        <w:tc>
          <w:tcPr>
            <w:tcW w:w="812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4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49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tcBorders>
              <w:bottom w:val="nil"/>
            </w:tcBorders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R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esp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iratory rate</w:t>
            </w:r>
          </w:p>
        </w:tc>
        <w:tc>
          <w:tcPr>
            <w:tcW w:w="933" w:type="dxa"/>
            <w:tcBorders>
              <w:bottom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14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19.77</w:t>
            </w:r>
          </w:p>
        </w:tc>
        <w:tc>
          <w:tcPr>
            <w:tcW w:w="1106" w:type="dxa"/>
            <w:tcBorders>
              <w:bottom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4.204</w:t>
            </w:r>
          </w:p>
        </w:tc>
        <w:tc>
          <w:tcPr>
            <w:tcW w:w="840" w:type="dxa"/>
            <w:tcBorders>
              <w:bottom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1027" w:type="dxa"/>
            <w:tcBorders>
              <w:bottom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.1</w:t>
            </w:r>
          </w:p>
        </w:tc>
        <w:tc>
          <w:tcPr>
            <w:tcW w:w="812" w:type="dxa"/>
            <w:tcBorders>
              <w:bottom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45" w:type="dxa"/>
            <w:tcBorders>
              <w:bottom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41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tcBorders>
              <w:top w:val="nil"/>
            </w:tcBorders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ind w:left="60" w:leftChars="0" w:right="0" w:rightChars="0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p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O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933" w:type="dxa"/>
            <w:tcBorders>
              <w:top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1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6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14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96.8577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2.38388</w:t>
            </w:r>
          </w:p>
        </w:tc>
        <w:tc>
          <w:tcPr>
            <w:tcW w:w="840" w:type="dxa"/>
            <w:tcBorders>
              <w:top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60" w:leftChars="0" w:right="0" w:right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1027" w:type="dxa"/>
            <w:tcBorders>
              <w:top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60" w:leftChars="0" w:right="0" w:right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.1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60" w:leftChars="0" w:right="0" w:right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60" w:leftChars="0" w:right="0" w:right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tcBorders>
              <w:top w:val="nil"/>
            </w:tcBorders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A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ge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, years</w:t>
            </w:r>
          </w:p>
        </w:tc>
        <w:tc>
          <w:tcPr>
            <w:tcW w:w="933" w:type="dxa"/>
            <w:tcBorders>
              <w:top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69.25</w:t>
            </w:r>
          </w:p>
        </w:tc>
        <w:tc>
          <w:tcPr>
            <w:tcW w:w="1106" w:type="dxa"/>
            <w:tcBorders>
              <w:top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13.7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6</w:t>
            </w:r>
          </w:p>
        </w:tc>
        <w:tc>
          <w:tcPr>
            <w:tcW w:w="840" w:type="dxa"/>
            <w:tcBorders>
              <w:top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845" w:type="dxa"/>
            <w:tcBorders>
              <w:top w:val="nil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A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nion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gap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, mmol/L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17.11</w:t>
            </w:r>
          </w:p>
        </w:tc>
        <w:tc>
          <w:tcPr>
            <w:tcW w:w="1106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4.991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84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80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Calcium, mg/dL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8.373</w:t>
            </w:r>
          </w:p>
        </w:tc>
        <w:tc>
          <w:tcPr>
            <w:tcW w:w="1106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.9558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84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30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G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lucos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e, mg/dL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233.66</w:t>
            </w:r>
          </w:p>
        </w:tc>
        <w:tc>
          <w:tcPr>
            <w:tcW w:w="1106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1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32.239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4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74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BUN, mg/dL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37.90</w:t>
            </w:r>
          </w:p>
        </w:tc>
        <w:tc>
          <w:tcPr>
            <w:tcW w:w="1106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25.772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4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89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ind w:left="60" w:leftChars="0" w:right="0" w:rightChars="0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C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reatinine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, mg/dL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1.817</w:t>
            </w:r>
          </w:p>
        </w:tc>
        <w:tc>
          <w:tcPr>
            <w:tcW w:w="1106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1.5447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60" w:leftChars="0" w:right="0" w:right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60" w:leftChars="0" w:right="0" w:right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60" w:leftChars="0" w:right="0" w:right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4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60" w:leftChars="0" w:right="0" w:right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150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ind w:left="60" w:leftChars="0" w:right="0" w:rightChars="0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RDW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15.606</w:t>
            </w:r>
          </w:p>
        </w:tc>
        <w:tc>
          <w:tcPr>
            <w:tcW w:w="1106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2.0934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60" w:leftChars="0" w:right="0" w:right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60" w:leftChars="0" w:right="0" w:right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60" w:leftChars="0" w:right="0" w:right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4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60" w:leftChars="0" w:right="0" w:right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55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ind w:left="60" w:leftChars="0" w:right="0" w:rightChars="0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RBC </w:t>
            </w:r>
            <w:r>
              <w:rPr>
                <w:rFonts w:hint="default" w:ascii="Times New Roman Regular" w:hAnsi="Times New Roman Regular" w:eastAsia="STIX-Regular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>×</w:t>
            </w:r>
            <w:r>
              <w:rPr>
                <w:rFonts w:hint="default" w:ascii="Times New Roman Regular" w:hAnsi="Times New Roman Regular" w:eastAsia="MyriadPro-Ligh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>10</w:t>
            </w:r>
            <w:r>
              <w:rPr>
                <w:rFonts w:hint="default" w:ascii="Times New Roman Regular" w:hAnsi="Times New Roman Regular" w:eastAsia="MyriadPro-Light" w:cs="Times New Roman Regular"/>
                <w:color w:val="000000"/>
                <w:kern w:val="0"/>
                <w:sz w:val="18"/>
                <w:szCs w:val="18"/>
                <w:vertAlign w:val="superscript"/>
                <w:lang w:val="en-US" w:eastAsia="zh-CN" w:bidi="ar"/>
              </w:rPr>
              <w:t>12</w:t>
            </w:r>
            <w:r>
              <w:rPr>
                <w:rFonts w:hint="default" w:ascii="Times New Roman Regular" w:hAnsi="Times New Roman Regular" w:eastAsia="MyriadPro-Light" w:cs="Times New Roman Regular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/L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3.9217</w:t>
            </w:r>
          </w:p>
        </w:tc>
        <w:tc>
          <w:tcPr>
            <w:tcW w:w="1106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.69102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60" w:leftChars="0" w:right="0" w:right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60" w:leftChars="0" w:right="0" w:right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60" w:leftChars="0" w:right="0" w:right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4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60" w:leftChars="0" w:right="0" w:rightChars="0"/>
              <w:jc w:val="center"/>
              <w:rPr>
                <w:rFonts w:hint="default" w:ascii="Times New Roman Regular" w:hAnsi="Times New Roman Regular" w:eastAsia="times" w:cs="Times New Roman Regular"/>
                <w:b w:val="0"/>
                <w:bCs w:val="0"/>
                <w:color w:val="010205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15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H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eart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rat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e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86.10</w:t>
            </w:r>
          </w:p>
        </w:tc>
        <w:tc>
          <w:tcPr>
            <w:tcW w:w="1106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16.037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84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8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Mean blood pressure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75.49</w:t>
            </w:r>
          </w:p>
        </w:tc>
        <w:tc>
          <w:tcPr>
            <w:tcW w:w="1106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10.215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84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44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SOFA score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5.68</w:t>
            </w:r>
          </w:p>
        </w:tc>
        <w:tc>
          <w:tcPr>
            <w:tcW w:w="1106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3.232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4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69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SAPA II score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41.65</w:t>
            </w:r>
          </w:p>
        </w:tc>
        <w:tc>
          <w:tcPr>
            <w:tcW w:w="1106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14.305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45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52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1106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eptic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shock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1106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V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entilation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1106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Coronary artery disease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1106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C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ongestive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heart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failure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1106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V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alvular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disease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1106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H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ypertension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1106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COPD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1106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M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etastatic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cancer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616</w:t>
            </w:r>
          </w:p>
        </w:tc>
        <w:tc>
          <w:tcPr>
            <w:tcW w:w="90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1106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R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enal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failure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1106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L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iver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disease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1106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L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ymphoma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1106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S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olid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tumor</w:t>
            </w:r>
          </w:p>
        </w:tc>
        <w:tc>
          <w:tcPr>
            <w:tcW w:w="933" w:type="dxa"/>
            <w:shd w:val="clear" w:color="auto" w:fill="F9F9FB"/>
            <w:tcMar>
              <w:left w:w="100" w:type="dxa"/>
              <w:right w:w="100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1106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0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5" w:type="dxa"/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052" w:type="dxa"/>
            <w:tcBorders>
              <w:bottom w:val="single" w:color="auto" w:sz="4" w:space="0"/>
            </w:tcBorders>
            <w:shd w:val="clear" w:color="auto" w:fill="E0E0E0"/>
            <w:tcMar>
              <w:left w:w="100" w:type="dxa"/>
              <w:right w:w="100" w:type="dxa"/>
            </w:tcMar>
            <w:vAlign w:val="top"/>
          </w:tcPr>
          <w:p>
            <w:pPr>
              <w:pStyle w:val="17"/>
              <w:keepNext w:val="0"/>
              <w:keepLines w:val="0"/>
              <w:widowControl/>
              <w:suppressLineNumbers w:val="0"/>
              <w:spacing w:line="240" w:lineRule="auto"/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>R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heumatoid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color w:val="auto"/>
                <w:sz w:val="18"/>
                <w:szCs w:val="18"/>
              </w:rPr>
              <w:t>arthritis</w:t>
            </w:r>
          </w:p>
        </w:tc>
        <w:tc>
          <w:tcPr>
            <w:tcW w:w="933" w:type="dxa"/>
            <w:tcBorders>
              <w:bottom w:val="single" w:color="auto" w:sz="4" w:space="0"/>
            </w:tcBorders>
            <w:shd w:val="clear" w:color="auto" w:fill="F9F9FB"/>
            <w:tcMar>
              <w:left w:w="100" w:type="dxa"/>
              <w:right w:w="100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ind w:left="60" w:leftChars="0" w:right="60" w:right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  <w:t>1616</w:t>
            </w:r>
          </w:p>
        </w:tc>
        <w:tc>
          <w:tcPr>
            <w:tcW w:w="905" w:type="dxa"/>
            <w:tcBorders>
              <w:bottom w:val="single" w:color="auto" w:sz="4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1106" w:type="dxa"/>
            <w:tcBorders>
              <w:bottom w:val="single" w:color="auto" w:sz="4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0" w:type="dxa"/>
            <w:tcBorders>
              <w:bottom w:val="single" w:color="auto" w:sz="4" w:space="0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bottom w:val="single" w:color="auto" w:sz="4" w:space="0"/>
            </w:tcBorders>
            <w:shd w:val="clear" w:color="auto" w:fill="F9F9FB"/>
            <w:tcMar>
              <w:left w:w="100" w:type="dxa"/>
              <w:right w:w="100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  <w:lang w:val="en-US"/>
              </w:rPr>
              <w:t>0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.0</w:t>
            </w:r>
          </w:p>
        </w:tc>
        <w:tc>
          <w:tcPr>
            <w:tcW w:w="812" w:type="dxa"/>
            <w:tcBorders>
              <w:bottom w:val="single" w:color="auto" w:sz="4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  <w:tc>
          <w:tcPr>
            <w:tcW w:w="845" w:type="dxa"/>
            <w:tcBorders>
              <w:bottom w:val="single" w:color="auto" w:sz="4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Times New Roman Regular" w:hAnsi="Times New Roman Regular" w:cs="Times New Roman Regular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  <w:t>NA</w:t>
            </w:r>
          </w:p>
        </w:tc>
      </w:tr>
      <w:tr>
        <w:tblPrEx>
          <w:tblBorders>
            <w:top w:val="single" w:color="000000" w:sz="8" w:space="0"/>
            <w:left w:val="single" w:color="auto" w:sz="4" w:space="0"/>
            <w:bottom w:val="single" w:color="000000" w:sz="8" w:space="0"/>
            <w:right w:val="single" w:color="auto" w:sz="4" w:space="0"/>
            <w:insideH w:val="none" w:color="auto" w:sz="0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8520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hint="default" w:ascii="Times New Roman Regular" w:hAnsi="Times New Roman Regular" w:cs="Times New Roman Regular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18"/>
                <w:szCs w:val="18"/>
              </w:rPr>
              <w:t>a. Number of cases outside the range (Mean - 2*SD, Mean + 2*SD).</w:t>
            </w:r>
          </w:p>
        </w:tc>
      </w:tr>
    </w:tbl>
    <w:p>
      <w:pPr>
        <w:autoSpaceDE w:val="0"/>
        <w:autoSpaceDN w:val="0"/>
        <w:adjustRightInd w:val="0"/>
        <w:spacing w:line="480" w:lineRule="auto"/>
        <w:jc w:val="both"/>
        <w:rPr>
          <w:rFonts w:hint="default" w:ascii="Times New Roman" w:hAnsi="Times New Roman" w:eastAsia="宋体" w:cs="Times New Roman"/>
          <w:b w:val="0"/>
          <w:bCs w:val="0"/>
          <w:kern w:val="0"/>
          <w:sz w:val="20"/>
          <w:szCs w:val="20"/>
          <w:lang w:val="en-US"/>
        </w:rPr>
      </w:pPr>
      <w:r>
        <w:rPr>
          <w:rFonts w:hint="default" w:ascii="Times New Roman Bold" w:hAnsi="Times New Roman Bold" w:eastAsia="宋体" w:cs="Times New Roman Bold"/>
          <w:b/>
          <w:bCs/>
          <w:sz w:val="20"/>
          <w:szCs w:val="20"/>
        </w:rPr>
        <w:t>Abbreviations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  <w:t>: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  <w:t>No., number; Std., standard; NA, not applicable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20"/>
          <w:szCs w:val="20"/>
          <w:u w:val="none"/>
          <w:lang w:val="en-US" w:eastAsia="zh-CN" w:bidi="ar"/>
        </w:rPr>
        <w:t xml:space="preserve">BMI, body mass index; INR, international normalized ratio;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  <w:t xml:space="preserve">WBC, white blood cell;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20"/>
          <w:szCs w:val="20"/>
          <w:u w:val="none"/>
          <w:lang w:val="en-US" w:eastAsia="zh-CN" w:bidi="ar"/>
        </w:rPr>
        <w:t>SpO2, blood oxygen saturation; BUN, blood urea nitrogen; RDW, red blood cell distribution width; RBC, red blood cell; SOFA, Sequential Organ Failure Assessment; SPSA II,Simplified Acute Physiology Score; COPD, chronic obstructive pulmonary disease; IQR</w:t>
      </w:r>
      <w:r>
        <w:rPr>
          <w:rFonts w:hint="default" w:ascii="Times New Roman Regular" w:hAnsi="Times New Roman Regular" w:cs="Times New Roman Regular"/>
          <w:sz w:val="20"/>
          <w:szCs w:val="20"/>
        </w:rPr>
        <w:t>,</w: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</w:rPr>
        <w:t>inter</w: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>-</w:t>
      </w:r>
      <w:r>
        <w:rPr>
          <w:rFonts w:hint="default" w:ascii="Times New Roman Regular" w:hAnsi="Times New Roman Regular" w:cs="Times New Roman Regular"/>
          <w:sz w:val="20"/>
          <w:szCs w:val="20"/>
        </w:rPr>
        <w:t>quartile range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20"/>
          <w:szCs w:val="20"/>
          <w:u w:val="none"/>
          <w:lang w:val="en-US" w:eastAsia="zh-CN" w:bidi="ar"/>
        </w:rPr>
        <w:t>.</w:t>
      </w:r>
    </w:p>
    <w:p>
      <w:pPr>
        <w:autoSpaceDE w:val="0"/>
        <w:autoSpaceDN w:val="0"/>
        <w:adjustRightInd w:val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18"/>
          <w:szCs w:val="18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</w:rPr>
      </w:pPr>
      <w:bookmarkStart w:id="8" w:name="_Hlk157950881"/>
      <w:bookmarkStart w:id="9" w:name="_Hlk161660688"/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  <w:lang w:val="en-US"/>
        </w:rPr>
      </w:pPr>
      <w:r>
        <w:rPr>
          <w:rFonts w:hint="default" w:ascii="Times New Roman Regular" w:hAnsi="Times New Roman Regular" w:cs="Times New Roman Regular"/>
          <w:b/>
          <w:bCs/>
          <w:kern w:val="0"/>
          <w:szCs w:val="21"/>
          <w:lang w:val="en-US"/>
        </w:rPr>
        <w:t xml:space="preserve"> </w:t>
      </w: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  <w:lang w:val="en-US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  <w:lang w:val="en-US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  <w:lang w:val="en-US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  <w:lang w:val="en-US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  <w:lang w:val="en-US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  <w:lang w:val="en-US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  <w:lang w:val="en-US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  <w:lang w:val="en-US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  <w:lang w:val="en-US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  <w:lang w:val="en-US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  <w:lang w:val="en-US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  <w:lang w:val="en-US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  <w:lang w:val="en-US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  <w:lang w:val="en-US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  <w:lang w:val="en-US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  <w:lang w:val="en-US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  <w:lang w:val="en-US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  <w:lang w:val="en-US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spacing w:line="400" w:lineRule="atLeast"/>
        <w:jc w:val="left"/>
        <w:rPr>
          <w:rFonts w:hint="default" w:ascii="Times New Roman" w:hAnsi="Times New Roman" w:cs="Times New Roman"/>
          <w:b w:val="0"/>
          <w:bCs w:val="0"/>
          <w:kern w:val="0"/>
          <w:sz w:val="20"/>
          <w:szCs w:val="20"/>
          <w:lang w:val="en-US"/>
        </w:rPr>
      </w:pPr>
      <w:r>
        <w:rPr>
          <w:rFonts w:hint="default" w:ascii="Times New Roman Bold" w:hAnsi="Times New Roman Bold" w:cs="Times New Roman Bold"/>
          <w:b/>
          <w:bCs/>
          <w:kern w:val="0"/>
          <w:sz w:val="20"/>
          <w:szCs w:val="20"/>
          <w:lang w:val="en-US"/>
        </w:rPr>
        <w:t xml:space="preserve">Table S4. </w:t>
      </w:r>
      <w:r>
        <w:rPr>
          <w:rFonts w:hint="default" w:ascii="Times New Roman" w:hAnsi="Times New Roman" w:cs="Times New Roman"/>
          <w:b w:val="0"/>
          <w:bCs w:val="0"/>
          <w:kern w:val="0"/>
          <w:sz w:val="20"/>
          <w:szCs w:val="20"/>
          <w:lang w:val="en-US"/>
        </w:rPr>
        <w:t>Propensity score matching</w:t>
      </w:r>
      <w:bookmarkEnd w:id="8"/>
    </w:p>
    <w:bookmarkEnd w:id="9"/>
    <w:tbl>
      <w:tblPr>
        <w:tblStyle w:val="5"/>
        <w:tblpPr w:leftFromText="180" w:rightFromText="180" w:vertAnchor="text" w:horzAnchor="page" w:tblpX="1767" w:tblpY="556"/>
        <w:tblOverlap w:val="never"/>
        <w:tblW w:w="836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824"/>
        <w:gridCol w:w="877"/>
        <w:gridCol w:w="850"/>
        <w:gridCol w:w="851"/>
        <w:gridCol w:w="850"/>
        <w:gridCol w:w="851"/>
        <w:gridCol w:w="992"/>
        <w:gridCol w:w="85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3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bookmarkStart w:id="10" w:name="_Hlk161660872"/>
            <w:r>
              <w:rPr>
                <w:rFonts w:hint="default" w:ascii="Times New Roman Bold" w:hAnsi="Times New Roman Bold" w:eastAsia="MingLiU" w:cs="Times New Roman Bold"/>
                <w:b/>
                <w:bCs/>
                <w:color w:val="000000"/>
                <w:kern w:val="0"/>
                <w:sz w:val="20"/>
                <w:szCs w:val="20"/>
              </w:rPr>
              <w:t>Sample Sizes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418" w:type="dxa"/>
            <w:vMerge w:val="restart"/>
            <w:tcBorders>
              <w:top w:val="single" w:color="000000" w:sz="16" w:space="0"/>
              <w:left w:val="single" w:color="000000" w:sz="16" w:space="0"/>
              <w:bottom w:val="nil"/>
              <w:right w:val="single" w:color="000000" w:sz="16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  <w:t>Subsamples</w:t>
            </w:r>
          </w:p>
        </w:tc>
        <w:tc>
          <w:tcPr>
            <w:tcW w:w="1701" w:type="dxa"/>
            <w:gridSpan w:val="2"/>
            <w:tcBorders>
              <w:top w:val="single" w:color="000000" w:sz="16" w:space="0"/>
              <w:left w:val="single" w:color="000000" w:sz="16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  <w:t>All</w:t>
            </w:r>
          </w:p>
        </w:tc>
        <w:tc>
          <w:tcPr>
            <w:tcW w:w="1701" w:type="dxa"/>
            <w:gridSpan w:val="2"/>
            <w:tcBorders>
              <w:top w:val="single" w:color="000000" w:sz="16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  <w:t>Matched</w:t>
            </w:r>
          </w:p>
        </w:tc>
        <w:tc>
          <w:tcPr>
            <w:tcW w:w="1701" w:type="dxa"/>
            <w:gridSpan w:val="2"/>
            <w:tcBorders>
              <w:top w:val="single" w:color="000000" w:sz="16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  <w:t>Unmatched</w:t>
            </w:r>
          </w:p>
        </w:tc>
        <w:tc>
          <w:tcPr>
            <w:tcW w:w="1843" w:type="dxa"/>
            <w:gridSpan w:val="2"/>
            <w:tcBorders>
              <w:top w:val="single" w:color="000000" w:sz="16" w:space="0"/>
              <w:right w:val="single" w:color="000000" w:sz="16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  <w:t>Discarded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418" w:type="dxa"/>
            <w:vMerge w:val="continue"/>
            <w:tcBorders>
              <w:top w:val="single" w:color="000000" w:sz="16" w:space="0"/>
              <w:left w:val="single" w:color="000000" w:sz="16" w:space="0"/>
              <w:bottom w:val="nil"/>
              <w:right w:val="single" w:color="000000" w:sz="16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4" w:type="dxa"/>
            <w:tcBorders>
              <w:left w:val="single" w:color="000000" w:sz="16" w:space="0"/>
              <w:bottom w:val="single" w:color="000000" w:sz="16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877" w:type="dxa"/>
            <w:tcBorders>
              <w:bottom w:val="single" w:color="000000" w:sz="16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  <w:t>Treated</w:t>
            </w:r>
          </w:p>
        </w:tc>
        <w:tc>
          <w:tcPr>
            <w:tcW w:w="850" w:type="dxa"/>
            <w:tcBorders>
              <w:bottom w:val="single" w:color="000000" w:sz="16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851" w:type="dxa"/>
            <w:tcBorders>
              <w:bottom w:val="single" w:color="000000" w:sz="16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  <w:t>Treated</w:t>
            </w:r>
          </w:p>
        </w:tc>
        <w:tc>
          <w:tcPr>
            <w:tcW w:w="850" w:type="dxa"/>
            <w:tcBorders>
              <w:bottom w:val="single" w:color="000000" w:sz="16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851" w:type="dxa"/>
            <w:tcBorders>
              <w:bottom w:val="single" w:color="000000" w:sz="16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  <w:t>Treated</w:t>
            </w:r>
          </w:p>
        </w:tc>
        <w:tc>
          <w:tcPr>
            <w:tcW w:w="992" w:type="dxa"/>
            <w:tcBorders>
              <w:bottom w:val="single" w:color="000000" w:sz="16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851" w:type="dxa"/>
            <w:tcBorders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  <w:t>Treated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418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  <w:t>(all cases)</w:t>
            </w:r>
          </w:p>
        </w:tc>
        <w:tc>
          <w:tcPr>
            <w:tcW w:w="824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0"/>
                <w:szCs w:val="20"/>
                <w:lang w:val="en-US"/>
              </w:rPr>
              <w:t>1159</w:t>
            </w:r>
          </w:p>
        </w:tc>
        <w:tc>
          <w:tcPr>
            <w:tcW w:w="877" w:type="dxa"/>
            <w:tcBorders>
              <w:top w:val="single" w:color="000000" w:sz="16" w:space="0"/>
              <w:bottom w:val="single" w:color="000000" w:sz="16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0"/>
                <w:szCs w:val="20"/>
                <w:lang w:val="en-US"/>
              </w:rPr>
              <w:t>457</w:t>
            </w:r>
          </w:p>
        </w:tc>
        <w:tc>
          <w:tcPr>
            <w:tcW w:w="850" w:type="dxa"/>
            <w:tcBorders>
              <w:top w:val="single" w:color="000000" w:sz="16" w:space="0"/>
              <w:bottom w:val="single" w:color="000000" w:sz="16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0"/>
                <w:szCs w:val="20"/>
                <w:lang w:val="en-US"/>
              </w:rPr>
              <w:t>532</w:t>
            </w:r>
          </w:p>
        </w:tc>
        <w:tc>
          <w:tcPr>
            <w:tcW w:w="851" w:type="dxa"/>
            <w:tcBorders>
              <w:top w:val="single" w:color="000000" w:sz="16" w:space="0"/>
              <w:bottom w:val="single" w:color="000000" w:sz="16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0"/>
                <w:szCs w:val="20"/>
                <w:lang w:val="en-US"/>
              </w:rPr>
              <w:t>340</w:t>
            </w:r>
          </w:p>
        </w:tc>
        <w:tc>
          <w:tcPr>
            <w:tcW w:w="850" w:type="dxa"/>
            <w:tcBorders>
              <w:top w:val="single" w:color="000000" w:sz="16" w:space="0"/>
              <w:bottom w:val="single" w:color="000000" w:sz="16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  <w:lang w:val="en-US"/>
              </w:rPr>
              <w:t>627</w:t>
            </w:r>
          </w:p>
        </w:tc>
        <w:tc>
          <w:tcPr>
            <w:tcW w:w="851" w:type="dxa"/>
            <w:tcBorders>
              <w:top w:val="single" w:color="000000" w:sz="16" w:space="0"/>
              <w:bottom w:val="single" w:color="000000" w:sz="16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0"/>
                <w:szCs w:val="20"/>
                <w:lang w:val="en-US"/>
              </w:rPr>
              <w:t>117</w:t>
            </w:r>
          </w:p>
        </w:tc>
        <w:tc>
          <w:tcPr>
            <w:tcW w:w="992" w:type="dxa"/>
            <w:tcBorders>
              <w:top w:val="single" w:color="000000" w:sz="16" w:space="0"/>
              <w:bottom w:val="single" w:color="000000" w:sz="16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364" w:type="dxa"/>
            <w:gridSpan w:val="9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Bold" w:hAnsi="Times New Roman Bold" w:eastAsia="MingLiU" w:cs="Times New Roman Bold"/>
                <w:b/>
                <w:bCs/>
                <w:color w:val="000000"/>
                <w:kern w:val="0"/>
                <w:sz w:val="20"/>
                <w:szCs w:val="20"/>
              </w:rPr>
              <w:t>Relative multivariate imbalance L1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418" w:type="dxa"/>
            <w:vMerge w:val="restart"/>
            <w:tcBorders>
              <w:top w:val="single" w:color="000000" w:sz="16" w:space="0"/>
              <w:left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  <w:t>All cases</w:t>
            </w:r>
          </w:p>
        </w:tc>
        <w:tc>
          <w:tcPr>
            <w:tcW w:w="3402" w:type="dxa"/>
            <w:gridSpan w:val="4"/>
            <w:tcBorders>
              <w:top w:val="single" w:color="000000" w:sz="16" w:space="0"/>
              <w:left w:val="single" w:color="000000" w:sz="16" w:space="0"/>
              <w:bottom w:val="single" w:color="000000" w:sz="16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Before matching</w:t>
            </w:r>
          </w:p>
        </w:tc>
        <w:tc>
          <w:tcPr>
            <w:tcW w:w="3544" w:type="dxa"/>
            <w:gridSpan w:val="4"/>
            <w:tcBorders>
              <w:top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After matching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418" w:type="dxa"/>
            <w:vMerge w:val="continue"/>
            <w:tcBorders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tcBorders>
              <w:top w:val="single" w:color="000000" w:sz="16" w:space="0"/>
              <w:left w:val="single" w:color="000000" w:sz="16" w:space="0"/>
              <w:bottom w:val="single" w:color="000000" w:sz="16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1.000</w:t>
            </w:r>
          </w:p>
        </w:tc>
        <w:tc>
          <w:tcPr>
            <w:tcW w:w="3544" w:type="dxa"/>
            <w:gridSpan w:val="4"/>
            <w:tcBorders>
              <w:top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1.000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364" w:type="dxa"/>
            <w:gridSpan w:val="9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Bold" w:hAnsi="Times New Roman Bold" w:eastAsia="MingLiU" w:cs="Times New Roman Bold"/>
                <w:b/>
                <w:bCs/>
                <w:color w:val="000000"/>
                <w:kern w:val="0"/>
                <w:sz w:val="20"/>
                <w:szCs w:val="20"/>
              </w:rPr>
              <w:t>Overall balance test</w:t>
            </w:r>
            <w:r>
              <w:rPr>
                <w:rFonts w:hint="default" w:ascii="Times New Roman Regular" w:hAnsi="Times New Roman Regular" w:eastAsia="MingLiU" w:cs="Times New Roman Regular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418" w:type="dxa"/>
            <w:vMerge w:val="restart"/>
            <w:tcBorders>
              <w:top w:val="single" w:color="000000" w:sz="16" w:space="0"/>
              <w:left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  <w:t>All cases</w:t>
            </w:r>
          </w:p>
        </w:tc>
        <w:tc>
          <w:tcPr>
            <w:tcW w:w="2551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Chi square</w:t>
            </w:r>
          </w:p>
        </w:tc>
        <w:tc>
          <w:tcPr>
            <w:tcW w:w="1701" w:type="dxa"/>
            <w:gridSpan w:val="2"/>
            <w:tcBorders>
              <w:top w:val="single" w:color="000000" w:sz="16" w:space="0"/>
              <w:bottom w:val="single" w:color="000000" w:sz="16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0"/>
                <w:szCs w:val="20"/>
              </w:rPr>
              <w:t>df</w:t>
            </w:r>
          </w:p>
        </w:tc>
        <w:tc>
          <w:tcPr>
            <w:tcW w:w="2694" w:type="dxa"/>
            <w:gridSpan w:val="3"/>
            <w:tcBorders>
              <w:top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p. value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418" w:type="dxa"/>
            <w:vMerge w:val="continue"/>
            <w:tcBorders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</w:tcBorders>
            <w:shd w:val="clear" w:color="auto" w:fill="FFFFFF"/>
            <w:vAlign w:val="top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leftChars="0" w:right="60" w:rightChars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9.773</w:t>
            </w:r>
          </w:p>
        </w:tc>
        <w:tc>
          <w:tcPr>
            <w:tcW w:w="1701" w:type="dxa"/>
            <w:gridSpan w:val="2"/>
            <w:tcBorders>
              <w:top w:val="single" w:color="000000" w:sz="16" w:space="0"/>
              <w:bottom w:val="single" w:color="000000" w:sz="16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leftChars="0" w:right="60" w:rightChars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0"/>
                <w:szCs w:val="20"/>
              </w:rPr>
              <w:t>25.000</w:t>
            </w:r>
          </w:p>
        </w:tc>
        <w:tc>
          <w:tcPr>
            <w:tcW w:w="2694" w:type="dxa"/>
            <w:gridSpan w:val="3"/>
            <w:tcBorders>
              <w:top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leftChars="0" w:right="60" w:rightChars="0"/>
              <w:jc w:val="center"/>
              <w:rPr>
                <w:rFonts w:hint="default" w:ascii="Times New Roman Regular" w:hAnsi="Times New Roman Regular" w:eastAsia="MingLiU" w:cs="Times New Roman Regular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sz w:val="20"/>
                <w:szCs w:val="20"/>
              </w:rPr>
              <w:t>0.997</w:t>
            </w:r>
          </w:p>
        </w:tc>
      </w:tr>
      <w:bookmarkEnd w:id="10"/>
    </w:tbl>
    <w:p>
      <w:pPr>
        <w:autoSpaceDE w:val="0"/>
        <w:autoSpaceDN w:val="0"/>
        <w:adjustRightInd w:val="0"/>
        <w:spacing w:line="400" w:lineRule="atLeast"/>
        <w:jc w:val="left"/>
        <w:rPr>
          <w:rFonts w:hint="default" w:ascii="Times New Roman Regular" w:hAnsi="Times New Roman Regular" w:cs="Times New Roman Regular"/>
          <w:kern w:val="0"/>
          <w:szCs w:val="21"/>
        </w:rPr>
      </w:pPr>
      <w:bookmarkStart w:id="11" w:name="_Hlk161661274"/>
    </w:p>
    <w:p>
      <w:pPr>
        <w:autoSpaceDE w:val="0"/>
        <w:autoSpaceDN w:val="0"/>
        <w:adjustRightInd w:val="0"/>
        <w:spacing w:line="480" w:lineRule="auto"/>
        <w:jc w:val="left"/>
        <w:rPr>
          <w:rFonts w:hint="default" w:ascii="Times New Roman Regular" w:hAnsi="Times New Roman Regular" w:cs="Times New Roman Regular"/>
          <w:kern w:val="0"/>
          <w:sz w:val="20"/>
          <w:szCs w:val="20"/>
        </w:rPr>
      </w:pPr>
      <w:r>
        <w:rPr>
          <w:rFonts w:hint="default" w:ascii="Times New Roman Regular" w:hAnsi="Times New Roman Regular" w:cs="Times New Roman Regular"/>
          <w:kern w:val="0"/>
          <w:sz w:val="20"/>
          <w:szCs w:val="20"/>
        </w:rPr>
        <w:t xml:space="preserve">Patients treated with 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  <w:t>high ACR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</w:rPr>
        <w:t xml:space="preserve"> and 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  <w:t>low ACR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</w:rPr>
        <w:t xml:space="preserve"> groups were matched in a ratio of 1: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  <w:t>2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</w:rPr>
        <w:t>.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  <w:t xml:space="preserve"> 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</w:rPr>
        <w:t xml:space="preserve">The total number after matching was 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  <w:t>872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</w:rPr>
        <w:t>.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 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</w:rPr>
        <w:t xml:space="preserve">After matching, the number of participants in 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  <w:t>high ACR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</w:rPr>
        <w:t xml:space="preserve"> group was 3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  <w:lang w:val="en-US"/>
        </w:rPr>
        <w:t>40,and the number of low ACR group was 532</w:t>
      </w:r>
      <w:r>
        <w:rPr>
          <w:rFonts w:hint="default" w:ascii="Times New Roman Regular" w:hAnsi="Times New Roman Regular" w:cs="Times New Roman Regular"/>
          <w:kern w:val="0"/>
          <w:sz w:val="20"/>
          <w:szCs w:val="20"/>
        </w:rPr>
        <w:t>.</w:t>
      </w:r>
    </w:p>
    <w:bookmarkEnd w:id="11"/>
    <w:p>
      <w:pPr>
        <w:autoSpaceDE w:val="0"/>
        <w:autoSpaceDN w:val="0"/>
        <w:adjustRightInd w:val="0"/>
        <w:spacing w:line="400" w:lineRule="atLeast"/>
        <w:jc w:val="left"/>
        <w:rPr>
          <w:rFonts w:hint="default" w:ascii="Times New Roman Regular" w:hAnsi="Times New Roman Regular" w:cs="Times New Roman Regular"/>
          <w:kern w:val="0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autoSpaceDE w:val="0"/>
        <w:autoSpaceDN w:val="0"/>
        <w:adjustRightInd w:val="0"/>
        <w:jc w:val="left"/>
        <w:rPr>
          <w:rFonts w:hint="default" w:ascii="Times New Roman Regular" w:hAnsi="Times New Roman Regular" w:cs="Times New Roman Regular"/>
          <w:kern w:val="0"/>
          <w:szCs w:val="21"/>
        </w:rPr>
      </w:pPr>
    </w:p>
    <w:p>
      <w:pPr>
        <w:autoSpaceDE w:val="0"/>
        <w:autoSpaceDN w:val="0"/>
        <w:adjustRightInd w:val="0"/>
        <w:spacing w:line="400" w:lineRule="atLeast"/>
        <w:jc w:val="left"/>
        <w:rPr>
          <w:rFonts w:hint="default" w:ascii="Times New Roman Bold" w:hAnsi="Times New Roman Bold" w:cs="Times New Roman Bold"/>
          <w:b/>
          <w:bCs/>
          <w:kern w:val="0"/>
          <w:sz w:val="20"/>
          <w:szCs w:val="20"/>
          <w:lang w:val="en-US"/>
        </w:rPr>
      </w:pPr>
      <w:bookmarkStart w:id="12" w:name="_Hlk157950909"/>
      <w:r>
        <w:rPr>
          <w:rFonts w:hint="default" w:ascii="Times New Roman Bold" w:hAnsi="Times New Roman Bold" w:cs="Times New Roman Bold"/>
          <w:b/>
          <w:bCs/>
          <w:kern w:val="0"/>
          <w:sz w:val="20"/>
          <w:szCs w:val="20"/>
          <w:lang w:val="en-US"/>
        </w:rPr>
        <w:t>Figure S1.</w:t>
      </w:r>
      <w:r>
        <w:rPr>
          <w:rFonts w:hint="default" w:ascii="Times New Roman" w:hAnsi="Times New Roman" w:cs="Times New Roman"/>
          <w:b w:val="0"/>
          <w:bCs w:val="0"/>
          <w:kern w:val="0"/>
          <w:sz w:val="20"/>
          <w:szCs w:val="20"/>
          <w:lang w:val="en-US"/>
        </w:rPr>
        <w:t xml:space="preserve"> Absolute standard difference of covariates between the high ACR and low ACR </w:t>
      </w:r>
      <w:r>
        <w:rPr>
          <w:rFonts w:hint="default" w:ascii="Times New Roman" w:hAnsi="Times New Roman" w:cs="Times New Roman"/>
          <w:b w:val="0"/>
          <w:bCs w:val="0"/>
          <w:kern w:val="0"/>
          <w:sz w:val="20"/>
          <w:szCs w:val="20"/>
          <w:lang w:val="en-US" w:eastAsia="zh-CN"/>
        </w:rPr>
        <w:t>groups</w:t>
      </w:r>
      <w:r>
        <w:rPr>
          <w:rFonts w:hint="default" w:ascii="Times New Roman" w:hAnsi="Times New Roman" w:cs="Times New Roman"/>
          <w:b w:val="0"/>
          <w:bCs w:val="0"/>
          <w:kern w:val="0"/>
          <w:sz w:val="20"/>
          <w:szCs w:val="20"/>
          <w:lang w:val="en-US"/>
        </w:rPr>
        <w:t>.</w:t>
      </w:r>
    </w:p>
    <w:p>
      <w:pPr>
        <w:jc w:val="left"/>
        <w:rPr>
          <w:rFonts w:hint="default" w:ascii="Times New Roman Regular" w:hAnsi="Times New Roman Regular" w:cs="Times New Roman Regular"/>
          <w:b/>
          <w:bCs/>
        </w:rPr>
      </w:pPr>
      <w:r>
        <w:rPr>
          <w:rFonts w:hint="default" w:ascii="Times New Roman Regular" w:hAnsi="Times New Roman Regular" w:cs="Times New Roman Regular"/>
          <w:b/>
          <w:bCs/>
          <w:lang w:val="en-US"/>
        </w:rPr>
        <w:drawing>
          <wp:inline distT="0" distB="0" distL="114300" distR="114300">
            <wp:extent cx="5274310" cy="4749800"/>
            <wp:effectExtent l="0" t="0" r="8890" b="0"/>
            <wp:docPr id="1" name="图片 1" descr="WechatIM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echatIMG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2"/>
    <w:p>
      <w:pPr>
        <w:autoSpaceDE w:val="0"/>
        <w:autoSpaceDN w:val="0"/>
        <w:adjustRightInd w:val="0"/>
        <w:jc w:val="center"/>
        <w:rPr>
          <w:rFonts w:hint="default" w:ascii="Times New Roman Regular" w:hAnsi="Times New Roman Regular" w:cs="Times New Roman Regular"/>
          <w:kern w:val="0"/>
          <w:sz w:val="24"/>
          <w:szCs w:val="24"/>
        </w:rPr>
      </w:pPr>
    </w:p>
    <w:p>
      <w:pPr>
        <w:spacing w:line="480" w:lineRule="auto"/>
        <w:rPr>
          <w:rFonts w:hint="default" w:ascii="Times New Roman Regular" w:hAnsi="Times New Roman Regular" w:cs="Times New Roman Regular"/>
          <w:sz w:val="20"/>
          <w:szCs w:val="20"/>
        </w:rPr>
      </w:pPr>
      <w:bookmarkStart w:id="13" w:name="_Hlk161661261"/>
      <w:r>
        <w:rPr>
          <w:rFonts w:hint="default" w:ascii="Times New Roman Regular" w:hAnsi="Times New Roman Regular" w:cs="Times New Roman Regular"/>
          <w:sz w:val="20"/>
          <w:szCs w:val="20"/>
        </w:rPr>
        <w:t>In the original cohort, large absolute standard differences (&gt;0.2) were detected in the covariates between the</w: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 xml:space="preserve"> high</w:t>
      </w:r>
      <w:r>
        <w:rPr>
          <w:rFonts w:hint="default" w:ascii="Times New Roman Regular" w:hAnsi="Times New Roman Regular" w:cs="Times New Roman Regular"/>
          <w:sz w:val="20"/>
          <w:szCs w:val="20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>ACR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 and </w: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>low</w:t>
      </w:r>
      <w:r>
        <w:rPr>
          <w:rFonts w:hint="default" w:ascii="Times New Roman Regular" w:hAnsi="Times New Roman Regular" w:cs="Times New Roman Regular"/>
          <w:sz w:val="20"/>
          <w:szCs w:val="20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>ACR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 groups. However, the differences between </w:t>
      </w:r>
      <w:bookmarkStart w:id="14" w:name="_Hlk157939123"/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>high</w:t>
      </w:r>
      <w:r>
        <w:rPr>
          <w:rFonts w:hint="default" w:ascii="Times New Roman Regular" w:hAnsi="Times New Roman Regular" w:cs="Times New Roman Regular"/>
          <w:sz w:val="20"/>
          <w:szCs w:val="20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>ACR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 and </w: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>low</w:t>
      </w:r>
      <w:r>
        <w:rPr>
          <w:rFonts w:hint="default" w:ascii="Times New Roman Regular" w:hAnsi="Times New Roman Regular" w:cs="Times New Roman Regular"/>
          <w:sz w:val="20"/>
          <w:szCs w:val="20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>ACR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 groups</w:t>
      </w:r>
      <w:bookmarkEnd w:id="14"/>
      <w:r>
        <w:rPr>
          <w:rFonts w:hint="default" w:ascii="Times New Roman Regular" w:hAnsi="Times New Roman Regular" w:cs="Times New Roman Regular"/>
          <w:sz w:val="20"/>
          <w:szCs w:val="20"/>
        </w:rPr>
        <w:t xml:space="preserve"> were all reduced to be below 0.2 after balancing with the PSM.</w:t>
      </w:r>
    </w:p>
    <w:bookmarkEnd w:id="13"/>
    <w:p>
      <w:pPr>
        <w:spacing w:line="480" w:lineRule="auto"/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  <w:bookmarkStart w:id="17" w:name="_GoBack"/>
      <w:bookmarkEnd w:id="17"/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  <w:lang w:val="en-US"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  <w:bookmarkStart w:id="15" w:name="_Hlk157950931"/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autoSpaceDE w:val="0"/>
        <w:autoSpaceDN w:val="0"/>
        <w:adjustRightInd w:val="0"/>
        <w:spacing w:line="400" w:lineRule="atLeast"/>
        <w:jc w:val="left"/>
        <w:rPr>
          <w:rFonts w:hint="default" w:ascii="Times New Roman" w:hAnsi="Times New Roman" w:cs="Times New Roman"/>
          <w:b w:val="0"/>
          <w:bCs w:val="0"/>
          <w:kern w:val="0"/>
          <w:szCs w:val="21"/>
          <w:lang w:val="en-US"/>
        </w:rPr>
      </w:pPr>
      <w:r>
        <w:rPr>
          <w:rFonts w:hint="default" w:ascii="Times New Roman Bold" w:hAnsi="Times New Roman Bold" w:cs="Times New Roman Bold"/>
          <w:b/>
          <w:bCs/>
          <w:kern w:val="0"/>
          <w:sz w:val="20"/>
          <w:szCs w:val="20"/>
          <w:lang w:val="en-US"/>
        </w:rPr>
        <w:t xml:space="preserve">Figure S2. </w:t>
      </w:r>
      <w:r>
        <w:rPr>
          <w:rFonts w:hint="default" w:ascii="Times New Roman" w:hAnsi="Times New Roman" w:cs="Times New Roman"/>
          <w:b w:val="0"/>
          <w:bCs w:val="0"/>
          <w:kern w:val="0"/>
          <w:sz w:val="20"/>
          <w:szCs w:val="20"/>
          <w:lang w:val="en-US"/>
        </w:rPr>
        <w:t>Standardized differences in covariates between the original and matching cohort.</w:t>
      </w:r>
    </w:p>
    <w:bookmarkEnd w:id="15"/>
    <w:p>
      <w:pPr>
        <w:autoSpaceDE w:val="0"/>
        <w:autoSpaceDN w:val="0"/>
        <w:adjustRightInd w:val="0"/>
        <w:jc w:val="both"/>
        <w:rPr>
          <w:rFonts w:hint="default" w:ascii="Times New Roman Regular" w:hAnsi="Times New Roman Regular" w:cs="Times New Roman Regular"/>
          <w:kern w:val="0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jc w:val="center"/>
        <w:rPr>
          <w:rFonts w:hint="default" w:ascii="Times New Roman Regular" w:hAnsi="Times New Roman Regular" w:cs="Times New Roman Regular"/>
          <w:b/>
          <w:bCs/>
          <w:lang w:val="en-US"/>
        </w:rPr>
      </w:pPr>
      <w:r>
        <w:rPr>
          <w:rFonts w:hint="default" w:ascii="Times New Roman Regular" w:hAnsi="Times New Roman Regular" w:cs="Times New Roman Regular"/>
          <w:b/>
          <w:bCs/>
          <w:lang w:val="en-US"/>
        </w:rPr>
        <w:drawing>
          <wp:inline distT="0" distB="0" distL="114300" distR="114300">
            <wp:extent cx="3329940" cy="4986020"/>
            <wp:effectExtent l="0" t="0" r="22860" b="17780"/>
            <wp:docPr id="2" name="图片 2" descr="WechatIM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echatIMG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9940" cy="498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  <w:b/>
          <w:bCs/>
        </w:rPr>
      </w:pPr>
    </w:p>
    <w:p>
      <w:pPr>
        <w:rPr>
          <w:rFonts w:hint="default" w:ascii="Times New Roman Regular" w:hAnsi="Times New Roman Regular" w:cs="Times New Roman Regul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 Bold" w:hAnsi="Times New Roman Bold" w:cs="Times New Roman Bold"/>
          <w:b/>
          <w:bCs/>
          <w:sz w:val="18"/>
          <w:szCs w:val="18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sz w:val="20"/>
          <w:szCs w:val="20"/>
          <w:lang w:val="en-US" w:eastAsia="zh-CN"/>
        </w:rPr>
        <w:t xml:space="preserve">Table S5.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Efficacy of ACR lever on 30-day mortality from any cause in septic patients with diabetes mullitus</w:t>
      </w:r>
    </w:p>
    <w:tbl>
      <w:tblPr>
        <w:tblStyle w:val="6"/>
        <w:tblW w:w="979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5"/>
        <w:gridCol w:w="1065"/>
        <w:gridCol w:w="1477"/>
        <w:gridCol w:w="1556"/>
        <w:gridCol w:w="1845"/>
        <w:gridCol w:w="812"/>
        <w:gridCol w:w="10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1955" w:type="dxa"/>
            <w:tcBorders>
              <w:top w:val="single" w:color="auto" w:sz="4" w:space="0"/>
              <w:bottom w:val="single" w:color="auto" w:sz="4" w:space="0"/>
            </w:tcBorders>
            <w:shd w:val="clear" w:color="auto" w:fill="8EAADB" w:themeFill="accent1" w:themeFillTint="99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Subgroup</w:t>
            </w:r>
          </w:p>
        </w:tc>
        <w:tc>
          <w:tcPr>
            <w:tcW w:w="1065" w:type="dxa"/>
            <w:tcBorders>
              <w:top w:val="single" w:color="auto" w:sz="4" w:space="0"/>
              <w:bottom w:val="single" w:color="auto" w:sz="4" w:space="0"/>
            </w:tcBorders>
            <w:shd w:val="clear" w:color="auto" w:fill="8EAADB" w:themeFill="accent1" w:themeFillTint="9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default" w:ascii="Times New Roman Bold" w:hAnsi="Times New Roman Bold" w:eastAsia="宋体" w:cs="Times New Roman Bold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Number of patients</w:t>
            </w:r>
          </w:p>
        </w:tc>
        <w:tc>
          <w:tcPr>
            <w:tcW w:w="1477" w:type="dxa"/>
            <w:tcBorders>
              <w:top w:val="single" w:color="auto" w:sz="4" w:space="0"/>
              <w:bottom w:val="single" w:color="auto" w:sz="4" w:space="0"/>
            </w:tcBorders>
            <w:shd w:val="clear" w:color="auto" w:fill="8EAADB" w:themeFill="accent1" w:themeFillTint="99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High ACR group, N%</w:t>
            </w:r>
          </w:p>
        </w:tc>
        <w:tc>
          <w:tcPr>
            <w:tcW w:w="1556" w:type="dxa"/>
            <w:tcBorders>
              <w:top w:val="single" w:color="auto" w:sz="4" w:space="0"/>
              <w:bottom w:val="single" w:color="auto" w:sz="4" w:space="0"/>
            </w:tcBorders>
            <w:shd w:val="clear" w:color="auto" w:fill="8EAADB" w:themeFill="accent1" w:themeFillTint="99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Low ACR  group, N%</w:t>
            </w:r>
          </w:p>
        </w:tc>
        <w:tc>
          <w:tcPr>
            <w:tcW w:w="1845" w:type="dxa"/>
            <w:tcBorders>
              <w:top w:val="single" w:color="auto" w:sz="4" w:space="0"/>
              <w:bottom w:val="single" w:color="auto" w:sz="4" w:space="0"/>
            </w:tcBorders>
            <w:shd w:val="clear" w:color="auto" w:fill="8EAADB" w:themeFill="accent1" w:themeFillTint="99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OR (95% CI)</w:t>
            </w:r>
          </w:p>
        </w:tc>
        <w:tc>
          <w:tcPr>
            <w:tcW w:w="812" w:type="dxa"/>
            <w:tcBorders>
              <w:top w:val="single" w:color="auto" w:sz="4" w:space="0"/>
              <w:bottom w:val="single" w:color="auto" w:sz="4" w:space="0"/>
            </w:tcBorders>
            <w:shd w:val="clear" w:color="auto" w:fill="8EAADB" w:themeFill="accent1" w:themeFillTint="99"/>
            <w:vAlign w:val="center"/>
          </w:tcPr>
          <w:p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P-value</w:t>
            </w:r>
          </w:p>
        </w:tc>
        <w:tc>
          <w:tcPr>
            <w:tcW w:w="1084" w:type="dxa"/>
            <w:tcBorders>
              <w:top w:val="single" w:color="auto" w:sz="4" w:space="0"/>
              <w:bottom w:val="single" w:color="auto" w:sz="4" w:space="0"/>
            </w:tcBorders>
            <w:shd w:val="clear" w:color="auto" w:fill="8EAADB" w:themeFill="accent1" w:themeFillTint="99"/>
            <w:vAlign w:val="center"/>
          </w:tcPr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Interaction</w:t>
            </w:r>
          </w:p>
          <w:p>
            <w:pPr>
              <w:jc w:val="center"/>
              <w:rPr>
                <w:rFonts w:hint="default" w:ascii="Times New Roman Bold" w:hAnsi="Times New Roman Bold" w:eastAsia="宋体" w:cs="Times New Roman Bold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tcBorders>
              <w:top w:val="single" w:color="auto" w:sz="4" w:space="0"/>
            </w:tcBorders>
          </w:tcPr>
          <w:p>
            <w:pPr>
              <w:jc w:val="both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Age of patients</w:t>
            </w:r>
          </w:p>
        </w:tc>
        <w:tc>
          <w:tcPr>
            <w:tcW w:w="1065" w:type="dxa"/>
            <w:tcBorders>
              <w:top w:val="single" w:color="auto" w:sz="4" w:space="0"/>
            </w:tcBorders>
          </w:tcPr>
          <w:p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84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DAE3F3" w:themeFill="accent1" w:themeFillTint="32"/>
          </w:tcPr>
          <w:p>
            <w:pPr>
              <w:ind w:left="0" w:leftChars="0" w:firstLine="262" w:firstLineChars="146"/>
              <w:jc w:val="left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≤ 65 years</w:t>
            </w:r>
          </w:p>
        </w:tc>
        <w:tc>
          <w:tcPr>
            <w:tcW w:w="1065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1041</w:t>
            </w:r>
          </w:p>
        </w:tc>
        <w:tc>
          <w:tcPr>
            <w:tcW w:w="1477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106/285 (37.1%)</w:t>
            </w:r>
          </w:p>
        </w:tc>
        <w:tc>
          <w:tcPr>
            <w:tcW w:w="1556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111/756 (14.6%)</w:t>
            </w:r>
          </w:p>
        </w:tc>
        <w:tc>
          <w:tcPr>
            <w:tcW w:w="1845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2.477 (1.929, 3.181)</w:t>
            </w:r>
          </w:p>
        </w:tc>
        <w:tc>
          <w:tcPr>
            <w:tcW w:w="812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0.000</w:t>
            </w:r>
          </w:p>
        </w:tc>
        <w:tc>
          <w:tcPr>
            <w:tcW w:w="1084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</w:tcPr>
          <w:p>
            <w:pPr>
              <w:ind w:left="0" w:leftChars="0" w:firstLine="262" w:firstLineChars="146"/>
              <w:jc w:val="left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PingFang SC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&gt; </w:t>
            </w: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65 years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575</w:t>
            </w:r>
          </w:p>
        </w:tc>
        <w:tc>
          <w:tcPr>
            <w:tcW w:w="1477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38/172 (22.0%)</w:t>
            </w:r>
          </w:p>
        </w:tc>
        <w:tc>
          <w:tcPr>
            <w:tcW w:w="1556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28/403 (6.9%)</w:t>
            </w:r>
          </w:p>
        </w:tc>
        <w:tc>
          <w:tcPr>
            <w:tcW w:w="1845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1.917 (1.424, 2.583)</w:t>
            </w:r>
          </w:p>
        </w:tc>
        <w:tc>
          <w:tcPr>
            <w:tcW w:w="812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0.000</w:t>
            </w:r>
          </w:p>
        </w:tc>
        <w:tc>
          <w:tcPr>
            <w:tcW w:w="1084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DAE3F3" w:themeFill="accent1" w:themeFillTint="3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Gender</w:t>
            </w:r>
          </w:p>
        </w:tc>
        <w:tc>
          <w:tcPr>
            <w:tcW w:w="1065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7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556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845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84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62" w:firstLineChars="146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Male</w:t>
            </w:r>
          </w:p>
        </w:tc>
        <w:tc>
          <w:tcPr>
            <w:tcW w:w="1065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924</w:t>
            </w:r>
          </w:p>
        </w:tc>
        <w:tc>
          <w:tcPr>
            <w:tcW w:w="1477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86/264 (32.5%)</w:t>
            </w:r>
          </w:p>
        </w:tc>
        <w:tc>
          <w:tcPr>
            <w:tcW w:w="1556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71/660 (10.7%)</w:t>
            </w:r>
          </w:p>
        </w:tc>
        <w:tc>
          <w:tcPr>
            <w:tcW w:w="1845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2.334 (1.816, 3.000)</w:t>
            </w:r>
          </w:p>
        </w:tc>
        <w:tc>
          <w:tcPr>
            <w:tcW w:w="812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0.000</w:t>
            </w:r>
          </w:p>
        </w:tc>
        <w:tc>
          <w:tcPr>
            <w:tcW w:w="1084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DAE3F3" w:themeFill="accent1" w:themeFillTint="32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62" w:firstLineChars="146"/>
              <w:jc w:val="left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Female</w:t>
            </w:r>
          </w:p>
        </w:tc>
        <w:tc>
          <w:tcPr>
            <w:tcW w:w="1065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692</w:t>
            </w:r>
          </w:p>
        </w:tc>
        <w:tc>
          <w:tcPr>
            <w:tcW w:w="1477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58/193 (30.0%)</w:t>
            </w:r>
          </w:p>
        </w:tc>
        <w:tc>
          <w:tcPr>
            <w:tcW w:w="1556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68/499 (13.6%)</w:t>
            </w:r>
          </w:p>
        </w:tc>
        <w:tc>
          <w:tcPr>
            <w:tcW w:w="1845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1.862 (1.405, 2.467)</w:t>
            </w:r>
          </w:p>
        </w:tc>
        <w:tc>
          <w:tcPr>
            <w:tcW w:w="812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0.000</w:t>
            </w:r>
          </w:p>
        </w:tc>
        <w:tc>
          <w:tcPr>
            <w:tcW w:w="1084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 Regular" w:hAnsi="Times New Roman Regular" w:cs="Times New Roman Regular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  <w:lang w:val="en-US" w:eastAsia="zh-CN"/>
              </w:rPr>
              <w:t>Ventilation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7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56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2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84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DAE3F3" w:themeFill="accent1" w:themeFillTint="32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62" w:firstLineChars="146"/>
              <w:jc w:val="left"/>
              <w:textAlignment w:val="top"/>
              <w:rPr>
                <w:rFonts w:hint="default" w:ascii="Times New Roman Regular" w:hAnsi="Times New Roman Regular" w:cs="Times New Roman Regular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18"/>
                <w:szCs w:val="18"/>
                <w:lang w:val="en-US" w:eastAsia="zh-CN"/>
              </w:rPr>
              <w:t>No</w:t>
            </w:r>
          </w:p>
        </w:tc>
        <w:tc>
          <w:tcPr>
            <w:tcW w:w="1065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860</w:t>
            </w:r>
          </w:p>
        </w:tc>
        <w:tc>
          <w:tcPr>
            <w:tcW w:w="1477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44/241 (18.2%)</w:t>
            </w:r>
          </w:p>
        </w:tc>
        <w:tc>
          <w:tcPr>
            <w:tcW w:w="1556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59/619 (9.5%)</w:t>
            </w:r>
          </w:p>
        </w:tc>
        <w:tc>
          <w:tcPr>
            <w:tcW w:w="1845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2.120 (1.389, 3.236)</w:t>
            </w:r>
          </w:p>
        </w:tc>
        <w:tc>
          <w:tcPr>
            <w:tcW w:w="812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0.000</w:t>
            </w:r>
          </w:p>
        </w:tc>
        <w:tc>
          <w:tcPr>
            <w:tcW w:w="1084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62" w:firstLineChars="146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756</w:t>
            </w:r>
          </w:p>
        </w:tc>
        <w:tc>
          <w:tcPr>
            <w:tcW w:w="1477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100/216 (40.2%)</w:t>
            </w:r>
          </w:p>
        </w:tc>
        <w:tc>
          <w:tcPr>
            <w:tcW w:w="1556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80/540 (14.8%)</w:t>
            </w:r>
          </w:p>
        </w:tc>
        <w:tc>
          <w:tcPr>
            <w:tcW w:w="1845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1.787 (1.228, 2.599)</w:t>
            </w:r>
          </w:p>
        </w:tc>
        <w:tc>
          <w:tcPr>
            <w:tcW w:w="812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0.002</w:t>
            </w:r>
          </w:p>
        </w:tc>
        <w:tc>
          <w:tcPr>
            <w:tcW w:w="1084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DAE3F3" w:themeFill="accent1" w:themeFillTint="3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Septic shock</w:t>
            </w:r>
          </w:p>
        </w:tc>
        <w:tc>
          <w:tcPr>
            <w:tcW w:w="1065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7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56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84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62" w:firstLineChars="146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No</w:t>
            </w:r>
          </w:p>
        </w:tc>
        <w:tc>
          <w:tcPr>
            <w:tcW w:w="1065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1375</w:t>
            </w:r>
          </w:p>
        </w:tc>
        <w:tc>
          <w:tcPr>
            <w:tcW w:w="1477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94/340 (27.6%)</w:t>
            </w:r>
          </w:p>
        </w:tc>
        <w:tc>
          <w:tcPr>
            <w:tcW w:w="1556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114/1035 (11.0%)</w:t>
            </w:r>
          </w:p>
        </w:tc>
        <w:tc>
          <w:tcPr>
            <w:tcW w:w="1845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2.020 (1.621, 2.518)</w:t>
            </w:r>
          </w:p>
        </w:tc>
        <w:tc>
          <w:tcPr>
            <w:tcW w:w="812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0.000</w:t>
            </w:r>
          </w:p>
        </w:tc>
        <w:tc>
          <w:tcPr>
            <w:tcW w:w="1084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DAE3F3" w:themeFill="accent1" w:themeFillTint="32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62" w:firstLineChars="146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Yes</w:t>
            </w:r>
          </w:p>
        </w:tc>
        <w:tc>
          <w:tcPr>
            <w:tcW w:w="1065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241</w:t>
            </w:r>
          </w:p>
        </w:tc>
        <w:tc>
          <w:tcPr>
            <w:tcW w:w="1477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50/117 (42.7%)</w:t>
            </w:r>
          </w:p>
        </w:tc>
        <w:tc>
          <w:tcPr>
            <w:tcW w:w="1556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25/124 (20.1%)</w:t>
            </w:r>
          </w:p>
        </w:tc>
        <w:tc>
          <w:tcPr>
            <w:tcW w:w="1845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2.955 (1.669, 5.234)</w:t>
            </w:r>
          </w:p>
        </w:tc>
        <w:tc>
          <w:tcPr>
            <w:tcW w:w="812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0.000</w:t>
            </w:r>
          </w:p>
        </w:tc>
        <w:tc>
          <w:tcPr>
            <w:tcW w:w="1084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Coronary artery disease</w:t>
            </w:r>
          </w:p>
        </w:tc>
        <w:tc>
          <w:tcPr>
            <w:tcW w:w="1065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7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56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84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DAE3F3" w:themeFill="accent1" w:themeFillTint="32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62" w:firstLineChars="146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No</w:t>
            </w:r>
          </w:p>
        </w:tc>
        <w:tc>
          <w:tcPr>
            <w:tcW w:w="1065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1083</w:t>
            </w:r>
          </w:p>
        </w:tc>
        <w:tc>
          <w:tcPr>
            <w:tcW w:w="1477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101/321 (31.4%)</w:t>
            </w:r>
          </w:p>
        </w:tc>
        <w:tc>
          <w:tcPr>
            <w:tcW w:w="1556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101/762 (13.2%)</w:t>
            </w:r>
          </w:p>
        </w:tc>
        <w:tc>
          <w:tcPr>
            <w:tcW w:w="1845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3.005 (2.192, 4.118)</w:t>
            </w:r>
          </w:p>
        </w:tc>
        <w:tc>
          <w:tcPr>
            <w:tcW w:w="812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0.000</w:t>
            </w:r>
          </w:p>
        </w:tc>
        <w:tc>
          <w:tcPr>
            <w:tcW w:w="1084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62" w:firstLineChars="146"/>
              <w:jc w:val="left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Yes</w:t>
            </w:r>
          </w:p>
        </w:tc>
        <w:tc>
          <w:tcPr>
            <w:tcW w:w="1065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533</w:t>
            </w:r>
          </w:p>
        </w:tc>
        <w:tc>
          <w:tcPr>
            <w:tcW w:w="1477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43/136 (31.6%)</w:t>
            </w:r>
          </w:p>
        </w:tc>
        <w:tc>
          <w:tcPr>
            <w:tcW w:w="1556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38/397 (9.5%)</w:t>
            </w:r>
          </w:p>
        </w:tc>
        <w:tc>
          <w:tcPr>
            <w:tcW w:w="1845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1.954 (1.579, 2.419)</w:t>
            </w:r>
          </w:p>
        </w:tc>
        <w:tc>
          <w:tcPr>
            <w:tcW w:w="812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0.000</w:t>
            </w:r>
          </w:p>
        </w:tc>
        <w:tc>
          <w:tcPr>
            <w:tcW w:w="1084" w:type="dxa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DAE3F3" w:themeFill="accent1" w:themeFillTint="3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Congestive heart failure</w:t>
            </w:r>
          </w:p>
        </w:tc>
        <w:tc>
          <w:tcPr>
            <w:tcW w:w="1065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7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56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84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62" w:firstLineChars="146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No</w:t>
            </w:r>
          </w:p>
        </w:tc>
        <w:tc>
          <w:tcPr>
            <w:tcW w:w="1065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1220</w:t>
            </w:r>
          </w:p>
        </w:tc>
        <w:tc>
          <w:tcPr>
            <w:tcW w:w="1477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105/340 (30.8%)</w:t>
            </w:r>
          </w:p>
        </w:tc>
        <w:tc>
          <w:tcPr>
            <w:tcW w:w="1556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94/880 (10.6%)</w:t>
            </w:r>
          </w:p>
        </w:tc>
        <w:tc>
          <w:tcPr>
            <w:tcW w:w="1845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2.316 (1.862, 2.882)</w:t>
            </w:r>
          </w:p>
        </w:tc>
        <w:tc>
          <w:tcPr>
            <w:tcW w:w="812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0.000</w:t>
            </w:r>
          </w:p>
        </w:tc>
        <w:tc>
          <w:tcPr>
            <w:tcW w:w="1084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DAE3F3" w:themeFill="accent1" w:themeFillTint="32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62" w:firstLineChars="146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Yes</w:t>
            </w:r>
          </w:p>
        </w:tc>
        <w:tc>
          <w:tcPr>
            <w:tcW w:w="1065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396</w:t>
            </w:r>
          </w:p>
        </w:tc>
        <w:tc>
          <w:tcPr>
            <w:tcW w:w="1477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39/117 (33.3%)</w:t>
            </w:r>
          </w:p>
        </w:tc>
        <w:tc>
          <w:tcPr>
            <w:tcW w:w="1556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45/279 (16.1%)</w:t>
            </w:r>
          </w:p>
        </w:tc>
        <w:tc>
          <w:tcPr>
            <w:tcW w:w="1845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1.632 (1.120, 2.377)</w:t>
            </w:r>
          </w:p>
        </w:tc>
        <w:tc>
          <w:tcPr>
            <w:tcW w:w="812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0.011</w:t>
            </w:r>
          </w:p>
        </w:tc>
        <w:tc>
          <w:tcPr>
            <w:tcW w:w="1084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065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7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56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84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DAE3F3" w:themeFill="accent1" w:themeFillTint="32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62" w:firstLineChars="146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No</w:t>
            </w:r>
          </w:p>
        </w:tc>
        <w:tc>
          <w:tcPr>
            <w:tcW w:w="1065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1184</w:t>
            </w:r>
          </w:p>
        </w:tc>
        <w:tc>
          <w:tcPr>
            <w:tcW w:w="1477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91/295 (30.8%)</w:t>
            </w:r>
          </w:p>
        </w:tc>
        <w:tc>
          <w:tcPr>
            <w:tcW w:w="1556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107/889 (12%)</w:t>
            </w:r>
          </w:p>
        </w:tc>
        <w:tc>
          <w:tcPr>
            <w:tcW w:w="1845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2.072 (1.672, 2.567)</w:t>
            </w:r>
          </w:p>
        </w:tc>
        <w:tc>
          <w:tcPr>
            <w:tcW w:w="812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0.000</w:t>
            </w:r>
          </w:p>
        </w:tc>
        <w:tc>
          <w:tcPr>
            <w:tcW w:w="1084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62" w:firstLineChars="146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65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432</w:t>
            </w:r>
          </w:p>
        </w:tc>
        <w:tc>
          <w:tcPr>
            <w:tcW w:w="1477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53/162 (32.7%)</w:t>
            </w:r>
          </w:p>
        </w:tc>
        <w:tc>
          <w:tcPr>
            <w:tcW w:w="1556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32/270 (11.8%)</w:t>
            </w:r>
          </w:p>
        </w:tc>
        <w:tc>
          <w:tcPr>
            <w:tcW w:w="1845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2.208 (1.505, 3.240)</w:t>
            </w:r>
          </w:p>
        </w:tc>
        <w:tc>
          <w:tcPr>
            <w:tcW w:w="812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0.000</w:t>
            </w:r>
          </w:p>
        </w:tc>
        <w:tc>
          <w:tcPr>
            <w:tcW w:w="1084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DAE3F3" w:themeFill="accent1" w:themeFillTint="3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COPD</w:t>
            </w:r>
          </w:p>
        </w:tc>
        <w:tc>
          <w:tcPr>
            <w:tcW w:w="1065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7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56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84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62" w:firstLineChars="146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No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1272</w:t>
            </w:r>
          </w:p>
        </w:tc>
        <w:tc>
          <w:tcPr>
            <w:tcW w:w="1477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112/370 (30.2%)</w:t>
            </w:r>
          </w:p>
        </w:tc>
        <w:tc>
          <w:tcPr>
            <w:tcW w:w="1556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105/902 (11.6%)</w:t>
            </w:r>
          </w:p>
        </w:tc>
        <w:tc>
          <w:tcPr>
            <w:tcW w:w="1845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2.033 (1.655, 2.497)</w:t>
            </w:r>
          </w:p>
        </w:tc>
        <w:tc>
          <w:tcPr>
            <w:tcW w:w="812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0.000</w:t>
            </w:r>
          </w:p>
        </w:tc>
        <w:tc>
          <w:tcPr>
            <w:tcW w:w="1084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DAE3F3" w:themeFill="accent1" w:themeFillTint="32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62" w:firstLineChars="146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65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344</w:t>
            </w:r>
          </w:p>
        </w:tc>
        <w:tc>
          <w:tcPr>
            <w:tcW w:w="1477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32/87 (36.7%)</w:t>
            </w:r>
          </w:p>
        </w:tc>
        <w:tc>
          <w:tcPr>
            <w:tcW w:w="1556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34/257 (13.2%)</w:t>
            </w:r>
          </w:p>
        </w:tc>
        <w:tc>
          <w:tcPr>
            <w:tcW w:w="1845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2.851 (1.756, 4.630)</w:t>
            </w:r>
          </w:p>
        </w:tc>
        <w:tc>
          <w:tcPr>
            <w:tcW w:w="812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0.000</w:t>
            </w:r>
          </w:p>
        </w:tc>
        <w:tc>
          <w:tcPr>
            <w:tcW w:w="1084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Renal failure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7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56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2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84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DAE3F3" w:themeFill="accent1" w:themeFillTint="32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62" w:firstLineChars="146"/>
              <w:jc w:val="left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65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1139</w:t>
            </w:r>
          </w:p>
        </w:tc>
        <w:tc>
          <w:tcPr>
            <w:tcW w:w="1477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87/283 (30.7%)</w:t>
            </w:r>
          </w:p>
        </w:tc>
        <w:tc>
          <w:tcPr>
            <w:tcW w:w="1556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105/856 (12.2%)</w:t>
            </w:r>
          </w:p>
        </w:tc>
        <w:tc>
          <w:tcPr>
            <w:tcW w:w="1845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2.043 (1.645, 2.536)</w:t>
            </w:r>
          </w:p>
        </w:tc>
        <w:tc>
          <w:tcPr>
            <w:tcW w:w="812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0.000</w:t>
            </w:r>
          </w:p>
        </w:tc>
        <w:tc>
          <w:tcPr>
            <w:tcW w:w="1084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62" w:firstLineChars="146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477</w:t>
            </w:r>
          </w:p>
        </w:tc>
        <w:tc>
          <w:tcPr>
            <w:tcW w:w="1477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57/174 (32.7%)</w:t>
            </w:r>
          </w:p>
        </w:tc>
        <w:tc>
          <w:tcPr>
            <w:tcW w:w="1556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34/303 (11.2%)</w:t>
            </w:r>
          </w:p>
        </w:tc>
        <w:tc>
          <w:tcPr>
            <w:tcW w:w="1845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2.310 (1.594, 3.347)</w:t>
            </w:r>
          </w:p>
        </w:tc>
        <w:tc>
          <w:tcPr>
            <w:tcW w:w="812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0.000</w:t>
            </w:r>
          </w:p>
        </w:tc>
        <w:tc>
          <w:tcPr>
            <w:tcW w:w="1084" w:type="dxa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DAE3F3" w:themeFill="accent1" w:themeFillTint="3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Liver disease</w:t>
            </w:r>
          </w:p>
        </w:tc>
        <w:tc>
          <w:tcPr>
            <w:tcW w:w="1065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7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56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84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62" w:firstLineChars="146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65" w:type="dxa"/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1437</w:t>
            </w:r>
          </w:p>
        </w:tc>
        <w:tc>
          <w:tcPr>
            <w:tcW w:w="1477" w:type="dxa"/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117/401 (29.1%)</w:t>
            </w:r>
          </w:p>
        </w:tc>
        <w:tc>
          <w:tcPr>
            <w:tcW w:w="1556" w:type="dxa"/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125/1036 (12.0%)</w:t>
            </w:r>
          </w:p>
        </w:tc>
        <w:tc>
          <w:tcPr>
            <w:tcW w:w="1845" w:type="dxa"/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1.882 (1.532, 2.311)</w:t>
            </w:r>
          </w:p>
        </w:tc>
        <w:tc>
          <w:tcPr>
            <w:tcW w:w="812" w:type="dxa"/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0.000</w:t>
            </w:r>
          </w:p>
        </w:tc>
        <w:tc>
          <w:tcPr>
            <w:tcW w:w="1084" w:type="dxa"/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DAE3F3" w:themeFill="accent1" w:themeFillTint="32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62" w:firstLineChars="146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65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179</w:t>
            </w:r>
          </w:p>
        </w:tc>
        <w:tc>
          <w:tcPr>
            <w:tcW w:w="1477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27/56 (48.2%)</w:t>
            </w:r>
          </w:p>
        </w:tc>
        <w:tc>
          <w:tcPr>
            <w:tcW w:w="1556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14/123 (14.3%)</w:t>
            </w:r>
          </w:p>
        </w:tc>
        <w:tc>
          <w:tcPr>
            <w:tcW w:w="1845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3.722 (2.192, 6.321)</w:t>
            </w:r>
          </w:p>
        </w:tc>
        <w:tc>
          <w:tcPr>
            <w:tcW w:w="812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0.000</w:t>
            </w:r>
          </w:p>
        </w:tc>
        <w:tc>
          <w:tcPr>
            <w:tcW w:w="1084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Solid tumor</w:t>
            </w:r>
          </w:p>
        </w:tc>
        <w:tc>
          <w:tcPr>
            <w:tcW w:w="1065" w:type="dxa"/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7" w:type="dxa"/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56" w:type="dxa"/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84" w:type="dxa"/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0.775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DAE3F3" w:themeFill="accent1" w:themeFillTint="32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62" w:firstLineChars="146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65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1540</w:t>
            </w:r>
          </w:p>
        </w:tc>
        <w:tc>
          <w:tcPr>
            <w:tcW w:w="1477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138/435 (31.7%)</w:t>
            </w:r>
          </w:p>
        </w:tc>
        <w:tc>
          <w:tcPr>
            <w:tcW w:w="1556" w:type="dxa"/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133/1105 (12.0%)</w:t>
            </w:r>
          </w:p>
        </w:tc>
        <w:tc>
          <w:tcPr>
            <w:tcW w:w="1845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2.088 (1.727, 2.524)</w:t>
            </w:r>
          </w:p>
        </w:tc>
        <w:tc>
          <w:tcPr>
            <w:tcW w:w="812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0.000</w:t>
            </w:r>
          </w:p>
        </w:tc>
        <w:tc>
          <w:tcPr>
            <w:tcW w:w="1084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62" w:firstLineChars="146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65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76</w:t>
            </w:r>
          </w:p>
        </w:tc>
        <w:tc>
          <w:tcPr>
            <w:tcW w:w="1477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6/22 (27.2%)</w:t>
            </w:r>
          </w:p>
        </w:tc>
        <w:tc>
          <w:tcPr>
            <w:tcW w:w="1556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6/54 (11.1%)</w:t>
            </w:r>
          </w:p>
        </w:tc>
        <w:tc>
          <w:tcPr>
            <w:tcW w:w="1845" w:type="dxa"/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3.050 (1.059, 8.783)</w:t>
            </w:r>
          </w:p>
        </w:tc>
        <w:tc>
          <w:tcPr>
            <w:tcW w:w="812" w:type="dxa"/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0.039</w:t>
            </w:r>
          </w:p>
        </w:tc>
        <w:tc>
          <w:tcPr>
            <w:tcW w:w="1084" w:type="dxa"/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DAE3F3" w:themeFill="accent1" w:themeFillTint="3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Rheumatoid arthritis</w:t>
            </w:r>
          </w:p>
        </w:tc>
        <w:tc>
          <w:tcPr>
            <w:tcW w:w="1065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7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56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84" w:type="dxa"/>
            <w:shd w:val="clear" w:color="auto" w:fill="DAE3F3" w:themeFill="accent1" w:themeFillTint="32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62" w:firstLineChars="146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65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1562</w:t>
            </w:r>
          </w:p>
        </w:tc>
        <w:tc>
          <w:tcPr>
            <w:tcW w:w="1477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136/443 (30.6%)</w:t>
            </w:r>
          </w:p>
        </w:tc>
        <w:tc>
          <w:tcPr>
            <w:tcW w:w="1556" w:type="dxa"/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132/1119 (11.7%)</w:t>
            </w:r>
          </w:p>
        </w:tc>
        <w:tc>
          <w:tcPr>
            <w:tcW w:w="1845" w:type="dxa"/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2.107 (1.743, 2.547)</w:t>
            </w:r>
          </w:p>
        </w:tc>
        <w:tc>
          <w:tcPr>
            <w:tcW w:w="812" w:type="dxa"/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0.000</w:t>
            </w:r>
          </w:p>
        </w:tc>
        <w:tc>
          <w:tcPr>
            <w:tcW w:w="1084" w:type="dxa"/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tcBorders>
              <w:bottom w:val="single" w:color="000000" w:sz="8" w:space="0"/>
            </w:tcBorders>
            <w:shd w:val="clear" w:color="auto" w:fill="DAE3F3" w:themeFill="accent1" w:themeFillTint="32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62" w:firstLineChars="146"/>
              <w:jc w:val="left"/>
              <w:textAlignment w:val="top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65" w:type="dxa"/>
            <w:tcBorders>
              <w:bottom w:val="single" w:color="000000" w:sz="8" w:space="0"/>
            </w:tcBorders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54</w:t>
            </w:r>
          </w:p>
        </w:tc>
        <w:tc>
          <w:tcPr>
            <w:tcW w:w="1477" w:type="dxa"/>
            <w:tcBorders>
              <w:bottom w:val="single" w:color="000000" w:sz="8" w:space="0"/>
            </w:tcBorders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8/14 (57.1%)</w:t>
            </w:r>
          </w:p>
        </w:tc>
        <w:tc>
          <w:tcPr>
            <w:tcW w:w="1556" w:type="dxa"/>
            <w:tcBorders>
              <w:bottom w:val="single" w:color="000000" w:sz="8" w:space="0"/>
            </w:tcBorders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18"/>
                <w:szCs w:val="18"/>
                <w:vertAlign w:val="baseline"/>
                <w:lang w:val="en-US" w:eastAsia="zh-CN"/>
              </w:rPr>
              <w:t>7/40 (17.5%)</w:t>
            </w:r>
          </w:p>
        </w:tc>
        <w:tc>
          <w:tcPr>
            <w:tcW w:w="1845" w:type="dxa"/>
            <w:tcBorders>
              <w:bottom w:val="single" w:color="000000" w:sz="8" w:space="0"/>
            </w:tcBorders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3.336 (1.003, 11.093)</w:t>
            </w:r>
          </w:p>
        </w:tc>
        <w:tc>
          <w:tcPr>
            <w:tcW w:w="812" w:type="dxa"/>
            <w:tcBorders>
              <w:bottom w:val="single" w:color="000000" w:sz="8" w:space="0"/>
            </w:tcBorders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0.049</w:t>
            </w:r>
          </w:p>
        </w:tc>
        <w:tc>
          <w:tcPr>
            <w:tcW w:w="1084" w:type="dxa"/>
            <w:tcBorders>
              <w:bottom w:val="single" w:color="000000" w:sz="8" w:space="0"/>
            </w:tcBorders>
            <w:shd w:val="clear" w:color="auto" w:fill="DAE3F3" w:themeFill="accent1" w:themeFillTint="32"/>
            <w:vAlign w:val="top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widowControl/>
        <w:suppressLineNumbers w:val="0"/>
        <w:spacing w:line="480" w:lineRule="auto"/>
        <w:jc w:val="both"/>
        <w:rPr>
          <w:rFonts w:hint="default" w:ascii="Times New Roman Regular" w:hAnsi="Times New Roman Regular" w:eastAsia="宋体" w:cs="Times New Roman Regular"/>
          <w:i w:val="0"/>
          <w:iCs w:val="0"/>
          <w:color w:val="auto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 Bold" w:hAnsi="Times New Roman Bold" w:eastAsia="宋体" w:cs="Times New Roman Bold"/>
          <w:b/>
          <w:bCs/>
          <w:sz w:val="20"/>
          <w:szCs w:val="20"/>
        </w:rPr>
        <w:t>Abbreviations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  <w:t>:</w: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 xml:space="preserve"> </w:t>
      </w:r>
      <w:r>
        <w:rPr>
          <w:rFonts w:hint="default" w:ascii="Times New Roman Regular" w:hAnsi="Times New Roman Regular" w:eastAsia="宋体" w:cs="Times New Roman Regular"/>
          <w:i w:val="0"/>
          <w:iCs w:val="0"/>
          <w:color w:val="auto"/>
          <w:kern w:val="0"/>
          <w:sz w:val="20"/>
          <w:szCs w:val="20"/>
          <w:u w:val="none"/>
          <w:lang w:val="en-US" w:eastAsia="zh-CN" w:bidi="ar"/>
        </w:rPr>
        <w:t>ACR, anion gap-to-calcium ratio</w:t>
      </w: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  <w:t xml:space="preserve">; </w:t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auto"/>
          <w:sz w:val="20"/>
          <w:szCs w:val="20"/>
          <w:vertAlign w:val="baseline"/>
          <w:lang w:val="en-US" w:eastAsia="zh-CN"/>
        </w:rPr>
        <w:t xml:space="preserve">High ACR group, </w:t>
      </w: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  <w:t>ACR ≥ 2.25</w:t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auto"/>
          <w:sz w:val="20"/>
          <w:szCs w:val="20"/>
          <w:vertAlign w:val="baseline"/>
          <w:lang w:val="en-US" w:eastAsia="zh-CN"/>
        </w:rPr>
        <w:t xml:space="preserve">; Low ACR </w:t>
      </w:r>
      <w:r>
        <w:rPr>
          <w:rFonts w:hint="default" w:ascii="Times New Roman Regular" w:hAnsi="Times New Roman Regular" w:eastAsia="宋体" w:cs="Times New Roman Regular"/>
          <w:i w:val="0"/>
          <w:iCs w:val="0"/>
          <w:color w:val="auto"/>
          <w:kern w:val="0"/>
          <w:sz w:val="20"/>
          <w:szCs w:val="20"/>
          <w:u w:val="none"/>
          <w:lang w:val="en-US" w:eastAsia="zh-CN" w:bidi="ar"/>
        </w:rPr>
        <w:t>group, ACR &lt; 2.25</w:t>
      </w:r>
      <w:r>
        <w:rPr>
          <w:rFonts w:hint="default" w:ascii="Times New Roman Regular" w:hAnsi="Times New Roman Regular" w:cs="Times New Roman Regular"/>
          <w:sz w:val="20"/>
          <w:szCs w:val="20"/>
          <w:lang w:val="en-US" w:eastAsia="zh-CN"/>
        </w:rPr>
        <w:t>; OR,</w:t>
      </w:r>
      <w:bookmarkStart w:id="16" w:name="_Hlk130388538"/>
      <w:r>
        <w:rPr>
          <w:rFonts w:hint="default" w:ascii="Times New Roman Regular" w:hAnsi="Times New Roman Regular" w:cs="Times New Roman Regular"/>
          <w:sz w:val="20"/>
          <w:szCs w:val="20"/>
          <w:lang w:val="en-US" w:eastAsia="zh-CN"/>
        </w:rPr>
        <w:t xml:space="preserve"> odds ratio</w:t>
      </w:r>
      <w:bookmarkEnd w:id="16"/>
      <w:r>
        <w:rPr>
          <w:rFonts w:hint="default" w:ascii="Times New Roman Regular" w:hAnsi="Times New Roman Regular" w:cs="Times New Roman Regular"/>
          <w:sz w:val="20"/>
          <w:szCs w:val="20"/>
          <w:lang w:val="en-US" w:eastAsia="zh-CN"/>
        </w:rPr>
        <w:t>; CI, confidence in</w:t>
      </w: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  <w:t>terval</w:t>
      </w:r>
      <w:r>
        <w:rPr>
          <w:rFonts w:hint="default" w:ascii="Times New Roman Regular" w:hAnsi="Times New Roman Regular" w:eastAsia="宋体" w:cs="Times New Roman Regular"/>
          <w:i w:val="0"/>
          <w:iCs w:val="0"/>
          <w:color w:val="auto"/>
          <w:kern w:val="0"/>
          <w:sz w:val="20"/>
          <w:szCs w:val="20"/>
          <w:u w:val="none"/>
          <w:lang w:val="en-US" w:eastAsia="zh-CN" w:bidi="ar"/>
        </w:rPr>
        <w:t>; Ventilation, the patient needs assisted ventilation on the first day; COPD, chronic obstructive pulmon</w:t>
      </w:r>
      <w:r>
        <w:rPr>
          <w:rFonts w:hint="default" w:ascii="Times New Roman Regular" w:hAnsi="Times New Roman Regular" w:cs="Times New Roman Regular"/>
          <w:sz w:val="20"/>
          <w:szCs w:val="20"/>
          <w:lang w:val="en-US" w:eastAsia="zh-CN"/>
        </w:rPr>
        <w:t>ary disease</w:t>
      </w:r>
      <w:r>
        <w:rPr>
          <w:rFonts w:hint="default" w:ascii="Times New Roman Regular" w:hAnsi="Times New Roman Regular" w:eastAsia="宋体" w:cs="Times New Roman Regular"/>
          <w:i w:val="0"/>
          <w:iCs w:val="0"/>
          <w:color w:val="auto"/>
          <w:kern w:val="0"/>
          <w:sz w:val="20"/>
          <w:szCs w:val="20"/>
          <w:u w:val="none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jc w:val="both"/>
        <w:rPr>
          <w:rFonts w:hint="default" w:ascii="Times New Roman Regular" w:hAnsi="Times New Roman Regular" w:cs="Times New Roman Regul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Bold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MyriadPro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IX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2"/>
              <w:jc w:val="center"/>
            </w:pPr>
            <w:r>
              <w:rPr>
                <w:rFonts w:ascii="Calibri" w:hAnsi="Calibri" w:cs="Calibri"/>
                <w:lang w:val="zh-CN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Calibri" w:hAnsi="Calibri" w:cs="Calibri"/>
                <w:b/>
                <w:bCs/>
              </w:rPr>
              <w:instrText xml:space="preserve">PAGE</w:instrTex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lang w:val="zh-CN"/>
              </w:rPr>
              <w:t>2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Calibri" w:hAnsi="Calibri" w:cs="Calibri"/>
                <w:lang w:val="zh-CN"/>
              </w:rPr>
              <w:t xml:space="preserve"> /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Calibri" w:hAnsi="Calibri" w:cs="Calibri"/>
                <w:b/>
                <w:bCs/>
              </w:rPr>
              <w:instrText xml:space="preserve">NUMPAGES</w:instrTex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lang w:val="zh-CN"/>
              </w:rPr>
              <w:t>2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YyYmMxOWZkNjcyOWQ0ODNiZTBjZTc5MWU0NDA2NGQifQ=="/>
  </w:docVars>
  <w:rsids>
    <w:rsidRoot w:val="00324426"/>
    <w:rsid w:val="00014C5D"/>
    <w:rsid w:val="0003332E"/>
    <w:rsid w:val="000447C7"/>
    <w:rsid w:val="000717FF"/>
    <w:rsid w:val="00074312"/>
    <w:rsid w:val="000754F6"/>
    <w:rsid w:val="000A0848"/>
    <w:rsid w:val="000B3197"/>
    <w:rsid w:val="000B566A"/>
    <w:rsid w:val="000E35EF"/>
    <w:rsid w:val="000E42F5"/>
    <w:rsid w:val="00113758"/>
    <w:rsid w:val="001140E2"/>
    <w:rsid w:val="00115908"/>
    <w:rsid w:val="00126F51"/>
    <w:rsid w:val="00146116"/>
    <w:rsid w:val="00156AC4"/>
    <w:rsid w:val="00163992"/>
    <w:rsid w:val="00172AD1"/>
    <w:rsid w:val="00175949"/>
    <w:rsid w:val="00192EE3"/>
    <w:rsid w:val="00194C5E"/>
    <w:rsid w:val="001A344E"/>
    <w:rsid w:val="001B2C4B"/>
    <w:rsid w:val="001C7745"/>
    <w:rsid w:val="001E0ED8"/>
    <w:rsid w:val="00207B1E"/>
    <w:rsid w:val="0023079A"/>
    <w:rsid w:val="002511FE"/>
    <w:rsid w:val="00256C87"/>
    <w:rsid w:val="00281474"/>
    <w:rsid w:val="00292017"/>
    <w:rsid w:val="002C3C01"/>
    <w:rsid w:val="002F000E"/>
    <w:rsid w:val="002F14BB"/>
    <w:rsid w:val="002F6336"/>
    <w:rsid w:val="00311285"/>
    <w:rsid w:val="00313200"/>
    <w:rsid w:val="00324426"/>
    <w:rsid w:val="00340C2C"/>
    <w:rsid w:val="0034383C"/>
    <w:rsid w:val="00357A79"/>
    <w:rsid w:val="00395591"/>
    <w:rsid w:val="003C5467"/>
    <w:rsid w:val="003D2EB4"/>
    <w:rsid w:val="00423BDC"/>
    <w:rsid w:val="00435601"/>
    <w:rsid w:val="00447EA5"/>
    <w:rsid w:val="004562F4"/>
    <w:rsid w:val="0046252D"/>
    <w:rsid w:val="004A254C"/>
    <w:rsid w:val="004E5360"/>
    <w:rsid w:val="004F70B8"/>
    <w:rsid w:val="005000F9"/>
    <w:rsid w:val="0050124C"/>
    <w:rsid w:val="00507991"/>
    <w:rsid w:val="00511266"/>
    <w:rsid w:val="005214B7"/>
    <w:rsid w:val="0052726F"/>
    <w:rsid w:val="00533D63"/>
    <w:rsid w:val="005425F8"/>
    <w:rsid w:val="00551D26"/>
    <w:rsid w:val="005E2192"/>
    <w:rsid w:val="005E5910"/>
    <w:rsid w:val="00603FC1"/>
    <w:rsid w:val="00606C30"/>
    <w:rsid w:val="00620A8E"/>
    <w:rsid w:val="00635615"/>
    <w:rsid w:val="006468B4"/>
    <w:rsid w:val="00647034"/>
    <w:rsid w:val="00651AD2"/>
    <w:rsid w:val="00654BA2"/>
    <w:rsid w:val="00662EF1"/>
    <w:rsid w:val="00663D8D"/>
    <w:rsid w:val="006733B3"/>
    <w:rsid w:val="006821EC"/>
    <w:rsid w:val="006843AA"/>
    <w:rsid w:val="006A3009"/>
    <w:rsid w:val="006A5E9D"/>
    <w:rsid w:val="006C4B7B"/>
    <w:rsid w:val="006C6A3B"/>
    <w:rsid w:val="006E2D76"/>
    <w:rsid w:val="00703F99"/>
    <w:rsid w:val="00705700"/>
    <w:rsid w:val="00725015"/>
    <w:rsid w:val="007448B5"/>
    <w:rsid w:val="00750445"/>
    <w:rsid w:val="00761E62"/>
    <w:rsid w:val="007656F6"/>
    <w:rsid w:val="0078472E"/>
    <w:rsid w:val="00784ACC"/>
    <w:rsid w:val="00797CBF"/>
    <w:rsid w:val="007E711A"/>
    <w:rsid w:val="00802180"/>
    <w:rsid w:val="00860B48"/>
    <w:rsid w:val="008705AE"/>
    <w:rsid w:val="008830C7"/>
    <w:rsid w:val="00895776"/>
    <w:rsid w:val="008D5012"/>
    <w:rsid w:val="008E46EC"/>
    <w:rsid w:val="008E5149"/>
    <w:rsid w:val="008F051D"/>
    <w:rsid w:val="009077E4"/>
    <w:rsid w:val="00927578"/>
    <w:rsid w:val="009462BD"/>
    <w:rsid w:val="009677CE"/>
    <w:rsid w:val="00973848"/>
    <w:rsid w:val="00982F6D"/>
    <w:rsid w:val="009926D2"/>
    <w:rsid w:val="009B35F7"/>
    <w:rsid w:val="009D0396"/>
    <w:rsid w:val="009D259C"/>
    <w:rsid w:val="009E3B88"/>
    <w:rsid w:val="00A00BE8"/>
    <w:rsid w:val="00A0279A"/>
    <w:rsid w:val="00A02845"/>
    <w:rsid w:val="00A062EA"/>
    <w:rsid w:val="00A35610"/>
    <w:rsid w:val="00A403BC"/>
    <w:rsid w:val="00A4076A"/>
    <w:rsid w:val="00A43D91"/>
    <w:rsid w:val="00A646D2"/>
    <w:rsid w:val="00A73800"/>
    <w:rsid w:val="00A74465"/>
    <w:rsid w:val="00A833DC"/>
    <w:rsid w:val="00AB174C"/>
    <w:rsid w:val="00AC55E5"/>
    <w:rsid w:val="00AF618F"/>
    <w:rsid w:val="00B2305E"/>
    <w:rsid w:val="00B36EDD"/>
    <w:rsid w:val="00B4043E"/>
    <w:rsid w:val="00B85DC0"/>
    <w:rsid w:val="00B91422"/>
    <w:rsid w:val="00B95018"/>
    <w:rsid w:val="00BA1401"/>
    <w:rsid w:val="00BA6928"/>
    <w:rsid w:val="00BF2405"/>
    <w:rsid w:val="00C038FF"/>
    <w:rsid w:val="00C11BE0"/>
    <w:rsid w:val="00C60AFA"/>
    <w:rsid w:val="00C7050A"/>
    <w:rsid w:val="00C72801"/>
    <w:rsid w:val="00C7728D"/>
    <w:rsid w:val="00C953F9"/>
    <w:rsid w:val="00C958CD"/>
    <w:rsid w:val="00CB024A"/>
    <w:rsid w:val="00CB73DE"/>
    <w:rsid w:val="00CD460B"/>
    <w:rsid w:val="00CE41DA"/>
    <w:rsid w:val="00CF540D"/>
    <w:rsid w:val="00D23C76"/>
    <w:rsid w:val="00D24609"/>
    <w:rsid w:val="00D45CAA"/>
    <w:rsid w:val="00D5016E"/>
    <w:rsid w:val="00D502E4"/>
    <w:rsid w:val="00D60DD3"/>
    <w:rsid w:val="00D80E41"/>
    <w:rsid w:val="00D97BE8"/>
    <w:rsid w:val="00DB6A52"/>
    <w:rsid w:val="00DF21AA"/>
    <w:rsid w:val="00DF3002"/>
    <w:rsid w:val="00E04912"/>
    <w:rsid w:val="00E30E84"/>
    <w:rsid w:val="00E415A8"/>
    <w:rsid w:val="00E4274A"/>
    <w:rsid w:val="00E968BB"/>
    <w:rsid w:val="00EA3E87"/>
    <w:rsid w:val="00EC1E59"/>
    <w:rsid w:val="00EE70A8"/>
    <w:rsid w:val="00EF7093"/>
    <w:rsid w:val="00F037A9"/>
    <w:rsid w:val="00F2259E"/>
    <w:rsid w:val="00F32727"/>
    <w:rsid w:val="00F40220"/>
    <w:rsid w:val="00F42B33"/>
    <w:rsid w:val="00F537D4"/>
    <w:rsid w:val="00F54F31"/>
    <w:rsid w:val="00F60D73"/>
    <w:rsid w:val="00F71DDA"/>
    <w:rsid w:val="00F76301"/>
    <w:rsid w:val="00F9119E"/>
    <w:rsid w:val="00FB3CA4"/>
    <w:rsid w:val="00FE06B4"/>
    <w:rsid w:val="00FE1DD1"/>
    <w:rsid w:val="00FE2D5F"/>
    <w:rsid w:val="00FE6E50"/>
    <w:rsid w:val="17FE40C8"/>
    <w:rsid w:val="1EA627F8"/>
    <w:rsid w:val="1F5DBE89"/>
    <w:rsid w:val="265D235E"/>
    <w:rsid w:val="2BBF94F0"/>
    <w:rsid w:val="309E447B"/>
    <w:rsid w:val="3B7DA277"/>
    <w:rsid w:val="3D975FD3"/>
    <w:rsid w:val="3DF713AE"/>
    <w:rsid w:val="3EF850F1"/>
    <w:rsid w:val="3FBDA1C3"/>
    <w:rsid w:val="3FEFC845"/>
    <w:rsid w:val="473C01D1"/>
    <w:rsid w:val="475E63F0"/>
    <w:rsid w:val="4DB7C9E9"/>
    <w:rsid w:val="4EBFB8D7"/>
    <w:rsid w:val="526D8C7F"/>
    <w:rsid w:val="573338ED"/>
    <w:rsid w:val="5B7D6C0F"/>
    <w:rsid w:val="5D7E06C8"/>
    <w:rsid w:val="5E7106E7"/>
    <w:rsid w:val="5F7F8D36"/>
    <w:rsid w:val="5FB91D28"/>
    <w:rsid w:val="631BE963"/>
    <w:rsid w:val="69AB6BFF"/>
    <w:rsid w:val="6BF7E797"/>
    <w:rsid w:val="6EBF5B9C"/>
    <w:rsid w:val="6F8B1210"/>
    <w:rsid w:val="6FDE141B"/>
    <w:rsid w:val="6FEFBF03"/>
    <w:rsid w:val="703D0DBB"/>
    <w:rsid w:val="70AEBF12"/>
    <w:rsid w:val="74FF30E4"/>
    <w:rsid w:val="75F63F14"/>
    <w:rsid w:val="76BF2A9F"/>
    <w:rsid w:val="7726346D"/>
    <w:rsid w:val="77A77689"/>
    <w:rsid w:val="786F7B6A"/>
    <w:rsid w:val="7A9F309F"/>
    <w:rsid w:val="7BDEC9CE"/>
    <w:rsid w:val="7BEF73F5"/>
    <w:rsid w:val="7BF3DF78"/>
    <w:rsid w:val="7CEDA016"/>
    <w:rsid w:val="7D5F8322"/>
    <w:rsid w:val="7D730FEB"/>
    <w:rsid w:val="7DA3C1D4"/>
    <w:rsid w:val="7DB8F98F"/>
    <w:rsid w:val="7DBE7B79"/>
    <w:rsid w:val="7DBFE52F"/>
    <w:rsid w:val="7DBFFD04"/>
    <w:rsid w:val="7EDBA32B"/>
    <w:rsid w:val="7EDD952E"/>
    <w:rsid w:val="7EEE4413"/>
    <w:rsid w:val="7EFAC4B9"/>
    <w:rsid w:val="7EFD6831"/>
    <w:rsid w:val="7EFF8078"/>
    <w:rsid w:val="7F372C12"/>
    <w:rsid w:val="7F7751B4"/>
    <w:rsid w:val="7F9FF6D2"/>
    <w:rsid w:val="7FAF2ECC"/>
    <w:rsid w:val="7FD67988"/>
    <w:rsid w:val="7FF1CD3D"/>
    <w:rsid w:val="7FFFA5E7"/>
    <w:rsid w:val="7FFFF538"/>
    <w:rsid w:val="86FD4FBF"/>
    <w:rsid w:val="9AEF0DA0"/>
    <w:rsid w:val="9C5F2393"/>
    <w:rsid w:val="9EDF3CB5"/>
    <w:rsid w:val="A7EDDB35"/>
    <w:rsid w:val="ABA3068F"/>
    <w:rsid w:val="ABAF53E4"/>
    <w:rsid w:val="AD7C3402"/>
    <w:rsid w:val="AFBF7E67"/>
    <w:rsid w:val="AFFD9C32"/>
    <w:rsid w:val="B7CF21D7"/>
    <w:rsid w:val="B9DF4D28"/>
    <w:rsid w:val="BBF763D6"/>
    <w:rsid w:val="BDE9E1DA"/>
    <w:rsid w:val="BEBF60DE"/>
    <w:rsid w:val="BF9E5B28"/>
    <w:rsid w:val="BFF71C5F"/>
    <w:rsid w:val="BFFCCA49"/>
    <w:rsid w:val="CEF7113D"/>
    <w:rsid w:val="D17F39D1"/>
    <w:rsid w:val="D4FDF406"/>
    <w:rsid w:val="D5D47319"/>
    <w:rsid w:val="D5FFE7DA"/>
    <w:rsid w:val="D773EF6C"/>
    <w:rsid w:val="DB7FF347"/>
    <w:rsid w:val="DDDFF8B2"/>
    <w:rsid w:val="DDF5B582"/>
    <w:rsid w:val="DFEFD8B5"/>
    <w:rsid w:val="E3FF5259"/>
    <w:rsid w:val="E6FD67B0"/>
    <w:rsid w:val="E7B505B8"/>
    <w:rsid w:val="EDF56879"/>
    <w:rsid w:val="EDFF5A35"/>
    <w:rsid w:val="EEFFFDDD"/>
    <w:rsid w:val="EF7BCDAE"/>
    <w:rsid w:val="EFAF8562"/>
    <w:rsid w:val="EFE31BFD"/>
    <w:rsid w:val="EFEBEF3C"/>
    <w:rsid w:val="EFFD9BB9"/>
    <w:rsid w:val="F33B20FC"/>
    <w:rsid w:val="F47E31EC"/>
    <w:rsid w:val="F4B7AAE6"/>
    <w:rsid w:val="F66F5B09"/>
    <w:rsid w:val="F6B14845"/>
    <w:rsid w:val="F6EF3AF1"/>
    <w:rsid w:val="F6FE85D7"/>
    <w:rsid w:val="F77D8A6F"/>
    <w:rsid w:val="F7BA97E2"/>
    <w:rsid w:val="F7FD6BC7"/>
    <w:rsid w:val="FC75C1C7"/>
    <w:rsid w:val="FCDE9D85"/>
    <w:rsid w:val="FCFFCA6E"/>
    <w:rsid w:val="FDBCCA90"/>
    <w:rsid w:val="FDCF4DF8"/>
    <w:rsid w:val="FDEFDFE7"/>
    <w:rsid w:val="FDF60A4F"/>
    <w:rsid w:val="FDFE9CB7"/>
    <w:rsid w:val="FE7FB63D"/>
    <w:rsid w:val="FEA77D42"/>
    <w:rsid w:val="FEBFAFAE"/>
    <w:rsid w:val="FEC72D91"/>
    <w:rsid w:val="FEF35B06"/>
    <w:rsid w:val="FEFDFF09"/>
    <w:rsid w:val="FF3E9DB5"/>
    <w:rsid w:val="FFBF9F8C"/>
    <w:rsid w:val="FFD48DCE"/>
    <w:rsid w:val="FFD54C91"/>
    <w:rsid w:val="FFE43C01"/>
    <w:rsid w:val="FFEDE9EB"/>
    <w:rsid w:val="FFEE9AA3"/>
    <w:rsid w:val="FFF55862"/>
    <w:rsid w:val="FFFF8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table" w:customStyle="1" w:styleId="10">
    <w:name w:val="网格表 1 浅色1"/>
    <w:basedOn w:val="5"/>
    <w:qFormat/>
    <w:uiPriority w:val="46"/>
    <w:rPr>
      <w:kern w:val="0"/>
      <w:sz w:val="24"/>
      <w:szCs w:val="24"/>
    </w:rPr>
    <w:tblPr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</w:tblPr>
    <w:tblStylePr w:type="firstRow">
      <w:rPr>
        <w:b/>
        <w:bCs/>
      </w:rPr>
      <w:tcPr>
        <w:tcBorders>
          <w:bottom w:val="single" w:color="666666" w:sz="12" w:space="0"/>
        </w:tcBorders>
      </w:tcPr>
    </w:tblStylePr>
    <w:tblStylePr w:type="lastRow">
      <w:rPr>
        <w:b/>
        <w:bCs/>
      </w:rPr>
      <w:tcPr>
        <w:tcBorders>
          <w:top w:val="double" w:color="666666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">
    <w:name w:val="网格型1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网格型2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网格型3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网格型4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网格型5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p2"/>
    <w:basedOn w:val="1"/>
    <w:qFormat/>
    <w:uiPriority w:val="0"/>
    <w:pPr>
      <w:spacing w:before="0" w:beforeAutospacing="0" w:after="0" w:afterAutospacing="0" w:line="320" w:lineRule="atLeast"/>
      <w:ind w:left="60" w:right="0"/>
      <w:jc w:val="left"/>
    </w:pPr>
    <w:rPr>
      <w:rFonts w:ascii="times" w:hAnsi="times" w:eastAsia="times" w:cs="times"/>
      <w:color w:val="264A60"/>
      <w:kern w:val="0"/>
      <w:sz w:val="24"/>
      <w:szCs w:val="24"/>
      <w:lang w:val="en-US" w:eastAsia="zh-CN" w:bidi="ar"/>
    </w:rPr>
  </w:style>
  <w:style w:type="paragraph" w:customStyle="1" w:styleId="18">
    <w:name w:val="p3"/>
    <w:basedOn w:val="1"/>
    <w:qFormat/>
    <w:uiPriority w:val="0"/>
    <w:pPr>
      <w:spacing w:before="0" w:beforeAutospacing="0" w:after="0" w:afterAutospacing="0" w:line="320" w:lineRule="atLeast"/>
      <w:ind w:left="60" w:right="0"/>
      <w:jc w:val="right"/>
    </w:pPr>
    <w:rPr>
      <w:rFonts w:hint="default" w:ascii="times" w:hAnsi="times" w:eastAsia="times" w:cs="times"/>
      <w:color w:val="010205"/>
      <w:kern w:val="0"/>
      <w:sz w:val="24"/>
      <w:szCs w:val="24"/>
      <w:lang w:val="en-US" w:eastAsia="zh-CN" w:bidi="ar"/>
    </w:rPr>
  </w:style>
  <w:style w:type="paragraph" w:customStyle="1" w:styleId="19">
    <w:name w:val="p4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hint="default" w:ascii="times" w:hAnsi="times" w:eastAsia="times" w:cs="times"/>
      <w:color w:val="010205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1119</Words>
  <Characters>5815</Characters>
  <Lines>51</Lines>
  <Paragraphs>14</Paragraphs>
  <TotalTime>8</TotalTime>
  <ScaleCrop>false</ScaleCrop>
  <LinksUpToDate>false</LinksUpToDate>
  <CharactersWithSpaces>6390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2021-03-29T01:22:00Z</dcterms:created>
  <dc:creator>ymj</dc:creator>
  <cp:lastModifiedBy>婧</cp:lastModifiedBy>
  <dcterms:modified xsi:type="dcterms:W3CDTF">2024-06-18T07:35:10Z</dcterms:modified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C7A11ABCFED6B4CA2630436612828C3D_42</vt:lpwstr>
  </property>
</Properties>
</file>