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76" w:lineRule="auto"/>
        <w:jc w:val="both"/>
        <w:rPr>
          <w:rFonts w:ascii="Arial" w:cs="Arial" w:eastAsia="Arial" w:hAnsi="Arial"/>
        </w:rPr>
        <w:sectPr>
          <w:pgSz w:h="16838" w:w="11906" w:orient="portrait"/>
          <w:pgMar w:bottom="1440" w:top="1440" w:left="1440" w:right="1440" w:header="708" w:footer="708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76" w:lineRule="auto"/>
        <w:ind w:left="72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Figure S.1: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04">
      <w:pPr>
        <w:spacing w:after="0" w:line="276" w:lineRule="auto"/>
        <w:ind w:left="72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</w:rPr>
        <w:drawing>
          <wp:inline distB="114300" distT="114300" distL="114300" distR="114300">
            <wp:extent cx="1704975" cy="1961150"/>
            <wp:effectExtent b="0" l="0" r="0" t="0"/>
            <wp:docPr id="2107960595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7"/>
                    <a:srcRect b="2038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9611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</w:rPr>
        <w:drawing>
          <wp:inline distB="114300" distT="114300" distL="114300" distR="114300">
            <wp:extent cx="3767138" cy="1974343"/>
            <wp:effectExtent b="0" l="0" r="0" t="0"/>
            <wp:docPr id="2107960594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8"/>
                    <a:srcRect b="0" l="0" r="4672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67138" cy="197434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</w:rPr>
        <w:drawing>
          <wp:inline distB="114300" distT="114300" distL="114300" distR="114300">
            <wp:extent cx="3967163" cy="2358214"/>
            <wp:effectExtent b="0" l="0" r="0" t="0"/>
            <wp:docPr id="2107960598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9"/>
                    <a:srcRect b="0" l="0" r="641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67163" cy="235821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</w:rPr>
        <w:drawing>
          <wp:inline distB="114300" distT="114300" distL="114300" distR="114300">
            <wp:extent cx="1546620" cy="2367276"/>
            <wp:effectExtent b="0" l="0" r="0" t="0"/>
            <wp:docPr id="2107960597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46620" cy="236727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76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76" w:lineRule="auto"/>
        <w:ind w:left="720" w:firstLine="0"/>
        <w:jc w:val="both"/>
        <w:rPr>
          <w:rFonts w:ascii="Arial" w:cs="Arial" w:eastAsia="Arial" w:hAnsi="Arial"/>
          <w:b w:val="1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b w:val="1"/>
          <w:sz w:val="16"/>
          <w:szCs w:val="16"/>
          <w:rtl w:val="0"/>
        </w:rPr>
        <w:t xml:space="preserve">Figure S.1: Gel image of PCR of all clinical samples:</w:t>
      </w:r>
    </w:p>
    <w:p w:rsidR="00000000" w:rsidDel="00000000" w:rsidP="00000000" w:rsidRDefault="00000000" w:rsidRPr="00000000" w14:paraId="00000007">
      <w:pPr>
        <w:spacing w:after="0" w:line="276" w:lineRule="auto"/>
        <w:ind w:left="720" w:firstLine="0"/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Forty-nine clinical samples were amplified using NDM_ref_F and NDM_ref_R primers. no template control (NTC) was included for each batch. A 100bp ladder is used for reference, with the expected band at ~600bp, marked with an orange arrow mark or line near the ladder. Well-labelled 1 to 49 correspond to the CRE number, details are available in </w:t>
      </w:r>
      <w:hyperlink r:id="rId11">
        <w:r w:rsidDel="00000000" w:rsidR="00000000" w:rsidRPr="00000000">
          <w:rPr>
            <w:rFonts w:ascii="Arial" w:cs="Arial" w:eastAsia="Arial" w:hAnsi="Arial"/>
            <w:color w:val="1155cc"/>
            <w:sz w:val="16"/>
            <w:szCs w:val="16"/>
            <w:u w:val="single"/>
            <w:rtl w:val="0"/>
          </w:rPr>
          <w:t xml:space="preserve">Table S.2.</w:t>
        </w:r>
      </w:hyperlink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  </w:t>
      </w:r>
    </w:p>
    <w:p w:rsidR="00000000" w:rsidDel="00000000" w:rsidP="00000000" w:rsidRDefault="00000000" w:rsidRPr="00000000" w14:paraId="00000008">
      <w:pPr>
        <w:spacing w:after="0" w:line="276" w:lineRule="auto"/>
        <w:ind w:left="72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76" w:lineRule="auto"/>
        <w:ind w:left="72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76" w:lineRule="auto"/>
        <w:ind w:left="720" w:firstLine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Figure S.2: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419100</wp:posOffset>
            </wp:positionH>
            <wp:positionV relativeFrom="paragraph">
              <wp:posOffset>287513</wp:posOffset>
            </wp:positionV>
            <wp:extent cx="5006387" cy="2507838"/>
            <wp:effectExtent b="0" l="0" r="0" t="0"/>
            <wp:wrapSquare wrapText="bothSides" distB="114300" distT="114300" distL="114300" distR="114300"/>
            <wp:docPr id="2107960596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006387" cy="25078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5476875</wp:posOffset>
            </wp:positionH>
            <wp:positionV relativeFrom="paragraph">
              <wp:posOffset>285750</wp:posOffset>
            </wp:positionV>
            <wp:extent cx="3069195" cy="2505075"/>
            <wp:effectExtent b="0" l="0" r="0" t="0"/>
            <wp:wrapSquare wrapText="bothSides" distB="114300" distT="114300" distL="114300" distR="114300"/>
            <wp:docPr id="2107960599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13"/>
                    <a:srcRect b="7186" l="0" r="0" t="7882"/>
                    <a:stretch>
                      <a:fillRect/>
                    </a:stretch>
                  </pic:blipFill>
                  <pic:spPr>
                    <a:xfrm>
                      <a:off x="0" y="0"/>
                      <a:ext cx="3069195" cy="25050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B">
      <w:pPr>
        <w:spacing w:after="0" w:line="276" w:lineRule="auto"/>
        <w:ind w:left="720" w:firstLine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76" w:lineRule="auto"/>
        <w:ind w:left="720" w:firstLine="720"/>
        <w:jc w:val="both"/>
        <w:rPr>
          <w:rFonts w:ascii="Arial" w:cs="Arial" w:eastAsia="Arial" w:hAnsi="Arial"/>
          <w:b w:val="1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b w:val="1"/>
          <w:sz w:val="16"/>
          <w:szCs w:val="16"/>
          <w:rtl w:val="0"/>
        </w:rPr>
        <w:t xml:space="preserve">Figure S.2: Gel image of PCR of discrepant samples:</w:t>
      </w:r>
    </w:p>
    <w:p w:rsidR="00000000" w:rsidDel="00000000" w:rsidP="00000000" w:rsidRDefault="00000000" w:rsidRPr="00000000" w14:paraId="0000000D">
      <w:pPr>
        <w:spacing w:after="0" w:line="276" w:lineRule="auto"/>
        <w:ind w:left="720" w:firstLine="0"/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Discrepant samples were amplified using three different sets of PCR primer, each producing bands of different sizes: the NDM_ref primer set (~600bp), the F3/B3 primer set (228bp) and the F4/B4 primer set (334bp). The details of the samples loaded on the gel are as follows: 1. CRE-22; 2. CRE-23; 3. CRE-33; 4. CRE-36; 5. CRE-47; 6. CRE-27 and 7: CRE-48. A no template control (NTC) was included for each batch. A 100bp ladder was used for reference. An orange line near the ladder represents the 600bp size, while yellow represents the 300bp size. </w:t>
      </w:r>
    </w:p>
    <w:p w:rsidR="00000000" w:rsidDel="00000000" w:rsidP="00000000" w:rsidRDefault="00000000" w:rsidRPr="00000000" w14:paraId="0000000E">
      <w:pPr>
        <w:spacing w:after="0" w:line="276" w:lineRule="auto"/>
        <w:ind w:left="72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type w:val="nextPage"/>
      <w:pgSz w:h="11906" w:w="16838" w:orient="landscape"/>
      <w:pgMar w:bottom="1440" w:top="1440" w:left="1440" w:right="1440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3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4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5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docs.google.com/spreadsheets/d/13TBPrviMoUFAdVvMUlTJXEo4BOcyT0sPK2jS_rQXlxU/edit?usp=sharing" TargetMode="External"/><Relationship Id="rId10" Type="http://schemas.openxmlformats.org/officeDocument/2006/relationships/image" Target="media/image1.jpg"/><Relationship Id="rId13" Type="http://schemas.openxmlformats.org/officeDocument/2006/relationships/image" Target="media/image5.jpg"/><Relationship Id="rId12" Type="http://schemas.openxmlformats.org/officeDocument/2006/relationships/image" Target="media/image2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jp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6.jpg"/><Relationship Id="rId8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CRD4NrMvriHpAdUKDZ+gqWTLfQ==">CgMxLjA4AHIhMTdTR1RZVVFVclZvNzhTWFdpSjVnYU9oU09zZDc0aGVx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2024-07-08T12:33:00Z</dcterms:created>
  <dc:creator>Gouri Patil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8562fed2-3005-458c-947f-d060103ade9d</vt:lpwstr>
  </property>
</Properties>
</file>