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B1DFBA" w14:textId="77777777" w:rsidR="00B059B6" w:rsidRDefault="00B059B6" w:rsidP="00B059B6">
      <w:pPr>
        <w:widowControl/>
        <w:spacing w:line="480" w:lineRule="auto"/>
        <w:jc w:val="center"/>
        <w:rPr>
          <w:rFonts w:ascii="Times New Roman" w:eastAsia="SimSun" w:hAnsi="Times New Roman" w:cs="Times New Roman"/>
          <w:kern w:val="0"/>
          <w:szCs w:val="21"/>
        </w:rPr>
      </w:pPr>
      <w:r>
        <w:rPr>
          <w:rFonts w:ascii="Times New Roman" w:eastAsia="SimSun" w:hAnsi="Times New Roman" w:cs="Times New Roman"/>
          <w:noProof/>
          <w:kern w:val="0"/>
          <w:szCs w:val="21"/>
        </w:rPr>
        <w:drawing>
          <wp:inline distT="0" distB="0" distL="0" distR="0" wp14:anchorId="6D3D798A" wp14:editId="6275A693">
            <wp:extent cx="5039995" cy="5637530"/>
            <wp:effectExtent l="0" t="0" r="8255" b="1270"/>
            <wp:docPr id="581950492" name="图片 7" descr="A diagram of a cell 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950492" name="图片 7" descr="A diagram of a cell cy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563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0E1A6" w14:textId="77777777" w:rsidR="00B059B6" w:rsidRDefault="00B059B6" w:rsidP="00B059B6">
      <w:pPr>
        <w:widowControl/>
        <w:spacing w:line="480" w:lineRule="auto"/>
        <w:rPr>
          <w:rFonts w:ascii="Times New Roman" w:eastAsia="SimSun" w:hAnsi="Times New Roman" w:cs="Times New Roman"/>
          <w:kern w:val="0"/>
          <w:szCs w:val="21"/>
        </w:rPr>
      </w:pPr>
      <w:r>
        <w:rPr>
          <w:rFonts w:ascii="Times New Roman" w:eastAsia="AdvOT51c1769e" w:hAnsi="Times New Roman" w:cs="Times New Roman"/>
          <w:b/>
          <w:bCs/>
          <w:kern w:val="0"/>
          <w:szCs w:val="21"/>
          <w:lang w:bidi="ar"/>
        </w:rPr>
        <w:t>Scheme 1 Schematic illustration of the therapeutic route of BO/OMV-lipo@LU</w:t>
      </w:r>
      <w:r>
        <w:rPr>
          <w:rFonts w:ascii="Times New Roman" w:eastAsia="SimSun" w:hAnsi="Times New Roman" w:cs="Times New Roman"/>
          <w:b/>
          <w:bCs/>
          <w:kern w:val="0"/>
          <w:szCs w:val="21"/>
        </w:rPr>
        <w:t xml:space="preserve"> against ulcerative colitis (UC) by achieving </w:t>
      </w:r>
      <w:bookmarkStart w:id="0" w:name="OLE_LINK48"/>
      <w:r>
        <w:rPr>
          <w:rFonts w:ascii="Times New Roman" w:eastAsia="SimSun" w:hAnsi="Times New Roman" w:cs="Times New Roman"/>
          <w:b/>
          <w:bCs/>
          <w:kern w:val="0"/>
          <w:szCs w:val="21"/>
        </w:rPr>
        <w:t xml:space="preserve">targeted delivery </w:t>
      </w:r>
      <w:bookmarkEnd w:id="0"/>
      <w:r>
        <w:rPr>
          <w:rFonts w:ascii="Times New Roman" w:eastAsia="SimSun" w:hAnsi="Times New Roman" w:cs="Times New Roman"/>
          <w:b/>
          <w:bCs/>
          <w:kern w:val="0"/>
          <w:szCs w:val="21"/>
        </w:rPr>
        <w:t>of luteolin.</w:t>
      </w:r>
      <w:r>
        <w:rPr>
          <w:rFonts w:ascii="Times New Roman" w:eastAsia="SimSun" w:hAnsi="Times New Roman" w:cs="Times New Roman"/>
          <w:kern w:val="0"/>
          <w:szCs w:val="21"/>
        </w:rPr>
        <w:t xml:space="preserve"> The luteolin-loaded liposomes (Lipo@LU) were modified with borneol and fused with bacterial outer membrane vesicles (OMVs) to construct chemotaxis-driven hybrid liposomes (BO/OMV-lipo@LU). After oral administration of BO/OMV-lipo@LU, the fused OMVs contributed to the retention of liposomes in the inflamed colon to achieve chemotaxis-driven UC-targeted delivery. </w:t>
      </w:r>
      <w:r>
        <w:rPr>
          <w:rFonts w:ascii="Times New Roman" w:eastAsia="SimSun" w:hAnsi="Times New Roman" w:cs="Times New Roman" w:hint="eastAsia"/>
          <w:kern w:val="0"/>
          <w:szCs w:val="21"/>
        </w:rPr>
        <w:t>U</w:t>
      </w:r>
      <w:r>
        <w:rPr>
          <w:rFonts w:ascii="Times New Roman" w:eastAsia="SimSun" w:hAnsi="Times New Roman" w:cs="Times New Roman"/>
          <w:kern w:val="0"/>
          <w:szCs w:val="21"/>
        </w:rPr>
        <w:t xml:space="preserve">nder the combined effects of OMVs and borneol, BO/OMV-lipo@LU achieved deep mucosa penetration and improved epithelial uptake. The formulation could also sustainedly release luteolin in inflamed colon sites for UC therapy. Thus, </w:t>
      </w:r>
      <w:bookmarkStart w:id="1" w:name="OLE_LINK50"/>
      <w:r>
        <w:rPr>
          <w:rFonts w:ascii="Times New Roman" w:eastAsia="SimSun" w:hAnsi="Times New Roman" w:cs="Times New Roman"/>
          <w:kern w:val="0"/>
          <w:szCs w:val="21"/>
        </w:rPr>
        <w:t>BO/OMV-lipo@LU</w:t>
      </w:r>
      <w:r>
        <w:rPr>
          <w:rFonts w:ascii="Times New Roman" w:hAnsi="Times New Roman" w:cs="Times New Roman"/>
        </w:rPr>
        <w:t xml:space="preserve"> distinctly alleviated the pathological symptoms of DSS-induced UC </w:t>
      </w:r>
      <w:r>
        <w:rPr>
          <w:rFonts w:ascii="Times New Roman" w:hAnsi="Times New Roman" w:cs="Times New Roman"/>
        </w:rPr>
        <w:lastRenderedPageBreak/>
        <w:t>mice.</w:t>
      </w:r>
      <w:bookmarkEnd w:id="1"/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SimSun" w:hAnsi="Times New Roman" w:cs="Times New Roman"/>
          <w:kern w:val="0"/>
          <w:szCs w:val="21"/>
        </w:rPr>
        <w:t xml:space="preserve">trilogically recover the intestinal homeostasis in UC by alleviating </w:t>
      </w:r>
      <w:bookmarkStart w:id="2" w:name="OLE_LINK6"/>
      <w:r>
        <w:rPr>
          <w:rFonts w:ascii="Times New Roman" w:eastAsia="SimSun" w:hAnsi="Times New Roman" w:cs="Times New Roman"/>
          <w:kern w:val="0"/>
          <w:szCs w:val="21"/>
        </w:rPr>
        <w:t>intestinal</w:t>
      </w:r>
      <w:bookmarkEnd w:id="2"/>
      <w:r>
        <w:rPr>
          <w:rFonts w:ascii="Times New Roman" w:eastAsia="SimSun" w:hAnsi="Times New Roman" w:cs="Times New Roman"/>
          <w:kern w:val="0"/>
          <w:szCs w:val="21"/>
        </w:rPr>
        <w:t xml:space="preserve"> inflammation, modulating redox balance and restoring intestinal epithelial barriers.</w:t>
      </w:r>
      <w:r>
        <w:rPr>
          <w:rFonts w:ascii="Times New Roman" w:eastAsia="SimSun" w:hAnsi="Times New Roman" w:cs="Times New Roman" w:hint="eastAsia"/>
          <w:kern w:val="0"/>
          <w:szCs w:val="21"/>
        </w:rPr>
        <w:t xml:space="preserve"> Created with BioRender.com.</w:t>
      </w:r>
    </w:p>
    <w:p w14:paraId="5CEFD8E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OT51c1769e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9B6"/>
    <w:rsid w:val="00331A6B"/>
    <w:rsid w:val="00755780"/>
    <w:rsid w:val="00857596"/>
    <w:rsid w:val="00982DCB"/>
    <w:rsid w:val="00B0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6829E"/>
  <w15:chartTrackingRefBased/>
  <w15:docId w15:val="{B4FE915A-42BA-4C04-A7C5-4C8083C2E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9B6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59B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9B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9B6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9B6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9B6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9B6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9B6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9B6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9B6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9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9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9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9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9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9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9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9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9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9B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59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9B6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59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9B6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59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9B6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59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9B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9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9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153</Words>
  <Characters>875</Characters>
  <Application>Microsoft Office Word</Application>
  <DocSecurity>0</DocSecurity>
  <Lines>7</Lines>
  <Paragraphs>2</Paragraphs>
  <ScaleCrop>false</ScaleCrop>
  <Company>Springer Nature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2024-07-30T05:54:00Z</dcterms:created>
  <dcterms:modified xsi:type="dcterms:W3CDTF">2024-07-30T05:54:00Z</dcterms:modified>
</cp:coreProperties>
</file>