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3A4FCD" w:rsidRPr="00CF73C9" w:rsidRDefault="007C7327" w:rsidP="00FE3FB7">
      <w:pPr>
        <w:spacing w:after="0"/>
        <w:ind w:firstLine="708"/>
        <w:rPr>
          <w:rFonts w:ascii="Times New Roman" w:hAnsi="Times New Roman" w:cs="Times New Roman"/>
          <w:color w:val="000000"/>
          <w:lang w:val="en-US"/>
        </w:rPr>
      </w:pPr>
      <w:r w:rsidRPr="00CF73C9">
        <w:rPr>
          <w:rFonts w:ascii="Times New Roman" w:hAnsi="Times New Roman" w:cs="Times New Roman"/>
          <w:b/>
          <w:color w:val="000000"/>
          <w:shd w:val="clear" w:color="auto" w:fill="FFFFFF"/>
          <w:lang w:val="en-US"/>
        </w:rPr>
        <w:t>The CARE Checklist</w:t>
      </w:r>
      <w:r w:rsidR="003A4FCD" w:rsidRPr="00CF73C9">
        <w:rPr>
          <w:rFonts w:ascii="Times New Roman" w:hAnsi="Times New Roman" w:cs="Times New Roman"/>
          <w:color w:val="000000"/>
          <w:lang w:val="en-US"/>
        </w:rPr>
        <w:br/>
      </w:r>
    </w:p>
    <w:p w:rsidR="00C31AE1" w:rsidRPr="00CF73C9" w:rsidRDefault="00F20884" w:rsidP="00FE3FB7">
      <w:pPr>
        <w:pStyle w:val="pf0"/>
        <w:rPr>
          <w:sz w:val="22"/>
          <w:szCs w:val="22"/>
          <w:lang w:eastAsia="en-US"/>
        </w:rPr>
      </w:pPr>
      <w:r w:rsidRPr="00CF73C9">
        <w:rPr>
          <w:rFonts w:eastAsiaTheme="minorHAnsi"/>
          <w:b/>
          <w:bCs/>
          <w:sz w:val="22"/>
          <w:szCs w:val="22"/>
          <w:lang w:val="en-US" w:eastAsia="en-US"/>
        </w:rPr>
        <w:t>Incomplete penetrance of a KANSL1 loss of function variants resolved by RNA analysis: a case report</w:t>
      </w:r>
    </w:p>
    <w:p w:rsidR="00FE3FB7" w:rsidRPr="00CF73C9" w:rsidRDefault="00097A76" w:rsidP="00FE3FB7">
      <w:pPr>
        <w:rPr>
          <w:rFonts w:ascii="Times New Roman" w:eastAsia="Times New Roman" w:hAnsi="Times New Roman" w:cs="Times New Roman"/>
        </w:rPr>
      </w:pPr>
      <w:r w:rsidRPr="00CF73C9">
        <w:rPr>
          <w:rFonts w:ascii="Times New Roman" w:eastAsia="Times New Roman" w:hAnsi="Times New Roman" w:cs="Times New Roman"/>
          <w:lang w:val="en-US"/>
        </w:rPr>
        <w:t xml:space="preserve">Daria Akimova, Daria Guseva, Maria </w:t>
      </w:r>
      <w:proofErr w:type="spellStart"/>
      <w:r w:rsidRPr="00CF73C9">
        <w:rPr>
          <w:rFonts w:ascii="Times New Roman" w:eastAsia="Times New Roman" w:hAnsi="Times New Roman" w:cs="Times New Roman"/>
          <w:lang w:val="en-US"/>
        </w:rPr>
        <w:t>Nefedova</w:t>
      </w:r>
      <w:proofErr w:type="spellEnd"/>
      <w:r w:rsidRPr="00CF73C9">
        <w:rPr>
          <w:rFonts w:ascii="Times New Roman" w:eastAsia="Times New Roman" w:hAnsi="Times New Roman" w:cs="Times New Roman"/>
          <w:lang w:val="en-US"/>
        </w:rPr>
        <w:t xml:space="preserve">, Mikhail </w:t>
      </w:r>
      <w:proofErr w:type="spellStart"/>
      <w:r w:rsidRPr="00CF73C9">
        <w:rPr>
          <w:rFonts w:ascii="Times New Roman" w:eastAsia="Times New Roman" w:hAnsi="Times New Roman" w:cs="Times New Roman"/>
          <w:lang w:val="en-US"/>
        </w:rPr>
        <w:t>Skoblov</w:t>
      </w:r>
      <w:proofErr w:type="spellEnd"/>
    </w:p>
    <w:p w:rsidR="00F20884" w:rsidRPr="00CF73C9" w:rsidRDefault="00FE3FB7" w:rsidP="00FE3FB7">
      <w:pPr>
        <w:rPr>
          <w:rFonts w:ascii="Times New Roman" w:hAnsi="Times New Roman" w:cs="Times New Roman"/>
          <w:color w:val="000000"/>
          <w:shd w:val="clear" w:color="auto" w:fill="FFFFFF"/>
          <w:lang w:val="en-US"/>
        </w:rPr>
      </w:pPr>
      <w:r w:rsidRPr="00CF73C9">
        <w:rPr>
          <w:rFonts w:ascii="Times New Roman" w:eastAsia="Times New Roman" w:hAnsi="Times New Roman" w:cs="Times New Roman"/>
        </w:rPr>
        <w:t>Со</w:t>
      </w:r>
      <w:proofErr w:type="spellStart"/>
      <w:r w:rsidRPr="00CF73C9">
        <w:rPr>
          <w:rFonts w:ascii="Times New Roman" w:eastAsia="Times New Roman" w:hAnsi="Times New Roman" w:cs="Times New Roman"/>
          <w:lang w:val="en-US"/>
        </w:rPr>
        <w:t>rresponding</w:t>
      </w:r>
      <w:proofErr w:type="spellEnd"/>
      <w:r w:rsidRPr="00CF73C9">
        <w:rPr>
          <w:rFonts w:ascii="Times New Roman" w:eastAsia="Times New Roman" w:hAnsi="Times New Roman" w:cs="Times New Roman"/>
          <w:lang w:val="en-US"/>
        </w:rPr>
        <w:t xml:space="preserve"> author: Daria Akimova, mkda6ka@mail.ru</w:t>
      </w:r>
      <w:r w:rsidR="007C7327" w:rsidRPr="00CF73C9">
        <w:rPr>
          <w:rFonts w:ascii="Times New Roman" w:hAnsi="Times New Roman" w:cs="Times New Roman"/>
          <w:color w:val="000000"/>
          <w:lang w:val="en-US"/>
        </w:rPr>
        <w:br/>
      </w:r>
    </w:p>
    <w:p w:rsidR="00FE3FB7" w:rsidRPr="00CF73C9" w:rsidRDefault="00FE3FB7" w:rsidP="00FE3FB7">
      <w:pPr>
        <w:pStyle w:val="a4"/>
        <w:spacing w:before="120" w:beforeAutospacing="0" w:after="120" w:afterAutospacing="0" w:line="300" w:lineRule="auto"/>
        <w:jc w:val="both"/>
        <w:rPr>
          <w:sz w:val="22"/>
          <w:szCs w:val="22"/>
          <w:lang w:val="en-US"/>
        </w:rPr>
      </w:pPr>
      <w:r w:rsidRPr="00CF73C9">
        <w:rPr>
          <w:b/>
          <w:bCs/>
          <w:color w:val="000000"/>
          <w:sz w:val="22"/>
          <w:szCs w:val="22"/>
          <w:lang w:val="en-US"/>
        </w:rPr>
        <w:t>Abstract</w:t>
      </w:r>
      <w:r w:rsidR="007C7327" w:rsidRPr="00CF73C9">
        <w:rPr>
          <w:b/>
          <w:bCs/>
          <w:color w:val="000000"/>
          <w:sz w:val="22"/>
          <w:szCs w:val="22"/>
          <w:lang w:val="en-US"/>
        </w:rPr>
        <w:br/>
      </w:r>
      <w:r w:rsidRPr="00CF73C9">
        <w:rPr>
          <w:b/>
          <w:bCs/>
          <w:sz w:val="22"/>
          <w:szCs w:val="22"/>
          <w:lang w:val="en-US"/>
        </w:rPr>
        <w:t>Background</w:t>
      </w:r>
      <w:r w:rsidRPr="00CF73C9">
        <w:rPr>
          <w:sz w:val="22"/>
          <w:szCs w:val="22"/>
          <w:lang w:val="en-US"/>
        </w:rPr>
        <w:t xml:space="preserve"> Epilepsy is a prevalent neurological disorder, affecting approximately 1% of the global population. The extensive clinical and genetic variability in epilepsy makes accurate diagnosis a significant challenge. </w:t>
      </w:r>
    </w:p>
    <w:p w:rsidR="00FE3FB7" w:rsidRPr="00CF73C9" w:rsidRDefault="00FE3FB7" w:rsidP="00FE3FB7">
      <w:pPr>
        <w:pStyle w:val="a4"/>
        <w:spacing w:before="120" w:beforeAutospacing="0" w:after="120" w:afterAutospacing="0" w:line="300" w:lineRule="auto"/>
        <w:jc w:val="both"/>
        <w:rPr>
          <w:sz w:val="22"/>
          <w:szCs w:val="22"/>
          <w:lang w:val="en-US"/>
        </w:rPr>
      </w:pPr>
      <w:r w:rsidRPr="00CF73C9">
        <w:rPr>
          <w:b/>
          <w:bCs/>
          <w:sz w:val="22"/>
          <w:szCs w:val="22"/>
          <w:lang w:val="en-US"/>
        </w:rPr>
        <w:t>Case presentation</w:t>
      </w:r>
      <w:r w:rsidRPr="00CF73C9">
        <w:rPr>
          <w:sz w:val="22"/>
          <w:szCs w:val="22"/>
          <w:lang w:val="en-US"/>
        </w:rPr>
        <w:t xml:space="preserve"> </w:t>
      </w:r>
      <w:proofErr w:type="gramStart"/>
      <w:r w:rsidRPr="00CF73C9">
        <w:rPr>
          <w:sz w:val="22"/>
          <w:szCs w:val="22"/>
          <w:lang w:val="en-US"/>
        </w:rPr>
        <w:t>In</w:t>
      </w:r>
      <w:proofErr w:type="gramEnd"/>
      <w:r w:rsidRPr="00CF73C9">
        <w:rPr>
          <w:sz w:val="22"/>
          <w:szCs w:val="22"/>
          <w:lang w:val="en-US"/>
        </w:rPr>
        <w:t xml:space="preserve"> this study, we describe a girl with a clinical presentation of </w:t>
      </w:r>
      <w:bookmarkStart w:id="0" w:name="_Hlk170817722"/>
      <w:r w:rsidRPr="00CF73C9">
        <w:rPr>
          <w:sz w:val="22"/>
          <w:szCs w:val="22"/>
          <w:lang w:val="en-US"/>
        </w:rPr>
        <w:t>developmental and epileptic encephalopathy (DEE)</w:t>
      </w:r>
      <w:bookmarkEnd w:id="0"/>
      <w:r w:rsidRPr="00CF73C9">
        <w:rPr>
          <w:sz w:val="22"/>
          <w:szCs w:val="22"/>
          <w:lang w:val="en-US"/>
        </w:rPr>
        <w:t xml:space="preserve">. Using </w:t>
      </w:r>
      <w:bookmarkStart w:id="1" w:name="_Hlk170817734"/>
      <w:r w:rsidRPr="00CF73C9">
        <w:rPr>
          <w:sz w:val="22"/>
          <w:szCs w:val="22"/>
          <w:lang w:val="en-US"/>
        </w:rPr>
        <w:t xml:space="preserve">whole genome sequencing (WGS), </w:t>
      </w:r>
      <w:bookmarkEnd w:id="1"/>
      <w:r w:rsidRPr="00CF73C9">
        <w:rPr>
          <w:sz w:val="22"/>
          <w:szCs w:val="22"/>
          <w:lang w:val="en-US"/>
        </w:rPr>
        <w:t xml:space="preserve">we identified several candidate variants in the </w:t>
      </w:r>
      <w:r w:rsidRPr="00CF73C9">
        <w:rPr>
          <w:i/>
          <w:sz w:val="22"/>
          <w:szCs w:val="22"/>
          <w:lang w:val="en-US"/>
        </w:rPr>
        <w:t>HNRNPU</w:t>
      </w:r>
      <w:r w:rsidRPr="00CF73C9">
        <w:rPr>
          <w:sz w:val="22"/>
          <w:szCs w:val="22"/>
          <w:lang w:val="en-US"/>
        </w:rPr>
        <w:t xml:space="preserve">, </w:t>
      </w:r>
      <w:r w:rsidRPr="00CF73C9">
        <w:rPr>
          <w:i/>
          <w:iCs/>
          <w:sz w:val="22"/>
          <w:szCs w:val="22"/>
          <w:lang w:val="en-US"/>
        </w:rPr>
        <w:t>NIPBL</w:t>
      </w:r>
      <w:r w:rsidRPr="00CF73C9">
        <w:rPr>
          <w:sz w:val="22"/>
          <w:szCs w:val="22"/>
          <w:lang w:val="en-US"/>
        </w:rPr>
        <w:t xml:space="preserve">, and </w:t>
      </w:r>
      <w:r w:rsidRPr="00CF73C9">
        <w:rPr>
          <w:i/>
          <w:iCs/>
          <w:sz w:val="22"/>
          <w:szCs w:val="22"/>
          <w:lang w:val="en-US"/>
        </w:rPr>
        <w:t>KANSL1</w:t>
      </w:r>
      <w:r w:rsidRPr="00CF73C9">
        <w:rPr>
          <w:sz w:val="22"/>
          <w:szCs w:val="22"/>
          <w:lang w:val="en-US"/>
        </w:rPr>
        <w:t xml:space="preserve"> genes with partial overlap with the patient </w:t>
      </w:r>
      <w:proofErr w:type="gramStart"/>
      <w:r w:rsidRPr="00CF73C9">
        <w:rPr>
          <w:sz w:val="22"/>
          <w:szCs w:val="22"/>
          <w:lang w:val="en-US"/>
        </w:rPr>
        <w:t>clinical  presentation</w:t>
      </w:r>
      <w:proofErr w:type="gramEnd"/>
      <w:r w:rsidRPr="00CF73C9">
        <w:rPr>
          <w:sz w:val="22"/>
          <w:szCs w:val="22"/>
          <w:lang w:val="en-US"/>
        </w:rPr>
        <w:t xml:space="preserve">. Subsequent analysis revealed that only the variant in the </w:t>
      </w:r>
      <w:r w:rsidRPr="00CF73C9">
        <w:rPr>
          <w:i/>
          <w:iCs/>
          <w:sz w:val="22"/>
          <w:szCs w:val="22"/>
          <w:lang w:val="en-US"/>
        </w:rPr>
        <w:t>HNRNPU</w:t>
      </w:r>
      <w:r w:rsidRPr="00CF73C9">
        <w:rPr>
          <w:sz w:val="22"/>
          <w:szCs w:val="22"/>
          <w:lang w:val="en-US"/>
        </w:rPr>
        <w:t xml:space="preserve"> gene arose de novo while the others were inherited from an </w:t>
      </w:r>
      <w:proofErr w:type="gramStart"/>
      <w:r w:rsidRPr="00CF73C9">
        <w:rPr>
          <w:sz w:val="22"/>
          <w:szCs w:val="22"/>
          <w:lang w:val="en-US"/>
        </w:rPr>
        <w:t>unaffected parents</w:t>
      </w:r>
      <w:proofErr w:type="gramEnd"/>
      <w:r w:rsidRPr="00CF73C9">
        <w:rPr>
          <w:sz w:val="22"/>
          <w:szCs w:val="22"/>
          <w:lang w:val="en-US"/>
        </w:rPr>
        <w:t xml:space="preserve">. However, the previously reported pathogenic loss of function variant in the </w:t>
      </w:r>
      <w:r w:rsidRPr="00CF73C9">
        <w:rPr>
          <w:i/>
          <w:iCs/>
          <w:sz w:val="22"/>
          <w:szCs w:val="22"/>
          <w:lang w:val="en-US"/>
        </w:rPr>
        <w:t>KANSL1</w:t>
      </w:r>
      <w:r w:rsidRPr="00CF73C9">
        <w:rPr>
          <w:sz w:val="22"/>
          <w:szCs w:val="22"/>
          <w:lang w:val="en-US"/>
        </w:rPr>
        <w:t xml:space="preserve"> gene, inherited from a healthy mother, complicated comprehensive family counseling. A thorough investigation using RNA analysis showed that the variant in the </w:t>
      </w:r>
      <w:r w:rsidRPr="00CF73C9">
        <w:rPr>
          <w:i/>
          <w:iCs/>
          <w:sz w:val="22"/>
          <w:szCs w:val="22"/>
          <w:lang w:val="en-US"/>
        </w:rPr>
        <w:t>KANSL1</w:t>
      </w:r>
      <w:r w:rsidRPr="00CF73C9">
        <w:rPr>
          <w:sz w:val="22"/>
          <w:szCs w:val="22"/>
          <w:lang w:val="en-US"/>
        </w:rPr>
        <w:t xml:space="preserve"> gene is located in a duplicated locus, which is not functional, explaining the assumed incomplete penetrance. </w:t>
      </w:r>
    </w:p>
    <w:p w:rsidR="00F20884" w:rsidRPr="00CF73C9" w:rsidRDefault="00FE3FB7" w:rsidP="00FE3FB7">
      <w:pPr>
        <w:pStyle w:val="a4"/>
        <w:spacing w:before="120" w:beforeAutospacing="0" w:after="120" w:afterAutospacing="0" w:line="300" w:lineRule="auto"/>
        <w:jc w:val="both"/>
        <w:rPr>
          <w:sz w:val="22"/>
          <w:szCs w:val="22"/>
          <w:lang w:val="en-US"/>
        </w:rPr>
      </w:pPr>
      <w:r w:rsidRPr="00CF73C9">
        <w:rPr>
          <w:b/>
          <w:bCs/>
          <w:sz w:val="22"/>
          <w:szCs w:val="22"/>
          <w:lang w:val="en-US"/>
        </w:rPr>
        <w:t>Conclusions</w:t>
      </w:r>
      <w:r w:rsidRPr="00CF73C9">
        <w:rPr>
          <w:sz w:val="22"/>
          <w:szCs w:val="22"/>
          <w:lang w:val="en-US"/>
        </w:rPr>
        <w:t xml:space="preserve"> This case illustrates the importance of integrating WGS with additional analyses to accurately diagnose and understand the molecular basis of incomplete penetrance in the </w:t>
      </w:r>
      <w:r w:rsidRPr="00CF73C9">
        <w:rPr>
          <w:i/>
          <w:iCs/>
          <w:sz w:val="22"/>
          <w:szCs w:val="22"/>
          <w:lang w:val="en-US"/>
        </w:rPr>
        <w:t>KANSL1</w:t>
      </w:r>
      <w:r w:rsidRPr="00CF73C9">
        <w:rPr>
          <w:sz w:val="22"/>
          <w:szCs w:val="22"/>
          <w:lang w:val="en-US"/>
        </w:rPr>
        <w:t xml:space="preserve"> gene.</w:t>
      </w:r>
    </w:p>
    <w:p w:rsidR="00FE3FB7" w:rsidRPr="00CF73C9" w:rsidRDefault="00097A76" w:rsidP="00FE3FB7">
      <w:pPr>
        <w:rPr>
          <w:rFonts w:ascii="Times New Roman" w:hAnsi="Times New Roman" w:cs="Times New Roman"/>
          <w:b/>
          <w:color w:val="000000"/>
          <w:shd w:val="clear" w:color="auto" w:fill="FFFFFF"/>
          <w:lang w:val="en-US"/>
        </w:rPr>
      </w:pPr>
      <w:r w:rsidRPr="00CF73C9">
        <w:rPr>
          <w:rFonts w:ascii="Times New Roman" w:eastAsia="Times New Roman" w:hAnsi="Times New Roman" w:cs="Times New Roman"/>
          <w:b/>
          <w:bCs/>
          <w:lang w:val="en-US"/>
        </w:rPr>
        <w:t>Key Words</w:t>
      </w:r>
      <w:r w:rsidR="00FE3FB7" w:rsidRPr="00CF73C9">
        <w:rPr>
          <w:rFonts w:ascii="Times New Roman" w:eastAsia="Times New Roman" w:hAnsi="Times New Roman" w:cs="Times New Roman"/>
          <w:b/>
          <w:bCs/>
          <w:lang w:val="en-US"/>
        </w:rPr>
        <w:t>:</w:t>
      </w:r>
      <w:r w:rsidR="00FE3FB7" w:rsidRPr="00CF73C9">
        <w:rPr>
          <w:rFonts w:ascii="Times New Roman" w:eastAsia="Times New Roman" w:hAnsi="Times New Roman" w:cs="Times New Roman"/>
          <w:lang w:val="en-US"/>
        </w:rPr>
        <w:t xml:space="preserve"> </w:t>
      </w:r>
      <w:r w:rsidR="00FE3FB7" w:rsidRPr="00CF73C9">
        <w:rPr>
          <w:rFonts w:ascii="Times New Roman" w:eastAsia="Times New Roman" w:hAnsi="Times New Roman" w:cs="Times New Roman"/>
          <w:lang w:val="en-US"/>
        </w:rPr>
        <w:t>Epilepsy, Incomplete penetrance, Koolen-de Vries syndrome (</w:t>
      </w:r>
      <w:proofErr w:type="spellStart"/>
      <w:r w:rsidR="00FE3FB7" w:rsidRPr="00CF73C9">
        <w:rPr>
          <w:rFonts w:ascii="Times New Roman" w:eastAsia="Times New Roman" w:hAnsi="Times New Roman" w:cs="Times New Roman"/>
          <w:lang w:val="en-US"/>
        </w:rPr>
        <w:t>KdVS</w:t>
      </w:r>
      <w:proofErr w:type="spellEnd"/>
      <w:r w:rsidR="00FE3FB7" w:rsidRPr="00CF73C9">
        <w:rPr>
          <w:rFonts w:ascii="Times New Roman" w:eastAsia="Times New Roman" w:hAnsi="Times New Roman" w:cs="Times New Roman"/>
          <w:lang w:val="en-US"/>
        </w:rPr>
        <w:t>), RNA analysis, KANSL1 gene, HNRNPU</w:t>
      </w:r>
      <w:r w:rsidR="007C7327" w:rsidRPr="00CF73C9">
        <w:rPr>
          <w:rFonts w:ascii="Times New Roman" w:hAnsi="Times New Roman" w:cs="Times New Roman"/>
          <w:color w:val="000000"/>
          <w:lang w:val="en-US"/>
        </w:rPr>
        <w:br/>
      </w:r>
    </w:p>
    <w:p w:rsidR="00C31AE1" w:rsidRPr="00CF73C9" w:rsidRDefault="007C7327" w:rsidP="00FE3FB7">
      <w:pPr>
        <w:jc w:val="both"/>
        <w:rPr>
          <w:rFonts w:ascii="Times New Roman" w:hAnsi="Times New Roman" w:cs="Times New Roman"/>
          <w:color w:val="000000"/>
          <w:shd w:val="clear" w:color="auto" w:fill="FFFFFF"/>
          <w:lang w:val="en-US"/>
        </w:rPr>
      </w:pPr>
      <w:r w:rsidRPr="00CF73C9">
        <w:rPr>
          <w:rFonts w:ascii="Times New Roman" w:hAnsi="Times New Roman" w:cs="Times New Roman"/>
          <w:b/>
          <w:color w:val="000000"/>
          <w:shd w:val="clear" w:color="auto" w:fill="FFFFFF"/>
          <w:lang w:val="en-US"/>
        </w:rPr>
        <w:t>Introduction</w:t>
      </w:r>
    </w:p>
    <w:p w:rsidR="00F20884" w:rsidRPr="00CF73C9" w:rsidRDefault="00F20884" w:rsidP="00FE3FB7">
      <w:pPr>
        <w:widowControl w:val="0"/>
        <w:spacing w:before="120" w:after="120" w:line="300" w:lineRule="auto"/>
        <w:jc w:val="both"/>
        <w:rPr>
          <w:rFonts w:ascii="Times New Roman" w:eastAsia="Times New Roman" w:hAnsi="Times New Roman" w:cs="Times New Roman"/>
          <w:lang w:val="en-US"/>
        </w:rPr>
      </w:pPr>
      <w:r w:rsidRPr="00CF73C9">
        <w:rPr>
          <w:rFonts w:ascii="Times New Roman" w:eastAsia="Times New Roman" w:hAnsi="Times New Roman" w:cs="Times New Roman"/>
          <w:lang w:val="en-US"/>
        </w:rPr>
        <w:t xml:space="preserve">Epilepsy is among the most prevalent neurological disorders, with an incidence rate of approximately 50 new cases per 100,000 people annually </w:t>
      </w:r>
      <w:hyperlink r:id="rId5">
        <w:r w:rsidRPr="00CF73C9">
          <w:rPr>
            <w:rFonts w:ascii="Times New Roman" w:eastAsia="Times New Roman" w:hAnsi="Times New Roman" w:cs="Times New Roman"/>
            <w:color w:val="000000"/>
            <w:lang w:val="en-US"/>
          </w:rPr>
          <w:t>(Stafstrom and Carmant, 2015)</w:t>
        </w:r>
      </w:hyperlink>
      <w:r w:rsidRPr="00CF73C9">
        <w:rPr>
          <w:rFonts w:ascii="Times New Roman" w:eastAsia="Times New Roman" w:hAnsi="Times New Roman" w:cs="Times New Roman"/>
          <w:lang w:val="en-US"/>
        </w:rPr>
        <w:t xml:space="preserve">. Genetic factors account for about 70-80% of epilepsy cases </w:t>
      </w:r>
      <w:hyperlink r:id="rId6">
        <w:r w:rsidRPr="00CF73C9">
          <w:rPr>
            <w:rFonts w:ascii="Times New Roman" w:eastAsia="Times New Roman" w:hAnsi="Times New Roman" w:cs="Times New Roman"/>
            <w:color w:val="000000"/>
            <w:lang w:val="en-US"/>
          </w:rPr>
          <w:t>(Myers and Mefford, 2015)</w:t>
        </w:r>
      </w:hyperlink>
      <w:r w:rsidRPr="00CF73C9">
        <w:rPr>
          <w:rFonts w:ascii="Times New Roman" w:eastAsia="Times New Roman" w:hAnsi="Times New Roman" w:cs="Times New Roman"/>
          <w:lang w:val="en-US"/>
        </w:rPr>
        <w:t xml:space="preserve">, and around 1% of the global population is affected by this condition. Approximately 75% of epilepsy cases manifest during childhood, highlighting the increased vulnerability of the developing brain to seizures </w:t>
      </w:r>
      <w:hyperlink r:id="rId7">
        <w:r w:rsidRPr="00CF73C9">
          <w:rPr>
            <w:rFonts w:ascii="Times New Roman" w:eastAsia="Times New Roman" w:hAnsi="Times New Roman" w:cs="Times New Roman"/>
            <w:color w:val="000000"/>
            <w:lang w:val="en-US"/>
          </w:rPr>
          <w:t>(Stafstrom and Carmant, 2015)</w:t>
        </w:r>
      </w:hyperlink>
      <w:r w:rsidRPr="00CF73C9">
        <w:rPr>
          <w:rFonts w:ascii="Times New Roman" w:eastAsia="Times New Roman" w:hAnsi="Times New Roman" w:cs="Times New Roman"/>
          <w:lang w:val="en-US"/>
        </w:rPr>
        <w:t>. Epilepsy encompasses various types and syndromes, classified based on clinical and EEG features, etiologies, and comorbidities. Developmental and epileptic encephalopathies (DEEs) represent the most severe spectrum of epilepsy disorders with a significant monogenic component</w:t>
      </w:r>
      <w:hyperlink r:id="rId8">
        <w:r w:rsidRPr="00CF73C9">
          <w:rPr>
            <w:rFonts w:ascii="Times New Roman" w:eastAsia="Times New Roman" w:hAnsi="Times New Roman" w:cs="Times New Roman"/>
            <w:color w:val="000000"/>
            <w:lang w:val="en-US"/>
          </w:rPr>
          <w:t xml:space="preserve">(Guerrini </w:t>
        </w:r>
      </w:hyperlink>
      <w:hyperlink r:id="rId9">
        <w:r w:rsidRPr="00CF73C9">
          <w:rPr>
            <w:rFonts w:ascii="Times New Roman" w:eastAsia="Times New Roman" w:hAnsi="Times New Roman" w:cs="Times New Roman"/>
            <w:i/>
            <w:color w:val="000000"/>
            <w:lang w:val="en-US"/>
          </w:rPr>
          <w:t>et al.</w:t>
        </w:r>
      </w:hyperlink>
      <w:hyperlink r:id="rId10">
        <w:r w:rsidRPr="00CF73C9">
          <w:rPr>
            <w:rFonts w:ascii="Times New Roman" w:eastAsia="Times New Roman" w:hAnsi="Times New Roman" w:cs="Times New Roman"/>
            <w:color w:val="000000"/>
            <w:lang w:val="en-US"/>
          </w:rPr>
          <w:t>, 2023)</w:t>
        </w:r>
      </w:hyperlink>
      <w:r w:rsidRPr="00CF73C9">
        <w:rPr>
          <w:rFonts w:ascii="Times New Roman" w:eastAsia="Times New Roman" w:hAnsi="Times New Roman" w:cs="Times New Roman"/>
          <w:lang w:val="en-US"/>
        </w:rPr>
        <w:t xml:space="preserve">, </w:t>
      </w:r>
      <w:hyperlink r:id="rId11">
        <w:r w:rsidRPr="00CF73C9">
          <w:rPr>
            <w:rFonts w:ascii="Times New Roman" w:eastAsia="Times New Roman" w:hAnsi="Times New Roman" w:cs="Times New Roman"/>
            <w:color w:val="000000"/>
            <w:lang w:val="en-US"/>
          </w:rPr>
          <w:t xml:space="preserve">(Scheffer </w:t>
        </w:r>
      </w:hyperlink>
      <w:hyperlink r:id="rId12">
        <w:r w:rsidRPr="00CF73C9">
          <w:rPr>
            <w:rFonts w:ascii="Times New Roman" w:eastAsia="Times New Roman" w:hAnsi="Times New Roman" w:cs="Times New Roman"/>
            <w:i/>
            <w:color w:val="000000"/>
            <w:lang w:val="en-US"/>
          </w:rPr>
          <w:t>et al.</w:t>
        </w:r>
      </w:hyperlink>
      <w:hyperlink r:id="rId13">
        <w:r w:rsidRPr="00CF73C9">
          <w:rPr>
            <w:rFonts w:ascii="Times New Roman" w:eastAsia="Times New Roman" w:hAnsi="Times New Roman" w:cs="Times New Roman"/>
            <w:color w:val="000000"/>
            <w:lang w:val="en-US"/>
          </w:rPr>
          <w:t>, 2017)</w:t>
        </w:r>
      </w:hyperlink>
      <w:r w:rsidRPr="00CF73C9">
        <w:rPr>
          <w:rFonts w:ascii="Times New Roman" w:eastAsia="Times New Roman" w:hAnsi="Times New Roman" w:cs="Times New Roman"/>
          <w:lang w:val="en-US"/>
        </w:rPr>
        <w:t xml:space="preserve">. </w:t>
      </w:r>
    </w:p>
    <w:p w:rsidR="00F20884" w:rsidRPr="00CF73C9" w:rsidRDefault="00F20884" w:rsidP="00FE3FB7">
      <w:pPr>
        <w:widowControl w:val="0"/>
        <w:spacing w:before="120" w:after="120" w:line="300" w:lineRule="auto"/>
        <w:jc w:val="both"/>
        <w:rPr>
          <w:rFonts w:ascii="Times New Roman" w:eastAsia="Times New Roman" w:hAnsi="Times New Roman" w:cs="Times New Roman"/>
          <w:lang w:val="en-US"/>
        </w:rPr>
      </w:pPr>
      <w:r w:rsidRPr="00CF73C9">
        <w:rPr>
          <w:rFonts w:ascii="Times New Roman" w:eastAsia="Times New Roman" w:hAnsi="Times New Roman" w:cs="Times New Roman"/>
          <w:lang w:val="en-US"/>
        </w:rPr>
        <w:t xml:space="preserve">Due to the phenotypic and genetic heterogeneity of DEEs, a multigene screening approach is essential. Currently, 172 genes have been identified as responsible for DEEs </w:t>
      </w:r>
      <w:hyperlink r:id="rId14">
        <w:r w:rsidRPr="00CF73C9">
          <w:rPr>
            <w:rFonts w:ascii="Times New Roman" w:eastAsia="Times New Roman" w:hAnsi="Times New Roman" w:cs="Times New Roman"/>
            <w:color w:val="000000"/>
            <w:lang w:val="en-US"/>
          </w:rPr>
          <w:t xml:space="preserve">(Guerrini </w:t>
        </w:r>
      </w:hyperlink>
      <w:hyperlink r:id="rId15">
        <w:r w:rsidRPr="00CF73C9">
          <w:rPr>
            <w:rFonts w:ascii="Times New Roman" w:eastAsia="Times New Roman" w:hAnsi="Times New Roman" w:cs="Times New Roman"/>
            <w:i/>
            <w:color w:val="000000"/>
            <w:lang w:val="en-US"/>
          </w:rPr>
          <w:t>et al.</w:t>
        </w:r>
      </w:hyperlink>
      <w:hyperlink r:id="rId16">
        <w:r w:rsidRPr="00CF73C9">
          <w:rPr>
            <w:rFonts w:ascii="Times New Roman" w:eastAsia="Times New Roman" w:hAnsi="Times New Roman" w:cs="Times New Roman"/>
            <w:color w:val="000000"/>
            <w:lang w:val="en-US"/>
          </w:rPr>
          <w:t>, 2023)</w:t>
        </w:r>
      </w:hyperlink>
      <w:r w:rsidRPr="00CF73C9">
        <w:rPr>
          <w:rFonts w:ascii="Times New Roman" w:eastAsia="Times New Roman" w:hAnsi="Times New Roman" w:cs="Times New Roman"/>
          <w:lang w:val="en-US"/>
        </w:rPr>
        <w:t xml:space="preserve">. Despite the routine use of panels and exome sequencing, the diagnostic efficiency for DEE remains limited and  ranges from 18% to 48% </w:t>
      </w:r>
      <w:hyperlink r:id="rId17">
        <w:r w:rsidRPr="00CF73C9">
          <w:rPr>
            <w:rFonts w:ascii="Times New Roman" w:eastAsia="Times New Roman" w:hAnsi="Times New Roman" w:cs="Times New Roman"/>
            <w:color w:val="000000"/>
            <w:lang w:val="en-US"/>
          </w:rPr>
          <w:t xml:space="preserve">(Møller </w:t>
        </w:r>
      </w:hyperlink>
      <w:hyperlink r:id="rId18">
        <w:r w:rsidRPr="00CF73C9">
          <w:rPr>
            <w:rFonts w:ascii="Times New Roman" w:eastAsia="Times New Roman" w:hAnsi="Times New Roman" w:cs="Times New Roman"/>
            <w:i/>
            <w:color w:val="000000"/>
            <w:lang w:val="en-US"/>
          </w:rPr>
          <w:t>et al.</w:t>
        </w:r>
      </w:hyperlink>
      <w:hyperlink r:id="rId19">
        <w:r w:rsidRPr="00CF73C9">
          <w:rPr>
            <w:rFonts w:ascii="Times New Roman" w:eastAsia="Times New Roman" w:hAnsi="Times New Roman" w:cs="Times New Roman"/>
            <w:color w:val="000000"/>
            <w:lang w:val="en-US"/>
          </w:rPr>
          <w:t>, 2019)</w:t>
        </w:r>
      </w:hyperlink>
      <w:r w:rsidRPr="00CF73C9">
        <w:rPr>
          <w:rFonts w:ascii="Times New Roman" w:eastAsia="Times New Roman" w:hAnsi="Times New Roman" w:cs="Times New Roman"/>
          <w:lang w:val="en-US"/>
        </w:rPr>
        <w:t xml:space="preserve">. WGS has the potential to enhance diagnostic outcomes by providing uniform coverage across the genome, detecting variants in noncoding regions and the mitochondrial genome, identifying repeat expansion variants, and offering more reliable detection of structural variants, especially those with breakpoints in repetitive regions and copy-neutral variants such as inversions and translocations </w:t>
      </w:r>
      <w:hyperlink r:id="rId20">
        <w:r w:rsidRPr="00CF73C9">
          <w:rPr>
            <w:rFonts w:ascii="Times New Roman" w:eastAsia="Times New Roman" w:hAnsi="Times New Roman" w:cs="Times New Roman"/>
            <w:color w:val="000000"/>
            <w:lang w:val="en-US"/>
          </w:rPr>
          <w:t xml:space="preserve">(Palmer </w:t>
        </w:r>
      </w:hyperlink>
      <w:hyperlink r:id="rId21">
        <w:r w:rsidRPr="00CF73C9">
          <w:rPr>
            <w:rFonts w:ascii="Times New Roman" w:eastAsia="Times New Roman" w:hAnsi="Times New Roman" w:cs="Times New Roman"/>
            <w:i/>
            <w:color w:val="000000"/>
            <w:lang w:val="en-US"/>
          </w:rPr>
          <w:t>et al.</w:t>
        </w:r>
      </w:hyperlink>
      <w:hyperlink r:id="rId22">
        <w:r w:rsidRPr="00CF73C9">
          <w:rPr>
            <w:rFonts w:ascii="Times New Roman" w:eastAsia="Times New Roman" w:hAnsi="Times New Roman" w:cs="Times New Roman"/>
            <w:color w:val="000000"/>
            <w:lang w:val="en-US"/>
          </w:rPr>
          <w:t>, 2021)</w:t>
        </w:r>
      </w:hyperlink>
      <w:r w:rsidRPr="00CF73C9">
        <w:rPr>
          <w:rFonts w:ascii="Times New Roman" w:eastAsia="Times New Roman" w:hAnsi="Times New Roman" w:cs="Times New Roman"/>
          <w:lang w:val="en-US"/>
        </w:rPr>
        <w:t>.</w:t>
      </w:r>
    </w:p>
    <w:p w:rsidR="00F20884" w:rsidRPr="00CF73C9" w:rsidRDefault="00F20884" w:rsidP="00FE3FB7">
      <w:pPr>
        <w:widowControl w:val="0"/>
        <w:spacing w:before="120" w:after="120" w:line="300" w:lineRule="auto"/>
        <w:jc w:val="both"/>
        <w:rPr>
          <w:rFonts w:ascii="Times New Roman" w:eastAsia="Times New Roman" w:hAnsi="Times New Roman" w:cs="Times New Roman"/>
          <w:lang w:val="en-US"/>
        </w:rPr>
      </w:pPr>
      <w:r w:rsidRPr="00CF73C9">
        <w:rPr>
          <w:rFonts w:ascii="Times New Roman" w:eastAsia="Times New Roman" w:hAnsi="Times New Roman" w:cs="Times New Roman"/>
          <w:lang w:val="en-US"/>
        </w:rPr>
        <w:t xml:space="preserve">In this study, we describe a female patient with early-onset epileptic encephalopathy. WGS identified a </w:t>
      </w:r>
      <w:r w:rsidRPr="00CF73C9">
        <w:rPr>
          <w:rFonts w:ascii="Times New Roman" w:eastAsia="Times New Roman" w:hAnsi="Times New Roman" w:cs="Times New Roman"/>
          <w:lang w:val="en-US"/>
        </w:rPr>
        <w:lastRenderedPageBreak/>
        <w:t xml:space="preserve">pathogenic variant in the </w:t>
      </w:r>
      <w:r w:rsidRPr="00CF73C9">
        <w:rPr>
          <w:rFonts w:ascii="Times New Roman" w:eastAsia="Times New Roman" w:hAnsi="Times New Roman" w:cs="Times New Roman"/>
          <w:i/>
          <w:iCs/>
          <w:lang w:val="en-US"/>
        </w:rPr>
        <w:t>HNRNPU</w:t>
      </w:r>
      <w:r w:rsidRPr="00CF73C9">
        <w:rPr>
          <w:rFonts w:ascii="Times New Roman" w:eastAsia="Times New Roman" w:hAnsi="Times New Roman" w:cs="Times New Roman"/>
          <w:lang w:val="en-US"/>
        </w:rPr>
        <w:t xml:space="preserve"> gene. Additionally, a  previously reported pathogenic variant in the </w:t>
      </w:r>
      <w:r w:rsidRPr="00CF73C9">
        <w:rPr>
          <w:rFonts w:ascii="Times New Roman" w:eastAsia="Times New Roman" w:hAnsi="Times New Roman" w:cs="Times New Roman"/>
          <w:i/>
          <w:lang w:val="en-US"/>
        </w:rPr>
        <w:t>KANSL1</w:t>
      </w:r>
      <w:r w:rsidRPr="00CF73C9">
        <w:rPr>
          <w:rFonts w:ascii="Times New Roman" w:eastAsia="Times New Roman" w:hAnsi="Times New Roman" w:cs="Times New Roman"/>
          <w:lang w:val="en-US"/>
        </w:rPr>
        <w:t xml:space="preserve"> gene, associated with Koolen-de Vries syndrome </w:t>
      </w:r>
      <w:hyperlink r:id="rId23">
        <w:r w:rsidRPr="00CF73C9">
          <w:rPr>
            <w:rFonts w:ascii="Times New Roman" w:eastAsia="Times New Roman" w:hAnsi="Times New Roman" w:cs="Times New Roman"/>
            <w:color w:val="000000"/>
            <w:lang w:val="en-US"/>
          </w:rPr>
          <w:t xml:space="preserve">(Koolen </w:t>
        </w:r>
      </w:hyperlink>
      <w:hyperlink r:id="rId24">
        <w:r w:rsidRPr="00CF73C9">
          <w:rPr>
            <w:rFonts w:ascii="Times New Roman" w:eastAsia="Times New Roman" w:hAnsi="Times New Roman" w:cs="Times New Roman"/>
            <w:i/>
            <w:color w:val="000000"/>
            <w:lang w:val="en-US"/>
          </w:rPr>
          <w:t>et al.</w:t>
        </w:r>
      </w:hyperlink>
      <w:hyperlink r:id="rId25">
        <w:r w:rsidRPr="00CF73C9">
          <w:rPr>
            <w:rFonts w:ascii="Times New Roman" w:eastAsia="Times New Roman" w:hAnsi="Times New Roman" w:cs="Times New Roman"/>
            <w:color w:val="000000"/>
            <w:lang w:val="en-US"/>
          </w:rPr>
          <w:t>, 2008)</w:t>
        </w:r>
      </w:hyperlink>
      <w:r w:rsidRPr="00CF73C9">
        <w:rPr>
          <w:rFonts w:ascii="Times New Roman" w:eastAsia="Times New Roman" w:hAnsi="Times New Roman" w:cs="Times New Roman"/>
          <w:lang w:val="en-US"/>
        </w:rPr>
        <w:t xml:space="preserve">, was found to be inherited from the healthy mother. Through RNA analysis, we were able </w:t>
      </w:r>
      <w:bookmarkStart w:id="2" w:name="_gwj8e225kdoe" w:colFirst="0" w:colLast="0"/>
      <w:bookmarkEnd w:id="2"/>
      <w:r w:rsidRPr="00CF73C9">
        <w:rPr>
          <w:rFonts w:ascii="Times New Roman" w:eastAsia="Times New Roman" w:hAnsi="Times New Roman" w:cs="Times New Roman"/>
          <w:lang w:val="en-US"/>
        </w:rPr>
        <w:t>to establish the mechanism of incomplete penetrance of the disease and to explain the absence of a pathological phenotype in the proband and the proband's mother.</w:t>
      </w:r>
    </w:p>
    <w:p w:rsidR="00FE3FB7" w:rsidRPr="00CF73C9" w:rsidRDefault="007C7327" w:rsidP="00FE3FB7">
      <w:pPr>
        <w:autoSpaceDE w:val="0"/>
        <w:autoSpaceDN w:val="0"/>
        <w:adjustRightInd w:val="0"/>
        <w:spacing w:after="0" w:line="300" w:lineRule="auto"/>
        <w:ind w:firstLine="709"/>
        <w:jc w:val="both"/>
        <w:rPr>
          <w:rFonts w:ascii="Times New Roman" w:hAnsi="Times New Roman" w:cs="Times New Roman"/>
          <w:lang w:val="en-US"/>
        </w:rPr>
      </w:pPr>
      <w:r w:rsidRPr="00CF73C9">
        <w:rPr>
          <w:rFonts w:ascii="Times New Roman" w:hAnsi="Times New Roman" w:cs="Times New Roman"/>
          <w:color w:val="000000"/>
          <w:lang w:val="en-US"/>
        </w:rPr>
        <w:br/>
      </w:r>
      <w:r w:rsidR="00FE3FB7" w:rsidRPr="00CF73C9">
        <w:rPr>
          <w:rFonts w:ascii="Times New Roman" w:hAnsi="Times New Roman" w:cs="Times New Roman"/>
          <w:b/>
          <w:bCs/>
          <w:lang w:val="en-US"/>
        </w:rPr>
        <w:t>Narrative</w:t>
      </w:r>
      <w:r w:rsidR="00FE3FB7" w:rsidRPr="00CF73C9">
        <w:rPr>
          <w:rFonts w:ascii="Times New Roman" w:hAnsi="Times New Roman" w:cs="Times New Roman"/>
          <w:lang w:val="en-US"/>
        </w:rPr>
        <w:t xml:space="preserve"> </w:t>
      </w:r>
    </w:p>
    <w:p w:rsidR="00FE3FB7" w:rsidRPr="00CF73C9" w:rsidRDefault="00FE3FB7" w:rsidP="00FE3FB7">
      <w:pPr>
        <w:autoSpaceDE w:val="0"/>
        <w:autoSpaceDN w:val="0"/>
        <w:adjustRightInd w:val="0"/>
        <w:spacing w:after="0" w:line="300" w:lineRule="auto"/>
        <w:ind w:firstLine="709"/>
        <w:jc w:val="both"/>
        <w:rPr>
          <w:rFonts w:ascii="Times New Roman" w:hAnsi="Times New Roman" w:cs="Times New Roman"/>
          <w:b/>
          <w:bCs/>
          <w:lang w:val="en-US"/>
        </w:rPr>
      </w:pPr>
      <w:r w:rsidRPr="00CF73C9">
        <w:rPr>
          <w:rFonts w:ascii="Times New Roman" w:hAnsi="Times New Roman" w:cs="Times New Roman"/>
          <w:b/>
          <w:bCs/>
          <w:lang w:val="en-US"/>
        </w:rPr>
        <w:t xml:space="preserve">Subject </w:t>
      </w:r>
    </w:p>
    <w:p w:rsidR="00FE3FB7" w:rsidRPr="00CF73C9" w:rsidRDefault="00FE3FB7" w:rsidP="00FE3FB7">
      <w:pPr>
        <w:autoSpaceDE w:val="0"/>
        <w:autoSpaceDN w:val="0"/>
        <w:adjustRightInd w:val="0"/>
        <w:spacing w:after="0" w:line="300" w:lineRule="auto"/>
        <w:ind w:firstLine="709"/>
        <w:jc w:val="both"/>
        <w:rPr>
          <w:rFonts w:ascii="Times New Roman" w:hAnsi="Times New Roman" w:cs="Times New Roman"/>
          <w:lang w:val="en-US"/>
        </w:rPr>
      </w:pPr>
      <w:r w:rsidRPr="00CF73C9">
        <w:rPr>
          <w:rFonts w:ascii="Times New Roman" w:hAnsi="Times New Roman" w:cs="Times New Roman"/>
          <w:lang w:val="en-US"/>
        </w:rPr>
        <w:t xml:space="preserve">The proband, a two-year-old girl, and her parents underwent a detailed clinical examination at various medical institutions in Moscow (National Medical Research Center for Neurosurgery named after Academician N.N. </w:t>
      </w:r>
      <w:proofErr w:type="spellStart"/>
      <w:r w:rsidRPr="00CF73C9">
        <w:rPr>
          <w:rFonts w:ascii="Times New Roman" w:hAnsi="Times New Roman" w:cs="Times New Roman"/>
          <w:lang w:val="en-US"/>
        </w:rPr>
        <w:t>Burdenko</w:t>
      </w:r>
      <w:proofErr w:type="spellEnd"/>
      <w:r w:rsidRPr="00CF73C9">
        <w:rPr>
          <w:rFonts w:ascii="Times New Roman" w:hAnsi="Times New Roman" w:cs="Times New Roman"/>
          <w:lang w:val="en-US"/>
        </w:rPr>
        <w:t xml:space="preserve">). DNA analysis and genetic counseling were performed at the Research Center for Medical Genetics, Russia. All research participants gave informed consent (or responsible consent form for the infant proband) for the clinical examination and publication of their anonymized data. The study was performed in accordance with the Declaration of Helsinki and approved by the Institutional Review Board of the Research Center for Medical Genetics, Russia. </w:t>
      </w:r>
    </w:p>
    <w:p w:rsidR="00FE3FB7" w:rsidRPr="00CF73C9" w:rsidRDefault="00FE3FB7" w:rsidP="00FE3FB7">
      <w:pPr>
        <w:autoSpaceDE w:val="0"/>
        <w:autoSpaceDN w:val="0"/>
        <w:adjustRightInd w:val="0"/>
        <w:spacing w:after="0" w:line="300" w:lineRule="auto"/>
        <w:ind w:firstLine="709"/>
        <w:jc w:val="both"/>
        <w:rPr>
          <w:rFonts w:ascii="Times New Roman" w:hAnsi="Times New Roman" w:cs="Times New Roman"/>
          <w:lang w:val="en-US"/>
        </w:rPr>
      </w:pPr>
      <w:r w:rsidRPr="00CF73C9">
        <w:rPr>
          <w:rFonts w:ascii="Times New Roman" w:hAnsi="Times New Roman" w:cs="Times New Roman"/>
          <w:b/>
          <w:bCs/>
          <w:lang w:val="en-US"/>
        </w:rPr>
        <w:t>Whole genome sequencing</w:t>
      </w:r>
      <w:r w:rsidRPr="00CF73C9">
        <w:rPr>
          <w:rFonts w:ascii="Times New Roman" w:hAnsi="Times New Roman" w:cs="Times New Roman"/>
          <w:lang w:val="en-US"/>
        </w:rPr>
        <w:t xml:space="preserve"> </w:t>
      </w:r>
    </w:p>
    <w:p w:rsidR="00CF73C9" w:rsidRPr="00CF73C9" w:rsidRDefault="00FE3FB7" w:rsidP="00FE3FB7">
      <w:pPr>
        <w:autoSpaceDE w:val="0"/>
        <w:autoSpaceDN w:val="0"/>
        <w:adjustRightInd w:val="0"/>
        <w:spacing w:after="0" w:line="300" w:lineRule="auto"/>
        <w:ind w:firstLine="709"/>
        <w:jc w:val="both"/>
        <w:rPr>
          <w:rFonts w:ascii="Times New Roman" w:hAnsi="Times New Roman" w:cs="Times New Roman"/>
        </w:rPr>
      </w:pPr>
      <w:r w:rsidRPr="00CF73C9">
        <w:rPr>
          <w:rFonts w:ascii="Times New Roman" w:hAnsi="Times New Roman" w:cs="Times New Roman"/>
          <w:lang w:val="en-US"/>
        </w:rPr>
        <w:t xml:space="preserve">The whole genome sequencing of the proband's DNA sample, obtained from peripheral blood, was conducted in-house. DNA extraction from whole blood was carried out using the </w:t>
      </w:r>
      <w:proofErr w:type="spellStart"/>
      <w:r w:rsidRPr="00CF73C9">
        <w:rPr>
          <w:rFonts w:ascii="Times New Roman" w:hAnsi="Times New Roman" w:cs="Times New Roman"/>
          <w:lang w:val="en-US"/>
        </w:rPr>
        <w:t>QuickDNA</w:t>
      </w:r>
      <w:proofErr w:type="spellEnd"/>
      <w:r w:rsidRPr="00CF73C9">
        <w:rPr>
          <w:rFonts w:ascii="Times New Roman" w:hAnsi="Times New Roman" w:cs="Times New Roman"/>
          <w:lang w:val="en-US"/>
        </w:rPr>
        <w:t xml:space="preserve"> Miniprep Kit (</w:t>
      </w:r>
      <w:proofErr w:type="spellStart"/>
      <w:r w:rsidRPr="00CF73C9">
        <w:rPr>
          <w:rFonts w:ascii="Times New Roman" w:hAnsi="Times New Roman" w:cs="Times New Roman"/>
          <w:lang w:val="en-US"/>
        </w:rPr>
        <w:t>Zymo</w:t>
      </w:r>
      <w:proofErr w:type="spellEnd"/>
      <w:r w:rsidRPr="00CF73C9">
        <w:rPr>
          <w:rFonts w:ascii="Times New Roman" w:hAnsi="Times New Roman" w:cs="Times New Roman"/>
          <w:lang w:val="en-US"/>
        </w:rPr>
        <w:t xml:space="preserve"> Research, California, USA), following the manufacturer's protocol. To assess DNA purity, absorbance measurements were taken at both 260/280 nm and 230/260 nm using a DS-11 FX+ spectrophotometer/</w:t>
      </w:r>
      <w:proofErr w:type="spellStart"/>
      <w:r w:rsidRPr="00CF73C9">
        <w:rPr>
          <w:rFonts w:ascii="Times New Roman" w:hAnsi="Times New Roman" w:cs="Times New Roman"/>
          <w:lang w:val="en-US"/>
        </w:rPr>
        <w:t>fuorometer</w:t>
      </w:r>
      <w:proofErr w:type="spellEnd"/>
      <w:r w:rsidRPr="00CF73C9">
        <w:rPr>
          <w:rFonts w:ascii="Times New Roman" w:hAnsi="Times New Roman" w:cs="Times New Roman"/>
          <w:lang w:val="en-US"/>
        </w:rPr>
        <w:t xml:space="preserve"> (</w:t>
      </w:r>
      <w:proofErr w:type="spellStart"/>
      <w:r w:rsidRPr="00CF73C9">
        <w:rPr>
          <w:rFonts w:ascii="Times New Roman" w:hAnsi="Times New Roman" w:cs="Times New Roman"/>
          <w:lang w:val="en-US"/>
        </w:rPr>
        <w:t>DeNovix</w:t>
      </w:r>
      <w:proofErr w:type="spellEnd"/>
      <w:r w:rsidRPr="00CF73C9">
        <w:rPr>
          <w:rFonts w:ascii="Times New Roman" w:hAnsi="Times New Roman" w:cs="Times New Roman"/>
          <w:lang w:val="en-US"/>
        </w:rPr>
        <w:t xml:space="preserve">). Library preparation (PCR-Free) was performed using MGI platforms following their respective </w:t>
      </w:r>
      <w:proofErr w:type="gramStart"/>
      <w:r w:rsidRPr="00CF73C9">
        <w:rPr>
          <w:rFonts w:ascii="Times New Roman" w:hAnsi="Times New Roman" w:cs="Times New Roman"/>
          <w:lang w:val="en-US"/>
        </w:rPr>
        <w:t>protocols..</w:t>
      </w:r>
      <w:proofErr w:type="gramEnd"/>
      <w:r w:rsidRPr="00CF73C9">
        <w:rPr>
          <w:rFonts w:ascii="Times New Roman" w:hAnsi="Times New Roman" w:cs="Times New Roman"/>
          <w:lang w:val="en-US"/>
        </w:rPr>
        <w:t xml:space="preserve"> Subsequently, paired-end sequencing (2x150) was executed on the DNBSEQ-T7 sequencer from MGI with an average coverage of 30x. The data processing was carried out using the “</w:t>
      </w:r>
      <w:proofErr w:type="spellStart"/>
      <w:r w:rsidRPr="00CF73C9">
        <w:rPr>
          <w:rFonts w:ascii="Times New Roman" w:hAnsi="Times New Roman" w:cs="Times New Roman"/>
          <w:lang w:val="en-US"/>
        </w:rPr>
        <w:t>NGSData</w:t>
      </w:r>
      <w:proofErr w:type="spellEnd"/>
      <w:r w:rsidRPr="00CF73C9">
        <w:rPr>
          <w:rFonts w:ascii="Times New Roman" w:hAnsi="Times New Roman" w:cs="Times New Roman"/>
          <w:lang w:val="en-US"/>
        </w:rPr>
        <w:t>-Genome” program (</w:t>
      </w:r>
      <w:proofErr w:type="spellStart"/>
      <w:r w:rsidRPr="00CF73C9">
        <w:rPr>
          <w:rFonts w:ascii="Times New Roman" w:hAnsi="Times New Roman" w:cs="Times New Roman"/>
          <w:lang w:val="en-US"/>
        </w:rPr>
        <w:t>Beskorovainy</w:t>
      </w:r>
      <w:proofErr w:type="spellEnd"/>
      <w:r w:rsidRPr="00CF73C9">
        <w:rPr>
          <w:rFonts w:ascii="Times New Roman" w:hAnsi="Times New Roman" w:cs="Times New Roman"/>
          <w:lang w:val="en-US"/>
        </w:rPr>
        <w:t xml:space="preserve"> N.S. Program “</w:t>
      </w:r>
      <w:proofErr w:type="spellStart"/>
      <w:r w:rsidRPr="00CF73C9">
        <w:rPr>
          <w:rFonts w:ascii="Times New Roman" w:hAnsi="Times New Roman" w:cs="Times New Roman"/>
          <w:lang w:val="en-US"/>
        </w:rPr>
        <w:t>NGSData</w:t>
      </w:r>
      <w:proofErr w:type="spellEnd"/>
      <w:r w:rsidRPr="00CF73C9">
        <w:rPr>
          <w:rFonts w:ascii="Times New Roman" w:hAnsi="Times New Roman" w:cs="Times New Roman"/>
          <w:lang w:val="en-US"/>
        </w:rPr>
        <w:t>”//</w:t>
      </w:r>
      <w:proofErr w:type="spellStart"/>
      <w:r w:rsidRPr="00CF73C9">
        <w:rPr>
          <w:rFonts w:ascii="Times New Roman" w:hAnsi="Times New Roman" w:cs="Times New Roman"/>
          <w:lang w:val="en-US"/>
        </w:rPr>
        <w:t>Certifcate</w:t>
      </w:r>
      <w:proofErr w:type="spellEnd"/>
      <w:r w:rsidRPr="00CF73C9">
        <w:rPr>
          <w:rFonts w:ascii="Times New Roman" w:hAnsi="Times New Roman" w:cs="Times New Roman"/>
          <w:lang w:val="en-US"/>
        </w:rPr>
        <w:t xml:space="preserve"> of State Registration of Computer Programs No. 2021662119.2021.). The reads were aligned to the reference genome hg19 using bwa v.0.7.17-r1188. Variant calling was performed with strelka2 v.2.9.10 and </w:t>
      </w:r>
      <w:proofErr w:type="spellStart"/>
      <w:r w:rsidRPr="00CF73C9">
        <w:rPr>
          <w:rFonts w:ascii="Times New Roman" w:hAnsi="Times New Roman" w:cs="Times New Roman"/>
          <w:lang w:val="en-US"/>
        </w:rPr>
        <w:t>gatk</w:t>
      </w:r>
      <w:proofErr w:type="spellEnd"/>
      <w:r w:rsidRPr="00CF73C9">
        <w:rPr>
          <w:rFonts w:ascii="Times New Roman" w:hAnsi="Times New Roman" w:cs="Times New Roman"/>
          <w:lang w:val="en-US"/>
        </w:rPr>
        <w:t xml:space="preserve"> v.4 algorithms. Copy number variations were assessed using </w:t>
      </w:r>
      <w:proofErr w:type="spellStart"/>
      <w:r w:rsidRPr="00CF73C9">
        <w:rPr>
          <w:rFonts w:ascii="Times New Roman" w:hAnsi="Times New Roman" w:cs="Times New Roman"/>
          <w:lang w:val="en-US"/>
        </w:rPr>
        <w:t>cnvkit</w:t>
      </w:r>
      <w:proofErr w:type="spellEnd"/>
      <w:r w:rsidRPr="00CF73C9">
        <w:rPr>
          <w:rFonts w:ascii="Times New Roman" w:hAnsi="Times New Roman" w:cs="Times New Roman"/>
          <w:lang w:val="en-US"/>
        </w:rPr>
        <w:t xml:space="preserve"> 0.9.9, while structural variants were detected with Manta v.1.6.0. Additionally, tandem repeats were analyzed using </w:t>
      </w:r>
      <w:proofErr w:type="spellStart"/>
      <w:r w:rsidRPr="00CF73C9">
        <w:rPr>
          <w:rFonts w:ascii="Times New Roman" w:hAnsi="Times New Roman" w:cs="Times New Roman"/>
          <w:lang w:val="en-US"/>
        </w:rPr>
        <w:t>ExpansionHunterDenovo</w:t>
      </w:r>
      <w:proofErr w:type="spellEnd"/>
      <w:r w:rsidRPr="00CF73C9">
        <w:rPr>
          <w:rFonts w:ascii="Times New Roman" w:hAnsi="Times New Roman" w:cs="Times New Roman"/>
          <w:lang w:val="en-US"/>
        </w:rPr>
        <w:t xml:space="preserve">. Variant annotation was performed using </w:t>
      </w:r>
      <w:proofErr w:type="spellStart"/>
      <w:r w:rsidRPr="00CF73C9">
        <w:rPr>
          <w:rFonts w:ascii="Times New Roman" w:hAnsi="Times New Roman" w:cs="Times New Roman"/>
          <w:lang w:val="en-US"/>
        </w:rPr>
        <w:t>SnpEff</w:t>
      </w:r>
      <w:proofErr w:type="spellEnd"/>
      <w:r w:rsidRPr="00CF73C9">
        <w:rPr>
          <w:rFonts w:ascii="Times New Roman" w:hAnsi="Times New Roman" w:cs="Times New Roman"/>
          <w:lang w:val="en-US"/>
        </w:rPr>
        <w:t xml:space="preserve"> v5.0, </w:t>
      </w:r>
      <w:proofErr w:type="spellStart"/>
      <w:r w:rsidRPr="00CF73C9">
        <w:rPr>
          <w:rFonts w:ascii="Times New Roman" w:hAnsi="Times New Roman" w:cs="Times New Roman"/>
          <w:lang w:val="en-US"/>
        </w:rPr>
        <w:t>annovar</w:t>
      </w:r>
      <w:proofErr w:type="spellEnd"/>
      <w:r w:rsidRPr="00CF73C9">
        <w:rPr>
          <w:rFonts w:ascii="Times New Roman" w:hAnsi="Times New Roman" w:cs="Times New Roman"/>
          <w:lang w:val="en-US"/>
        </w:rPr>
        <w:t xml:space="preserve"> v.2017, and </w:t>
      </w:r>
      <w:proofErr w:type="spellStart"/>
      <w:r w:rsidRPr="00CF73C9">
        <w:rPr>
          <w:rFonts w:ascii="Times New Roman" w:hAnsi="Times New Roman" w:cs="Times New Roman"/>
          <w:lang w:val="en-US"/>
        </w:rPr>
        <w:t>vep</w:t>
      </w:r>
      <w:proofErr w:type="spellEnd"/>
      <w:r w:rsidRPr="00CF73C9">
        <w:rPr>
          <w:rFonts w:ascii="Times New Roman" w:hAnsi="Times New Roman" w:cs="Times New Roman"/>
          <w:lang w:val="en-US"/>
        </w:rPr>
        <w:t xml:space="preserve"> v.104.3. Splice predictors used included </w:t>
      </w:r>
      <w:proofErr w:type="spellStart"/>
      <w:r w:rsidRPr="00CF73C9">
        <w:rPr>
          <w:rFonts w:ascii="Times New Roman" w:hAnsi="Times New Roman" w:cs="Times New Roman"/>
          <w:lang w:val="en-US"/>
        </w:rPr>
        <w:t>dbNSFP</w:t>
      </w:r>
      <w:proofErr w:type="spellEnd"/>
      <w:r w:rsidRPr="00CF73C9">
        <w:rPr>
          <w:rFonts w:ascii="Times New Roman" w:hAnsi="Times New Roman" w:cs="Times New Roman"/>
          <w:lang w:val="en-US"/>
        </w:rPr>
        <w:t xml:space="preserve"> v.4, Case report generated using CARE-writer, care-writer.com 2 of 9 </w:t>
      </w:r>
      <w:proofErr w:type="spellStart"/>
      <w:r w:rsidRPr="00CF73C9">
        <w:rPr>
          <w:rFonts w:ascii="Times New Roman" w:hAnsi="Times New Roman" w:cs="Times New Roman"/>
          <w:lang w:val="en-US"/>
        </w:rPr>
        <w:t>SPiP</w:t>
      </w:r>
      <w:proofErr w:type="spellEnd"/>
      <w:r w:rsidRPr="00CF73C9">
        <w:rPr>
          <w:rFonts w:ascii="Times New Roman" w:hAnsi="Times New Roman" w:cs="Times New Roman"/>
          <w:lang w:val="en-US"/>
        </w:rPr>
        <w:t xml:space="preserve"> v.2.1, </w:t>
      </w:r>
      <w:proofErr w:type="spellStart"/>
      <w:r w:rsidRPr="00CF73C9">
        <w:rPr>
          <w:rFonts w:ascii="Times New Roman" w:hAnsi="Times New Roman" w:cs="Times New Roman"/>
          <w:lang w:val="en-US"/>
        </w:rPr>
        <w:t>mmsplice</w:t>
      </w:r>
      <w:proofErr w:type="spellEnd"/>
      <w:r w:rsidRPr="00CF73C9">
        <w:rPr>
          <w:rFonts w:ascii="Times New Roman" w:hAnsi="Times New Roman" w:cs="Times New Roman"/>
          <w:lang w:val="en-US"/>
        </w:rPr>
        <w:t xml:space="preserve"> v.2.3, </w:t>
      </w:r>
      <w:proofErr w:type="spellStart"/>
      <w:r w:rsidRPr="00CF73C9">
        <w:rPr>
          <w:rFonts w:ascii="Times New Roman" w:hAnsi="Times New Roman" w:cs="Times New Roman"/>
          <w:lang w:val="en-US"/>
        </w:rPr>
        <w:t>spliceai</w:t>
      </w:r>
      <w:proofErr w:type="spellEnd"/>
      <w:r w:rsidRPr="00CF73C9">
        <w:rPr>
          <w:rFonts w:ascii="Times New Roman" w:hAnsi="Times New Roman" w:cs="Times New Roman"/>
          <w:lang w:val="en-US"/>
        </w:rPr>
        <w:t xml:space="preserve"> v.1.3.1, and </w:t>
      </w:r>
      <w:proofErr w:type="spellStart"/>
      <w:r w:rsidRPr="00CF73C9">
        <w:rPr>
          <w:rFonts w:ascii="Times New Roman" w:hAnsi="Times New Roman" w:cs="Times New Roman"/>
          <w:lang w:val="en-US"/>
        </w:rPr>
        <w:t>spidex</w:t>
      </w:r>
      <w:proofErr w:type="spellEnd"/>
      <w:r w:rsidRPr="00CF73C9">
        <w:rPr>
          <w:rFonts w:ascii="Times New Roman" w:hAnsi="Times New Roman" w:cs="Times New Roman"/>
          <w:lang w:val="en-US"/>
        </w:rPr>
        <w:t xml:space="preserve"> v.1. For annotation of </w:t>
      </w:r>
      <w:proofErr w:type="spellStart"/>
      <w:r w:rsidRPr="00CF73C9">
        <w:rPr>
          <w:rFonts w:ascii="Times New Roman" w:hAnsi="Times New Roman" w:cs="Times New Roman"/>
          <w:lang w:val="en-US"/>
        </w:rPr>
        <w:t>identifed</w:t>
      </w:r>
      <w:proofErr w:type="spellEnd"/>
      <w:r w:rsidRPr="00CF73C9">
        <w:rPr>
          <w:rFonts w:ascii="Times New Roman" w:hAnsi="Times New Roman" w:cs="Times New Roman"/>
          <w:lang w:val="en-US"/>
        </w:rPr>
        <w:t xml:space="preserve"> variants, automatic pathogenicity prediction algorithms (SIFT, PolyPhen2-HDIV, PolyPhen2-HVAR, </w:t>
      </w:r>
      <w:proofErr w:type="spellStart"/>
      <w:r w:rsidRPr="00CF73C9">
        <w:rPr>
          <w:rFonts w:ascii="Times New Roman" w:hAnsi="Times New Roman" w:cs="Times New Roman"/>
          <w:lang w:val="en-US"/>
        </w:rPr>
        <w:t>MutationTaster</w:t>
      </w:r>
      <w:proofErr w:type="spellEnd"/>
      <w:r w:rsidRPr="00CF73C9">
        <w:rPr>
          <w:rFonts w:ascii="Times New Roman" w:hAnsi="Times New Roman" w:cs="Times New Roman"/>
          <w:lang w:val="en-US"/>
        </w:rPr>
        <w:t>, LRT) were used, as well as evolutionary conservation position calculation algorithms (</w:t>
      </w:r>
      <w:proofErr w:type="spellStart"/>
      <w:r w:rsidRPr="00CF73C9">
        <w:rPr>
          <w:rFonts w:ascii="Times New Roman" w:hAnsi="Times New Roman" w:cs="Times New Roman"/>
          <w:lang w:val="en-US"/>
        </w:rPr>
        <w:t>PhyloP</w:t>
      </w:r>
      <w:proofErr w:type="spellEnd"/>
      <w:r w:rsidRPr="00CF73C9">
        <w:rPr>
          <w:rFonts w:ascii="Times New Roman" w:hAnsi="Times New Roman" w:cs="Times New Roman"/>
          <w:lang w:val="en-US"/>
        </w:rPr>
        <w:t xml:space="preserve">, </w:t>
      </w:r>
      <w:proofErr w:type="spellStart"/>
      <w:r w:rsidRPr="00CF73C9">
        <w:rPr>
          <w:rFonts w:ascii="Times New Roman" w:hAnsi="Times New Roman" w:cs="Times New Roman"/>
          <w:lang w:val="en-US"/>
        </w:rPr>
        <w:t>PhastCons</w:t>
      </w:r>
      <w:proofErr w:type="spellEnd"/>
      <w:r w:rsidRPr="00CF73C9">
        <w:rPr>
          <w:rFonts w:ascii="Times New Roman" w:hAnsi="Times New Roman" w:cs="Times New Roman"/>
          <w:lang w:val="en-US"/>
        </w:rPr>
        <w:t xml:space="preserve">). To assess the population frequencies of the </w:t>
      </w:r>
      <w:proofErr w:type="spellStart"/>
      <w:r w:rsidRPr="00CF73C9">
        <w:rPr>
          <w:rFonts w:ascii="Times New Roman" w:hAnsi="Times New Roman" w:cs="Times New Roman"/>
          <w:lang w:val="en-US"/>
        </w:rPr>
        <w:t>identifed</w:t>
      </w:r>
      <w:proofErr w:type="spellEnd"/>
      <w:r w:rsidRPr="00CF73C9">
        <w:rPr>
          <w:rFonts w:ascii="Times New Roman" w:hAnsi="Times New Roman" w:cs="Times New Roman"/>
          <w:lang w:val="en-US"/>
        </w:rPr>
        <w:t xml:space="preserve"> variants, data from the “1000 Genomes” project, ESP6500, Exome Aggregation Consortium, and </w:t>
      </w:r>
      <w:proofErr w:type="spellStart"/>
      <w:r w:rsidRPr="00CF73C9">
        <w:rPr>
          <w:rFonts w:ascii="Times New Roman" w:hAnsi="Times New Roman" w:cs="Times New Roman"/>
          <w:lang w:val="en-US"/>
        </w:rPr>
        <w:t>gnomAD</w:t>
      </w:r>
      <w:proofErr w:type="spellEnd"/>
      <w:r w:rsidRPr="00CF73C9">
        <w:rPr>
          <w:rFonts w:ascii="Times New Roman" w:hAnsi="Times New Roman" w:cs="Times New Roman"/>
          <w:lang w:val="en-US"/>
        </w:rPr>
        <w:t xml:space="preserve"> were used. </w:t>
      </w:r>
    </w:p>
    <w:p w:rsidR="00CF73C9" w:rsidRPr="00CF73C9" w:rsidRDefault="00FE3FB7" w:rsidP="00FE3FB7">
      <w:pPr>
        <w:autoSpaceDE w:val="0"/>
        <w:autoSpaceDN w:val="0"/>
        <w:adjustRightInd w:val="0"/>
        <w:spacing w:after="0" w:line="300" w:lineRule="auto"/>
        <w:ind w:firstLine="709"/>
        <w:jc w:val="both"/>
        <w:rPr>
          <w:rFonts w:ascii="Times New Roman" w:hAnsi="Times New Roman" w:cs="Times New Roman"/>
        </w:rPr>
      </w:pPr>
      <w:r w:rsidRPr="00CF73C9">
        <w:rPr>
          <w:rFonts w:ascii="Times New Roman" w:hAnsi="Times New Roman" w:cs="Times New Roman"/>
          <w:b/>
          <w:bCs/>
          <w:lang w:val="en-US"/>
        </w:rPr>
        <w:t>Sanger sequencing</w:t>
      </w:r>
      <w:r w:rsidRPr="00CF73C9">
        <w:rPr>
          <w:rFonts w:ascii="Times New Roman" w:hAnsi="Times New Roman" w:cs="Times New Roman"/>
          <w:lang w:val="en-US"/>
        </w:rPr>
        <w:t xml:space="preserve"> </w:t>
      </w:r>
    </w:p>
    <w:p w:rsidR="00CF73C9" w:rsidRPr="00CF73C9" w:rsidRDefault="00FE3FB7" w:rsidP="00FE3FB7">
      <w:pPr>
        <w:autoSpaceDE w:val="0"/>
        <w:autoSpaceDN w:val="0"/>
        <w:adjustRightInd w:val="0"/>
        <w:spacing w:after="0" w:line="300" w:lineRule="auto"/>
        <w:ind w:firstLine="709"/>
        <w:jc w:val="both"/>
        <w:rPr>
          <w:rFonts w:ascii="Times New Roman" w:hAnsi="Times New Roman" w:cs="Times New Roman"/>
        </w:rPr>
      </w:pPr>
      <w:r w:rsidRPr="00CF73C9">
        <w:rPr>
          <w:rFonts w:ascii="Times New Roman" w:hAnsi="Times New Roman" w:cs="Times New Roman"/>
          <w:lang w:val="en-US"/>
        </w:rPr>
        <w:t xml:space="preserve">Validation of the variants </w:t>
      </w:r>
      <w:proofErr w:type="spellStart"/>
      <w:r w:rsidRPr="00CF73C9">
        <w:rPr>
          <w:rFonts w:ascii="Times New Roman" w:hAnsi="Times New Roman" w:cs="Times New Roman"/>
          <w:lang w:val="en-US"/>
        </w:rPr>
        <w:t>identifed</w:t>
      </w:r>
      <w:proofErr w:type="spellEnd"/>
      <w:r w:rsidRPr="00CF73C9">
        <w:rPr>
          <w:rFonts w:ascii="Times New Roman" w:hAnsi="Times New Roman" w:cs="Times New Roman"/>
          <w:lang w:val="en-US"/>
        </w:rPr>
        <w:t xml:space="preserve"> through WGS was performed using Sanger sequencing. DNA samples from the proband's and his parents' peripheral blood were used as templates. The PCR was conducted using the </w:t>
      </w:r>
      <w:proofErr w:type="spellStart"/>
      <w:r w:rsidRPr="00CF73C9">
        <w:rPr>
          <w:rFonts w:ascii="Times New Roman" w:hAnsi="Times New Roman" w:cs="Times New Roman"/>
          <w:lang w:val="en-US"/>
        </w:rPr>
        <w:t>ProFlex</w:t>
      </w:r>
      <w:proofErr w:type="spellEnd"/>
      <w:r w:rsidRPr="00CF73C9">
        <w:rPr>
          <w:rFonts w:ascii="Times New Roman" w:hAnsi="Times New Roman" w:cs="Times New Roman"/>
          <w:lang w:val="en-US"/>
        </w:rPr>
        <w:t xml:space="preserve"> PCR System (Applied Biosystems). Visualization of the obtained PCR products was carried out using agarose gel electrophoresis. The PCR products were sequenced by Sanger sequencing in-house (</w:t>
      </w:r>
      <w:proofErr w:type="spellStart"/>
      <w:r w:rsidRPr="00CF73C9">
        <w:rPr>
          <w:rFonts w:ascii="Times New Roman" w:hAnsi="Times New Roman" w:cs="Times New Roman"/>
          <w:lang w:val="en-US"/>
        </w:rPr>
        <w:t>Evrogen</w:t>
      </w:r>
      <w:proofErr w:type="spellEnd"/>
      <w:r w:rsidRPr="00CF73C9">
        <w:rPr>
          <w:rFonts w:ascii="Times New Roman" w:hAnsi="Times New Roman" w:cs="Times New Roman"/>
          <w:lang w:val="en-US"/>
        </w:rPr>
        <w:t>). For the validation and segregation of the NM_015443.4(KANSL1</w:t>
      </w:r>
      <w:proofErr w:type="gramStart"/>
      <w:r w:rsidRPr="00CF73C9">
        <w:rPr>
          <w:rFonts w:ascii="Times New Roman" w:hAnsi="Times New Roman" w:cs="Times New Roman"/>
          <w:lang w:val="en-US"/>
        </w:rPr>
        <w:t>):c.</w:t>
      </w:r>
      <w:proofErr w:type="gramEnd"/>
      <w:r w:rsidRPr="00CF73C9">
        <w:rPr>
          <w:rFonts w:ascii="Times New Roman" w:hAnsi="Times New Roman" w:cs="Times New Roman"/>
          <w:lang w:val="en-US"/>
        </w:rPr>
        <w:t>727C&gt;T variant, the following primers were used 5’-GGAGACAGCCAGTTTTGGAG-3’ and 5’-GGTCTCACTGGCAGCTTTTC-3’. For the validation and segregation of the NM_031844.3(HNRNPU</w:t>
      </w:r>
      <w:proofErr w:type="gramStart"/>
      <w:r w:rsidRPr="00CF73C9">
        <w:rPr>
          <w:rFonts w:ascii="Times New Roman" w:hAnsi="Times New Roman" w:cs="Times New Roman"/>
          <w:lang w:val="en-US"/>
        </w:rPr>
        <w:t>):c.</w:t>
      </w:r>
      <w:proofErr w:type="gramEnd"/>
      <w:r w:rsidRPr="00CF73C9">
        <w:rPr>
          <w:rFonts w:ascii="Times New Roman" w:hAnsi="Times New Roman" w:cs="Times New Roman"/>
          <w:lang w:val="en-US"/>
        </w:rPr>
        <w:t xml:space="preserve">1665_1666del variant, the primers 5’- ATGGGAGGAAAGGCAAGATT-3’ and 5’-ATTTTGAGGACCGCATGTTC-3’ were used. For the </w:t>
      </w:r>
      <w:r w:rsidRPr="00CF73C9">
        <w:rPr>
          <w:rFonts w:ascii="Times New Roman" w:hAnsi="Times New Roman" w:cs="Times New Roman"/>
          <w:lang w:val="en-US"/>
        </w:rPr>
        <w:lastRenderedPageBreak/>
        <w:t>validation and segregation of the NM_133433.4(NIPBL</w:t>
      </w:r>
      <w:proofErr w:type="gramStart"/>
      <w:r w:rsidRPr="00CF73C9">
        <w:rPr>
          <w:rFonts w:ascii="Times New Roman" w:hAnsi="Times New Roman" w:cs="Times New Roman"/>
          <w:lang w:val="en-US"/>
        </w:rPr>
        <w:t>):c.</w:t>
      </w:r>
      <w:proofErr w:type="gramEnd"/>
      <w:r w:rsidRPr="00CF73C9">
        <w:rPr>
          <w:rFonts w:ascii="Times New Roman" w:hAnsi="Times New Roman" w:cs="Times New Roman"/>
          <w:lang w:val="en-US"/>
        </w:rPr>
        <w:t xml:space="preserve">8101A&gt;G variant, the primers 5’- AAGAGTAAAGACACGGGTACAAA-3’ and 5’-TGAGAATCTGTTTCTGCTGCAC-3’ were used. </w:t>
      </w:r>
    </w:p>
    <w:p w:rsidR="00CF73C9" w:rsidRPr="00CF73C9" w:rsidRDefault="00FE3FB7" w:rsidP="00FE3FB7">
      <w:pPr>
        <w:autoSpaceDE w:val="0"/>
        <w:autoSpaceDN w:val="0"/>
        <w:adjustRightInd w:val="0"/>
        <w:spacing w:after="0" w:line="300" w:lineRule="auto"/>
        <w:ind w:firstLine="709"/>
        <w:jc w:val="both"/>
        <w:rPr>
          <w:rFonts w:ascii="Times New Roman" w:hAnsi="Times New Roman" w:cs="Times New Roman"/>
          <w:b/>
          <w:bCs/>
        </w:rPr>
      </w:pPr>
      <w:r w:rsidRPr="00CF73C9">
        <w:rPr>
          <w:rFonts w:ascii="Times New Roman" w:hAnsi="Times New Roman" w:cs="Times New Roman"/>
          <w:b/>
          <w:bCs/>
          <w:lang w:val="en-US"/>
        </w:rPr>
        <w:t xml:space="preserve">RNA analysis of a variant in KANSL1 </w:t>
      </w:r>
    </w:p>
    <w:p w:rsidR="00CF73C9" w:rsidRPr="00CF73C9" w:rsidRDefault="00FE3FB7" w:rsidP="00FE3FB7">
      <w:pPr>
        <w:autoSpaceDE w:val="0"/>
        <w:autoSpaceDN w:val="0"/>
        <w:adjustRightInd w:val="0"/>
        <w:spacing w:after="0" w:line="300" w:lineRule="auto"/>
        <w:ind w:firstLine="709"/>
        <w:jc w:val="both"/>
        <w:rPr>
          <w:rFonts w:ascii="Times New Roman" w:hAnsi="Times New Roman" w:cs="Times New Roman"/>
        </w:rPr>
      </w:pPr>
      <w:r w:rsidRPr="00CF73C9">
        <w:rPr>
          <w:rFonts w:ascii="Times New Roman" w:hAnsi="Times New Roman" w:cs="Times New Roman"/>
          <w:lang w:val="en-US"/>
        </w:rPr>
        <w:t xml:space="preserve">Analysis of mRNA structure of the KANSL1 locus, containing the c.727C&gt;T variant, was performed using RNA extracted from peripheral blood mononuclear cells (PBMC). PBMCs were extracted from the proband's and mother's peripheral blood by centrifugation in a </w:t>
      </w:r>
      <w:proofErr w:type="spellStart"/>
      <w:r w:rsidRPr="00CF73C9">
        <w:rPr>
          <w:rFonts w:ascii="Times New Roman" w:hAnsi="Times New Roman" w:cs="Times New Roman"/>
          <w:lang w:val="en-US"/>
        </w:rPr>
        <w:t>Ficoll</w:t>
      </w:r>
      <w:proofErr w:type="spellEnd"/>
      <w:r w:rsidRPr="00CF73C9">
        <w:rPr>
          <w:rFonts w:ascii="Times New Roman" w:hAnsi="Times New Roman" w:cs="Times New Roman"/>
          <w:lang w:val="en-US"/>
        </w:rPr>
        <w:t xml:space="preserve"> gradient. RNA was extracted using the Extract RNA reagent (</w:t>
      </w:r>
      <w:proofErr w:type="spellStart"/>
      <w:r w:rsidRPr="00CF73C9">
        <w:rPr>
          <w:rFonts w:ascii="Times New Roman" w:hAnsi="Times New Roman" w:cs="Times New Roman"/>
          <w:lang w:val="en-US"/>
        </w:rPr>
        <w:t>Evrogen</w:t>
      </w:r>
      <w:proofErr w:type="spellEnd"/>
      <w:r w:rsidRPr="00CF73C9">
        <w:rPr>
          <w:rFonts w:ascii="Times New Roman" w:hAnsi="Times New Roman" w:cs="Times New Roman"/>
          <w:lang w:val="en-US"/>
        </w:rPr>
        <w:t>, Russia). Reverse transcription was carried out using the Reverse Transcription System (</w:t>
      </w:r>
      <w:proofErr w:type="spellStart"/>
      <w:r w:rsidRPr="00CF73C9">
        <w:rPr>
          <w:rFonts w:ascii="Times New Roman" w:hAnsi="Times New Roman" w:cs="Times New Roman"/>
          <w:lang w:val="en-US"/>
        </w:rPr>
        <w:t>Dialat</w:t>
      </w:r>
      <w:proofErr w:type="spellEnd"/>
      <w:r w:rsidRPr="00CF73C9">
        <w:rPr>
          <w:rFonts w:ascii="Times New Roman" w:hAnsi="Times New Roman" w:cs="Times New Roman"/>
          <w:lang w:val="en-US"/>
        </w:rPr>
        <w:t xml:space="preserve">, Russia) according to the manufacturer's recommendations. The quality of the obtained cDNA was assessed by performing qPCR of housekeeping genes. To determine the presence of the c.727C&gt;T variant in the KANSL1 mRNA, the target locus was </w:t>
      </w:r>
      <w:proofErr w:type="spellStart"/>
      <w:r w:rsidRPr="00CF73C9">
        <w:rPr>
          <w:rFonts w:ascii="Times New Roman" w:hAnsi="Times New Roman" w:cs="Times New Roman"/>
          <w:lang w:val="en-US"/>
        </w:rPr>
        <w:t>amplifed</w:t>
      </w:r>
      <w:proofErr w:type="spellEnd"/>
      <w:r w:rsidRPr="00CF73C9">
        <w:rPr>
          <w:rFonts w:ascii="Times New Roman" w:hAnsi="Times New Roman" w:cs="Times New Roman"/>
          <w:lang w:val="en-US"/>
        </w:rPr>
        <w:t xml:space="preserve"> using the following </w:t>
      </w:r>
      <w:proofErr w:type="spellStart"/>
      <w:r w:rsidRPr="00CF73C9">
        <w:rPr>
          <w:rFonts w:ascii="Times New Roman" w:hAnsi="Times New Roman" w:cs="Times New Roman"/>
          <w:lang w:val="en-US"/>
        </w:rPr>
        <w:t>priners</w:t>
      </w:r>
      <w:proofErr w:type="spellEnd"/>
      <w:r w:rsidRPr="00CF73C9">
        <w:rPr>
          <w:rFonts w:ascii="Times New Roman" w:hAnsi="Times New Roman" w:cs="Times New Roman"/>
          <w:lang w:val="en-US"/>
        </w:rPr>
        <w:t xml:space="preserve">: 5’-AGCACCTGTAAATGGGTTGG-3’ and 5’-AAGGGACTGTGTGGAGGATG-3’ with further Sanger sequencing </w:t>
      </w:r>
    </w:p>
    <w:p w:rsidR="00CF73C9" w:rsidRPr="00CF73C9" w:rsidRDefault="00FE3FB7" w:rsidP="00FE3FB7">
      <w:pPr>
        <w:autoSpaceDE w:val="0"/>
        <w:autoSpaceDN w:val="0"/>
        <w:adjustRightInd w:val="0"/>
        <w:spacing w:after="0" w:line="300" w:lineRule="auto"/>
        <w:ind w:firstLine="709"/>
        <w:jc w:val="both"/>
        <w:rPr>
          <w:rFonts w:ascii="Times New Roman" w:hAnsi="Times New Roman" w:cs="Times New Roman"/>
        </w:rPr>
      </w:pPr>
      <w:r w:rsidRPr="00CF73C9">
        <w:rPr>
          <w:rFonts w:ascii="Times New Roman" w:hAnsi="Times New Roman" w:cs="Times New Roman"/>
          <w:b/>
          <w:bCs/>
          <w:lang w:val="en-US"/>
        </w:rPr>
        <w:t xml:space="preserve">Clinical </w:t>
      </w:r>
      <w:proofErr w:type="spellStart"/>
      <w:r w:rsidRPr="00CF73C9">
        <w:rPr>
          <w:rFonts w:ascii="Times New Roman" w:hAnsi="Times New Roman" w:cs="Times New Roman"/>
          <w:b/>
          <w:bCs/>
          <w:lang w:val="en-US"/>
        </w:rPr>
        <w:t>fndings</w:t>
      </w:r>
      <w:proofErr w:type="spellEnd"/>
      <w:r w:rsidRPr="00CF73C9">
        <w:rPr>
          <w:rFonts w:ascii="Times New Roman" w:hAnsi="Times New Roman" w:cs="Times New Roman"/>
          <w:lang w:val="en-US"/>
        </w:rPr>
        <w:t xml:space="preserve"> </w:t>
      </w:r>
    </w:p>
    <w:p w:rsidR="00CF73C9" w:rsidRPr="00CF73C9" w:rsidRDefault="00FE3FB7" w:rsidP="00FE3FB7">
      <w:pPr>
        <w:autoSpaceDE w:val="0"/>
        <w:autoSpaceDN w:val="0"/>
        <w:adjustRightInd w:val="0"/>
        <w:spacing w:after="0" w:line="300" w:lineRule="auto"/>
        <w:ind w:firstLine="709"/>
        <w:jc w:val="both"/>
        <w:rPr>
          <w:rFonts w:ascii="Times New Roman" w:hAnsi="Times New Roman" w:cs="Times New Roman"/>
        </w:rPr>
      </w:pPr>
      <w:r w:rsidRPr="00CF73C9">
        <w:rPr>
          <w:rFonts w:ascii="Times New Roman" w:hAnsi="Times New Roman" w:cs="Times New Roman"/>
          <w:lang w:val="en-US"/>
        </w:rPr>
        <w:t xml:space="preserve">The proband was </w:t>
      </w:r>
      <w:proofErr w:type="spellStart"/>
      <w:r w:rsidRPr="00CF73C9">
        <w:rPr>
          <w:rFonts w:ascii="Times New Roman" w:hAnsi="Times New Roman" w:cs="Times New Roman"/>
          <w:lang w:val="en-US"/>
        </w:rPr>
        <w:t>frst</w:t>
      </w:r>
      <w:proofErr w:type="spellEnd"/>
      <w:r w:rsidRPr="00CF73C9">
        <w:rPr>
          <w:rFonts w:ascii="Times New Roman" w:hAnsi="Times New Roman" w:cs="Times New Roman"/>
          <w:lang w:val="en-US"/>
        </w:rPr>
        <w:t xml:space="preserve"> consulted by a geneticist at the Research Centre </w:t>
      </w:r>
      <w:proofErr w:type="gramStart"/>
      <w:r w:rsidRPr="00CF73C9">
        <w:rPr>
          <w:rFonts w:ascii="Times New Roman" w:hAnsi="Times New Roman" w:cs="Times New Roman"/>
          <w:lang w:val="en-US"/>
        </w:rPr>
        <w:t>For</w:t>
      </w:r>
      <w:proofErr w:type="gramEnd"/>
      <w:r w:rsidRPr="00CF73C9">
        <w:rPr>
          <w:rFonts w:ascii="Times New Roman" w:hAnsi="Times New Roman" w:cs="Times New Roman"/>
          <w:lang w:val="en-US"/>
        </w:rPr>
        <w:t xml:space="preserve"> Medical Genetics at the age of 1 year and 4 months due to seizures. The patient's medical history revealed that she was born from the </w:t>
      </w:r>
      <w:proofErr w:type="spellStart"/>
      <w:r w:rsidRPr="00CF73C9">
        <w:rPr>
          <w:rFonts w:ascii="Times New Roman" w:hAnsi="Times New Roman" w:cs="Times New Roman"/>
          <w:lang w:val="en-US"/>
        </w:rPr>
        <w:t>frst</w:t>
      </w:r>
      <w:proofErr w:type="spellEnd"/>
      <w:r w:rsidRPr="00CF73C9">
        <w:rPr>
          <w:rFonts w:ascii="Times New Roman" w:hAnsi="Times New Roman" w:cs="Times New Roman"/>
          <w:lang w:val="en-US"/>
        </w:rPr>
        <w:t xml:space="preserve"> pregnancy, which included the use of </w:t>
      </w:r>
      <w:proofErr w:type="spellStart"/>
      <w:r w:rsidRPr="00CF73C9">
        <w:rPr>
          <w:rFonts w:ascii="Times New Roman" w:hAnsi="Times New Roman" w:cs="Times New Roman"/>
          <w:lang w:val="en-US"/>
        </w:rPr>
        <w:t>Duphaston</w:t>
      </w:r>
      <w:proofErr w:type="spellEnd"/>
      <w:r w:rsidRPr="00CF73C9">
        <w:rPr>
          <w:rFonts w:ascii="Times New Roman" w:hAnsi="Times New Roman" w:cs="Times New Roman"/>
          <w:lang w:val="en-US"/>
        </w:rPr>
        <w:t xml:space="preserve"> during the </w:t>
      </w:r>
      <w:proofErr w:type="spellStart"/>
      <w:r w:rsidRPr="00CF73C9">
        <w:rPr>
          <w:rFonts w:ascii="Times New Roman" w:hAnsi="Times New Roman" w:cs="Times New Roman"/>
          <w:lang w:val="en-US"/>
        </w:rPr>
        <w:t>frst</w:t>
      </w:r>
      <w:proofErr w:type="spellEnd"/>
      <w:r w:rsidRPr="00CF73C9">
        <w:rPr>
          <w:rFonts w:ascii="Times New Roman" w:hAnsi="Times New Roman" w:cs="Times New Roman"/>
          <w:lang w:val="en-US"/>
        </w:rPr>
        <w:t xml:space="preserve"> trimester and maternal toxicosis. At 20 weeks gestation, fetal ultrasound indicated ventriculomegaly. Spontaneous natural delivery occurred at 40-41 weeks of gestation. At birth, her weight was 2960 grams, length 50 cm, and her Apgar scores were 8-9. Early development was delayed. Seizures debuted at 12 mounts and were characterized by brief periods of eye rolling lasting several seconds, with up to 14 episodes a day. Valproic acid Case report generated using CARE-writer, care-writer.com 3 of 9 therapy was unsuccessful in reducing seizure frequency. Video electroencephalography (EEG) monitoring showed epileptiform activity, and brain MRI </w:t>
      </w:r>
      <w:proofErr w:type="spellStart"/>
      <w:r w:rsidRPr="00CF73C9">
        <w:rPr>
          <w:rFonts w:ascii="Times New Roman" w:hAnsi="Times New Roman" w:cs="Times New Roman"/>
          <w:lang w:val="en-US"/>
        </w:rPr>
        <w:t>confrmed</w:t>
      </w:r>
      <w:proofErr w:type="spellEnd"/>
      <w:r w:rsidRPr="00CF73C9">
        <w:rPr>
          <w:rFonts w:ascii="Times New Roman" w:hAnsi="Times New Roman" w:cs="Times New Roman"/>
          <w:lang w:val="en-US"/>
        </w:rPr>
        <w:t xml:space="preserve"> ventriculomegaly. The girl was also seen by a neurologist, who diagnosed her with delayed psychomotor and speech development, non-progressive internal hydrocephalus and generalized idiopathic epilepsy, as well as hypotonic-atactic syndrome. Physical examination by a geneticist noted plagiocephaly along with several mild dysmorphic features including, hypertelorism, long eyelashes, epicanthus, hypoplasia of the eyebrow ridges, a "wine" stain on the forehead, short neck, and an incomplete transverse palmar crease. </w:t>
      </w:r>
    </w:p>
    <w:p w:rsidR="00CF73C9" w:rsidRPr="00CF73C9" w:rsidRDefault="00FE3FB7" w:rsidP="00FE3FB7">
      <w:pPr>
        <w:autoSpaceDE w:val="0"/>
        <w:autoSpaceDN w:val="0"/>
        <w:adjustRightInd w:val="0"/>
        <w:spacing w:after="0" w:line="300" w:lineRule="auto"/>
        <w:ind w:firstLine="709"/>
        <w:jc w:val="both"/>
        <w:rPr>
          <w:rFonts w:ascii="Times New Roman" w:hAnsi="Times New Roman" w:cs="Times New Roman"/>
        </w:rPr>
      </w:pPr>
      <w:r w:rsidRPr="00CF73C9">
        <w:rPr>
          <w:rFonts w:ascii="Times New Roman" w:hAnsi="Times New Roman" w:cs="Times New Roman"/>
          <w:b/>
          <w:bCs/>
          <w:lang w:val="en-US"/>
        </w:rPr>
        <w:t xml:space="preserve">Molecular </w:t>
      </w:r>
      <w:proofErr w:type="spellStart"/>
      <w:r w:rsidRPr="00CF73C9">
        <w:rPr>
          <w:rFonts w:ascii="Times New Roman" w:hAnsi="Times New Roman" w:cs="Times New Roman"/>
          <w:b/>
          <w:bCs/>
          <w:lang w:val="en-US"/>
        </w:rPr>
        <w:t>fndings</w:t>
      </w:r>
      <w:proofErr w:type="spellEnd"/>
      <w:r w:rsidRPr="00CF73C9">
        <w:rPr>
          <w:rFonts w:ascii="Times New Roman" w:hAnsi="Times New Roman" w:cs="Times New Roman"/>
          <w:lang w:val="en-US"/>
        </w:rPr>
        <w:t xml:space="preserve"> </w:t>
      </w:r>
    </w:p>
    <w:p w:rsidR="00CF73C9" w:rsidRPr="00CF73C9" w:rsidRDefault="00FE3FB7" w:rsidP="00FE3FB7">
      <w:pPr>
        <w:autoSpaceDE w:val="0"/>
        <w:autoSpaceDN w:val="0"/>
        <w:adjustRightInd w:val="0"/>
        <w:spacing w:after="0" w:line="300" w:lineRule="auto"/>
        <w:ind w:firstLine="709"/>
        <w:jc w:val="both"/>
        <w:rPr>
          <w:rFonts w:ascii="Times New Roman" w:hAnsi="Times New Roman" w:cs="Times New Roman"/>
        </w:rPr>
      </w:pPr>
      <w:r w:rsidRPr="00CF73C9">
        <w:rPr>
          <w:rFonts w:ascii="Times New Roman" w:hAnsi="Times New Roman" w:cs="Times New Roman"/>
          <w:lang w:val="en-US"/>
        </w:rPr>
        <w:t>At the age of 1.5 years, due to the onset of seizures, developmental delay, and dysmorphisms, a genetic cause of the disease was suspected, and whole-genome sequencing was prescribed for the proband. WGS revealed three candidate variants: HNRNPU, NIPBL, and KANSL1 (Figure 1A, 1B). A novel heterozygous missense variant in exon 47 of the NIPBL gene, NM_133433.</w:t>
      </w:r>
      <w:proofErr w:type="gramStart"/>
      <w:r w:rsidRPr="00CF73C9">
        <w:rPr>
          <w:rFonts w:ascii="Times New Roman" w:hAnsi="Times New Roman" w:cs="Times New Roman"/>
          <w:lang w:val="en-US"/>
        </w:rPr>
        <w:t>4:c.</w:t>
      </w:r>
      <w:proofErr w:type="gramEnd"/>
      <w:r w:rsidRPr="00CF73C9">
        <w:rPr>
          <w:rFonts w:ascii="Times New Roman" w:hAnsi="Times New Roman" w:cs="Times New Roman"/>
          <w:lang w:val="en-US"/>
        </w:rPr>
        <w:t xml:space="preserve">8101A&gt;G, resulting in an amino acid substitution at position 2701 of the protein (p.(Met2701Val)), was </w:t>
      </w:r>
      <w:proofErr w:type="spellStart"/>
      <w:r w:rsidRPr="00CF73C9">
        <w:rPr>
          <w:rFonts w:ascii="Times New Roman" w:hAnsi="Times New Roman" w:cs="Times New Roman"/>
          <w:lang w:val="en-US"/>
        </w:rPr>
        <w:t>identifed</w:t>
      </w:r>
      <w:proofErr w:type="spellEnd"/>
      <w:r w:rsidRPr="00CF73C9">
        <w:rPr>
          <w:rFonts w:ascii="Times New Roman" w:hAnsi="Times New Roman" w:cs="Times New Roman"/>
          <w:lang w:val="en-US"/>
        </w:rPr>
        <w:t xml:space="preserve"> (Figure 1B). Heterozygous pathogenic </w:t>
      </w:r>
      <w:proofErr w:type="gramStart"/>
      <w:r w:rsidRPr="00CF73C9">
        <w:rPr>
          <w:rFonts w:ascii="Times New Roman" w:hAnsi="Times New Roman" w:cs="Times New Roman"/>
          <w:lang w:val="en-US"/>
        </w:rPr>
        <w:t>variants ,</w:t>
      </w:r>
      <w:proofErr w:type="gramEnd"/>
      <w:r w:rsidRPr="00CF73C9">
        <w:rPr>
          <w:rFonts w:ascii="Times New Roman" w:hAnsi="Times New Roman" w:cs="Times New Roman"/>
          <w:lang w:val="en-US"/>
        </w:rPr>
        <w:t xml:space="preserve"> including missense, in the NIPBL gene are known to cause Cornelia de Lange syndrome type 1 (OMIM: 122470). This syndrome is characterized by intellectual disability, distinctive facial features, prenatal and postnatal growth retardation, and hirsutism. Congenital anomalies include malformations of the upper limbs, gastrointestinal malformations/rotations, pyloric stenosis, diaphragmatic hernia, heart defects, and genitourinary malformations (Boyle et al., 2015). The neurological symptoms and facial dysmorphism of Cornelia de Lange syndrome partially matched the proband's phenotype. Segregation analysis indicated that the variant was inherited from the proband’s </w:t>
      </w:r>
      <w:proofErr w:type="spellStart"/>
      <w:r w:rsidRPr="00CF73C9">
        <w:rPr>
          <w:rFonts w:ascii="Times New Roman" w:hAnsi="Times New Roman" w:cs="Times New Roman"/>
          <w:lang w:val="en-US"/>
        </w:rPr>
        <w:t>heatlhy</w:t>
      </w:r>
      <w:proofErr w:type="spellEnd"/>
      <w:r w:rsidRPr="00CF73C9">
        <w:rPr>
          <w:rFonts w:ascii="Times New Roman" w:hAnsi="Times New Roman" w:cs="Times New Roman"/>
          <w:lang w:val="en-US"/>
        </w:rPr>
        <w:t xml:space="preserve"> father. The second heterozygous variant in exon 9 of the HNRNPU gene, NM_031844.</w:t>
      </w:r>
      <w:proofErr w:type="gramStart"/>
      <w:r w:rsidRPr="00CF73C9">
        <w:rPr>
          <w:rFonts w:ascii="Times New Roman" w:hAnsi="Times New Roman" w:cs="Times New Roman"/>
          <w:lang w:val="en-US"/>
        </w:rPr>
        <w:t>3:c.</w:t>
      </w:r>
      <w:proofErr w:type="gramEnd"/>
      <w:r w:rsidRPr="00CF73C9">
        <w:rPr>
          <w:rFonts w:ascii="Times New Roman" w:hAnsi="Times New Roman" w:cs="Times New Roman"/>
          <w:lang w:val="en-US"/>
        </w:rPr>
        <w:t xml:space="preserve">1665_1666del, was also </w:t>
      </w:r>
      <w:proofErr w:type="spellStart"/>
      <w:r w:rsidRPr="00CF73C9">
        <w:rPr>
          <w:rFonts w:ascii="Times New Roman" w:hAnsi="Times New Roman" w:cs="Times New Roman"/>
          <w:lang w:val="en-US"/>
        </w:rPr>
        <w:t>identifed</w:t>
      </w:r>
      <w:proofErr w:type="spellEnd"/>
      <w:r w:rsidRPr="00CF73C9">
        <w:rPr>
          <w:rFonts w:ascii="Times New Roman" w:hAnsi="Times New Roman" w:cs="Times New Roman"/>
          <w:lang w:val="en-US"/>
        </w:rPr>
        <w:t>, resulting in a frameshift and formation of a premature termination codon (p.(Leu556Alafs*12)) (Figure 1B). This substitution wasn’t described before. Heterozygous loss-of-function (</w:t>
      </w:r>
      <w:proofErr w:type="spellStart"/>
      <w:r w:rsidRPr="00CF73C9">
        <w:rPr>
          <w:rFonts w:ascii="Times New Roman" w:hAnsi="Times New Roman" w:cs="Times New Roman"/>
          <w:lang w:val="en-US"/>
        </w:rPr>
        <w:t>LoF</w:t>
      </w:r>
      <w:proofErr w:type="spellEnd"/>
      <w:r w:rsidRPr="00CF73C9">
        <w:rPr>
          <w:rFonts w:ascii="Times New Roman" w:hAnsi="Times New Roman" w:cs="Times New Roman"/>
          <w:lang w:val="en-US"/>
        </w:rPr>
        <w:t>) variants in the HNRNPU gene have been reported in patients with developmental and epileptic encephalopathy type 54 (OMIM: 617391), often accompanied by variable craniofacial and skeletal anomalies [8</w:t>
      </w:r>
      <w:proofErr w:type="gramStart"/>
      <w:r w:rsidRPr="00CF73C9">
        <w:rPr>
          <w:rFonts w:ascii="Times New Roman" w:hAnsi="Times New Roman" w:cs="Times New Roman"/>
          <w:lang w:val="en-US"/>
        </w:rPr>
        <w:t>] .</w:t>
      </w:r>
      <w:proofErr w:type="gramEnd"/>
      <w:r w:rsidRPr="00CF73C9">
        <w:rPr>
          <w:rFonts w:ascii="Times New Roman" w:hAnsi="Times New Roman" w:cs="Times New Roman"/>
          <w:lang w:val="en-US"/>
        </w:rPr>
        <w:t xml:space="preserve"> Segregation analysis </w:t>
      </w:r>
      <w:proofErr w:type="spellStart"/>
      <w:r w:rsidRPr="00CF73C9">
        <w:rPr>
          <w:rFonts w:ascii="Times New Roman" w:hAnsi="Times New Roman" w:cs="Times New Roman"/>
          <w:lang w:val="en-US"/>
        </w:rPr>
        <w:t>confrmed</w:t>
      </w:r>
      <w:proofErr w:type="spellEnd"/>
      <w:r w:rsidRPr="00CF73C9">
        <w:rPr>
          <w:rFonts w:ascii="Times New Roman" w:hAnsi="Times New Roman" w:cs="Times New Roman"/>
          <w:lang w:val="en-US"/>
        </w:rPr>
        <w:t xml:space="preserve"> the de novo status of the variant. Finally, WGS revealed a </w:t>
      </w:r>
      <w:r w:rsidRPr="00CF73C9">
        <w:rPr>
          <w:rFonts w:ascii="Times New Roman" w:hAnsi="Times New Roman" w:cs="Times New Roman"/>
          <w:lang w:val="en-US"/>
        </w:rPr>
        <w:lastRenderedPageBreak/>
        <w:t>nonsense variant previously described as pathogenic in exon 2 of the KANSL1 gene, NM_015443.</w:t>
      </w:r>
      <w:proofErr w:type="gramStart"/>
      <w:r w:rsidRPr="00CF73C9">
        <w:rPr>
          <w:rFonts w:ascii="Times New Roman" w:hAnsi="Times New Roman" w:cs="Times New Roman"/>
          <w:lang w:val="en-US"/>
        </w:rPr>
        <w:t>4:c.</w:t>
      </w:r>
      <w:proofErr w:type="gramEnd"/>
      <w:r w:rsidRPr="00CF73C9">
        <w:rPr>
          <w:rFonts w:ascii="Times New Roman" w:hAnsi="Times New Roman" w:cs="Times New Roman"/>
          <w:lang w:val="en-US"/>
        </w:rPr>
        <w:t>727C&gt;T (p.(Gln243Ter)) (</w:t>
      </w:r>
      <w:proofErr w:type="spellStart"/>
      <w:r w:rsidRPr="00CF73C9">
        <w:rPr>
          <w:rFonts w:ascii="Times New Roman" w:hAnsi="Times New Roman" w:cs="Times New Roman"/>
          <w:lang w:val="en-US"/>
        </w:rPr>
        <w:t>clinvar</w:t>
      </w:r>
      <w:proofErr w:type="spellEnd"/>
      <w:r w:rsidRPr="00CF73C9">
        <w:rPr>
          <w:rFonts w:ascii="Times New Roman" w:hAnsi="Times New Roman" w:cs="Times New Roman"/>
          <w:lang w:val="en-US"/>
        </w:rPr>
        <w:t xml:space="preserve"> accession number SCV004703389) (Figure 1B). Loss-of-function variants in the KANSL1 gene are associated with Koolen-de Vries syndrome (OMIM: 610443), characterized by congenital malformations, developmental delay/intellectual disability, neonatal/childhood hypotonia, epilepsy, dysmorphisms, and behavioral features. Psychomotor developmental delay is noted in all individuals from an early age [7, 8]. It is important to note that the variant was detected in 18 Case report generated using CARE-writer, care-writer.com 4 of 9 out of 53 reads (mutant allele fraction of 34%). Segregation analysis showed that this variant was inherited from the healthy mother. The clinical presentation of Koolen-de Vries syndrome only partially matched the proband's clinical picture, which may be a consequence of the incomplete penetrance of this syndrome. </w:t>
      </w:r>
    </w:p>
    <w:p w:rsidR="00CF73C9" w:rsidRPr="00CF73C9" w:rsidRDefault="00FE3FB7" w:rsidP="00FE3FB7">
      <w:pPr>
        <w:autoSpaceDE w:val="0"/>
        <w:autoSpaceDN w:val="0"/>
        <w:adjustRightInd w:val="0"/>
        <w:spacing w:after="0" w:line="300" w:lineRule="auto"/>
        <w:ind w:firstLine="709"/>
        <w:jc w:val="both"/>
        <w:rPr>
          <w:rFonts w:ascii="Times New Roman" w:hAnsi="Times New Roman" w:cs="Times New Roman"/>
        </w:rPr>
      </w:pPr>
      <w:r w:rsidRPr="00CF73C9">
        <w:rPr>
          <w:rFonts w:ascii="Times New Roman" w:hAnsi="Times New Roman" w:cs="Times New Roman"/>
          <w:b/>
          <w:bCs/>
          <w:lang w:val="en-US"/>
        </w:rPr>
        <w:t>Study of the pathogenicity of the KANSL1 variant</w:t>
      </w:r>
      <w:r w:rsidRPr="00CF73C9">
        <w:rPr>
          <w:rFonts w:ascii="Times New Roman" w:hAnsi="Times New Roman" w:cs="Times New Roman"/>
          <w:lang w:val="en-US"/>
        </w:rPr>
        <w:t xml:space="preserve"> </w:t>
      </w:r>
    </w:p>
    <w:p w:rsidR="00FE3FB7" w:rsidRPr="00CF73C9" w:rsidRDefault="00FE3FB7" w:rsidP="00FE3FB7">
      <w:pPr>
        <w:autoSpaceDE w:val="0"/>
        <w:autoSpaceDN w:val="0"/>
        <w:adjustRightInd w:val="0"/>
        <w:spacing w:after="0" w:line="300" w:lineRule="auto"/>
        <w:ind w:firstLine="709"/>
        <w:jc w:val="both"/>
        <w:rPr>
          <w:rFonts w:ascii="Times New Roman" w:hAnsi="Times New Roman" w:cs="Times New Roman"/>
          <w:lang w:val="en-US"/>
        </w:rPr>
      </w:pPr>
      <w:r w:rsidRPr="00CF73C9">
        <w:rPr>
          <w:rFonts w:ascii="Times New Roman" w:hAnsi="Times New Roman" w:cs="Times New Roman"/>
          <w:lang w:val="en-US"/>
        </w:rPr>
        <w:t xml:space="preserve">Since a pathogenic causative variant in the HNRNPU gene was </w:t>
      </w:r>
      <w:proofErr w:type="spellStart"/>
      <w:r w:rsidRPr="00CF73C9">
        <w:rPr>
          <w:rFonts w:ascii="Times New Roman" w:hAnsi="Times New Roman" w:cs="Times New Roman"/>
          <w:lang w:val="en-US"/>
        </w:rPr>
        <w:t>identifed</w:t>
      </w:r>
      <w:proofErr w:type="spellEnd"/>
      <w:r w:rsidRPr="00CF73C9">
        <w:rPr>
          <w:rFonts w:ascii="Times New Roman" w:hAnsi="Times New Roman" w:cs="Times New Roman"/>
          <w:lang w:val="en-US"/>
        </w:rPr>
        <w:t xml:space="preserve"> in the patient, the presence of another variant described as pathogenic in the KANSL1 gene in both the patient and his healthy mother complicated the diagnosis and counseling of the patient. Since incomplete penetrance, as the most obvious cause, is not described for Koolen-de Vries syndrome, we began by investigating the likelihood of mosaicism for the variant. De novo mosaic variant has been previously described in the patient with atypical phenotype presentation [7, 8, 11]. The ratio of peaks of the heterozygous variant c.727C&gt;T in the proband (</w:t>
      </w:r>
      <w:proofErr w:type="spellStart"/>
      <w:r w:rsidRPr="00CF73C9">
        <w:rPr>
          <w:rFonts w:ascii="Times New Roman" w:hAnsi="Times New Roman" w:cs="Times New Roman"/>
          <w:lang w:val="en-US"/>
        </w:rPr>
        <w:t>wt</w:t>
      </w:r>
      <w:proofErr w:type="spellEnd"/>
      <w:r w:rsidRPr="00CF73C9">
        <w:rPr>
          <w:rFonts w:ascii="Times New Roman" w:hAnsi="Times New Roman" w:cs="Times New Roman"/>
          <w:lang w:val="en-US"/>
        </w:rPr>
        <w:t xml:space="preserve">/mut=2/1) suggested the possibility of mosaicism. To test this hypothesis, we searched for the variant in genomic DNA samples extracted from the peripheral blood and buccal epithelial cells of the proband and the proband's mother. The presence of the variant with the same ratio of peaks was </w:t>
      </w:r>
      <w:proofErr w:type="spellStart"/>
      <w:r w:rsidRPr="00CF73C9">
        <w:rPr>
          <w:rFonts w:ascii="Times New Roman" w:hAnsi="Times New Roman" w:cs="Times New Roman"/>
          <w:lang w:val="en-US"/>
        </w:rPr>
        <w:t>confrmed</w:t>
      </w:r>
      <w:proofErr w:type="spellEnd"/>
      <w:r w:rsidRPr="00CF73C9">
        <w:rPr>
          <w:rFonts w:ascii="Times New Roman" w:hAnsi="Times New Roman" w:cs="Times New Roman"/>
          <w:lang w:val="en-US"/>
        </w:rPr>
        <w:t xml:space="preserve"> in all DNA samples tested, which ruled out mosaicism. Additionally, the variant was sought in all available family members (Figure 1C). Analysis revealed that the proband's mother and maternal grandmother is also a heterozygous carrier of the variant. In DNA samples from all family members carrying the variant, an unusual ratio of the heterozygous variant peaks c.727C&gt;T (</w:t>
      </w:r>
      <w:proofErr w:type="spellStart"/>
      <w:r w:rsidRPr="00CF73C9">
        <w:rPr>
          <w:rFonts w:ascii="Times New Roman" w:hAnsi="Times New Roman" w:cs="Times New Roman"/>
          <w:lang w:val="en-US"/>
        </w:rPr>
        <w:t>wt</w:t>
      </w:r>
      <w:proofErr w:type="spellEnd"/>
      <w:r w:rsidRPr="00CF73C9">
        <w:rPr>
          <w:rFonts w:ascii="Times New Roman" w:hAnsi="Times New Roman" w:cs="Times New Roman"/>
          <w:lang w:val="en-US"/>
        </w:rPr>
        <w:t xml:space="preserve">/mut=2/1) was observed. Thus, the mosaic state of the c.727C&gt;T variant was not </w:t>
      </w:r>
      <w:proofErr w:type="spellStart"/>
      <w:r w:rsidRPr="00CF73C9">
        <w:rPr>
          <w:rFonts w:ascii="Times New Roman" w:hAnsi="Times New Roman" w:cs="Times New Roman"/>
          <w:lang w:val="en-US"/>
        </w:rPr>
        <w:t>confrmed</w:t>
      </w:r>
      <w:proofErr w:type="spellEnd"/>
      <w:r w:rsidRPr="00CF73C9">
        <w:rPr>
          <w:rFonts w:ascii="Times New Roman" w:hAnsi="Times New Roman" w:cs="Times New Roman"/>
          <w:lang w:val="en-US"/>
        </w:rPr>
        <w:t xml:space="preserve"> </w:t>
      </w:r>
      <w:proofErr w:type="gramStart"/>
      <w:r w:rsidRPr="00CF73C9">
        <w:rPr>
          <w:rFonts w:ascii="Times New Roman" w:hAnsi="Times New Roman" w:cs="Times New Roman"/>
          <w:lang w:val="en-US"/>
        </w:rPr>
        <w:t>The</w:t>
      </w:r>
      <w:proofErr w:type="gramEnd"/>
      <w:r w:rsidRPr="00CF73C9">
        <w:rPr>
          <w:rFonts w:ascii="Times New Roman" w:hAnsi="Times New Roman" w:cs="Times New Roman"/>
          <w:lang w:val="en-US"/>
        </w:rPr>
        <w:t xml:space="preserve"> allelic imbalance observed in variants detected during WGS and Sanger sequencing in the proband prompted us to consider the presence of a duplication spanning the KANSL1 locus. Subsequent copy number variation (CNV) reanalysis of the WGS data </w:t>
      </w:r>
      <w:proofErr w:type="spellStart"/>
      <w:r w:rsidRPr="00CF73C9">
        <w:rPr>
          <w:rFonts w:ascii="Times New Roman" w:hAnsi="Times New Roman" w:cs="Times New Roman"/>
          <w:lang w:val="en-US"/>
        </w:rPr>
        <w:t>confrmed</w:t>
      </w:r>
      <w:proofErr w:type="spellEnd"/>
      <w:r w:rsidRPr="00CF73C9">
        <w:rPr>
          <w:rFonts w:ascii="Times New Roman" w:hAnsi="Times New Roman" w:cs="Times New Roman"/>
          <w:lang w:val="en-US"/>
        </w:rPr>
        <w:t xml:space="preserve"> the duplication of this region, delineated by approximate boundaries of chr17:44,165,260_44,651,550dup (156 kb). According to </w:t>
      </w:r>
      <w:proofErr w:type="spellStart"/>
      <w:r w:rsidRPr="00CF73C9">
        <w:rPr>
          <w:rFonts w:ascii="Times New Roman" w:hAnsi="Times New Roman" w:cs="Times New Roman"/>
          <w:lang w:val="en-US"/>
        </w:rPr>
        <w:t>GnomAD</w:t>
      </w:r>
      <w:proofErr w:type="spellEnd"/>
      <w:r w:rsidRPr="00CF73C9">
        <w:rPr>
          <w:rFonts w:ascii="Times New Roman" w:hAnsi="Times New Roman" w:cs="Times New Roman"/>
          <w:lang w:val="en-US"/>
        </w:rPr>
        <w:t xml:space="preserve">, such a duplication is common and has a population frequency of approximately 20%. This common duplication encompasses exons 1 and 2 of the KANSL1 gene, including the region where the c.727C&gt;T variant was </w:t>
      </w:r>
      <w:proofErr w:type="spellStart"/>
      <w:r w:rsidRPr="00CF73C9">
        <w:rPr>
          <w:rFonts w:ascii="Times New Roman" w:hAnsi="Times New Roman" w:cs="Times New Roman"/>
          <w:lang w:val="en-US"/>
        </w:rPr>
        <w:t>identifed</w:t>
      </w:r>
      <w:proofErr w:type="spellEnd"/>
      <w:r w:rsidRPr="00CF73C9">
        <w:rPr>
          <w:rFonts w:ascii="Times New Roman" w:hAnsi="Times New Roman" w:cs="Times New Roman"/>
          <w:lang w:val="en-US"/>
        </w:rPr>
        <w:t xml:space="preserve">. We hypothesized that the c.727C&gt;T variant listed in the patient's WGS report is located not in the KANSL1 gene, but in its duplicated locus. This duplicated region of the gene is highly likely to be non-functional. To determine the expression of the duplicated KANSL1 locus, we designed a set of primers to amplify the mRNA locus of the KANSL1 gene spanning exons 1 to 3. The boundaries of the locus were selected to ensure </w:t>
      </w:r>
      <w:proofErr w:type="spellStart"/>
      <w:r w:rsidRPr="00CF73C9">
        <w:rPr>
          <w:rFonts w:ascii="Times New Roman" w:hAnsi="Times New Roman" w:cs="Times New Roman"/>
          <w:lang w:val="en-US"/>
        </w:rPr>
        <w:t>amplifcation</w:t>
      </w:r>
      <w:proofErr w:type="spellEnd"/>
      <w:r w:rsidRPr="00CF73C9">
        <w:rPr>
          <w:rFonts w:ascii="Times New Roman" w:hAnsi="Times New Roman" w:cs="Times New Roman"/>
          <w:lang w:val="en-US"/>
        </w:rPr>
        <w:t xml:space="preserve"> occurs only from the main gene and not from the gene region included in the tandem duplication (Figure 2). Sequencing of the RT-PCR product revealed that this mRNA locus is transcribed and contains the Case report generated using CARE-writer, care-writer.com 5 of 9 heterozygous c.727C&gt;T variant. A subsequent review of the duplication boundaries in the patient’s genome data indicated that the patient's duplication differs from the common duplication registered in </w:t>
      </w:r>
      <w:proofErr w:type="spellStart"/>
      <w:r w:rsidRPr="00CF73C9">
        <w:rPr>
          <w:rFonts w:ascii="Times New Roman" w:hAnsi="Times New Roman" w:cs="Times New Roman"/>
          <w:lang w:val="en-US"/>
        </w:rPr>
        <w:t>gnomAD</w:t>
      </w:r>
      <w:proofErr w:type="spellEnd"/>
      <w:r w:rsidRPr="00CF73C9">
        <w:rPr>
          <w:rFonts w:ascii="Times New Roman" w:hAnsi="Times New Roman" w:cs="Times New Roman"/>
          <w:lang w:val="en-US"/>
        </w:rPr>
        <w:t xml:space="preserve">, as it includes exon 3 and part of intron 3. We developed a new PCR system to amplify the KANSL1 mRNA from exon 2 to exon 7. The analysis did not show the presence of the c.727C&gt;T variant in the mRNA. Due to the complexity of the region, we were unable to determine the exact boundaries of the duplication on the DNA level. Based on coverage and allelic imbalance, we estimate its approximate boundaries to be chr17:44165365-44375856 with a size of 210 kb. Thus, we demonstrated that the variant c.727C&gt;T in the KANSL1 gene resides within a duplication of this gene and </w:t>
      </w:r>
      <w:r w:rsidRPr="00CF73C9">
        <w:rPr>
          <w:rFonts w:ascii="Times New Roman" w:hAnsi="Times New Roman" w:cs="Times New Roman"/>
          <w:lang w:val="en-US"/>
        </w:rPr>
        <w:lastRenderedPageBreak/>
        <w:t xml:space="preserve">is non-functional, enabling us to classify it as benign. The variant was submitted in </w:t>
      </w:r>
      <w:proofErr w:type="spellStart"/>
      <w:r w:rsidRPr="00CF73C9">
        <w:rPr>
          <w:rFonts w:ascii="Times New Roman" w:hAnsi="Times New Roman" w:cs="Times New Roman"/>
          <w:lang w:val="en-US"/>
        </w:rPr>
        <w:t>ClinVar</w:t>
      </w:r>
      <w:proofErr w:type="spellEnd"/>
      <w:r w:rsidRPr="00CF73C9">
        <w:rPr>
          <w:rFonts w:ascii="Times New Roman" w:hAnsi="Times New Roman" w:cs="Times New Roman"/>
          <w:lang w:val="en-US"/>
        </w:rPr>
        <w:t xml:space="preserve"> (accession number SCV005049516).</w:t>
      </w:r>
    </w:p>
    <w:p w:rsidR="00F20884" w:rsidRPr="00CF73C9" w:rsidRDefault="007C7327" w:rsidP="00CF73C9">
      <w:pPr>
        <w:autoSpaceDE w:val="0"/>
        <w:autoSpaceDN w:val="0"/>
        <w:adjustRightInd w:val="0"/>
        <w:spacing w:after="0" w:line="300" w:lineRule="auto"/>
        <w:ind w:firstLine="709"/>
        <w:jc w:val="both"/>
        <w:rPr>
          <w:rFonts w:ascii="Times New Roman" w:hAnsi="Times New Roman" w:cs="Times New Roman"/>
          <w:lang w:val="en-US"/>
        </w:rPr>
      </w:pPr>
      <w:r w:rsidRPr="00CF73C9">
        <w:rPr>
          <w:rFonts w:ascii="Times New Roman" w:hAnsi="Times New Roman" w:cs="Times New Roman"/>
          <w:color w:val="000000"/>
          <w:lang w:val="en-US"/>
        </w:rPr>
        <w:br/>
      </w:r>
      <w:r w:rsidRPr="00CF73C9">
        <w:rPr>
          <w:rFonts w:ascii="Times New Roman" w:hAnsi="Times New Roman" w:cs="Times New Roman"/>
          <w:b/>
          <w:color w:val="000000"/>
          <w:shd w:val="clear" w:color="auto" w:fill="FFFFFF"/>
          <w:lang w:val="en-US"/>
        </w:rPr>
        <w:t>Discussion</w:t>
      </w:r>
      <w:r w:rsidRPr="00CF73C9">
        <w:rPr>
          <w:rFonts w:ascii="Times New Roman" w:hAnsi="Times New Roman" w:cs="Times New Roman"/>
          <w:color w:val="000000"/>
          <w:lang w:val="en-US"/>
        </w:rPr>
        <w:br/>
      </w:r>
      <w:r w:rsidR="00F20884" w:rsidRPr="00CF73C9">
        <w:rPr>
          <w:rFonts w:ascii="Times New Roman" w:hAnsi="Times New Roman" w:cs="Times New Roman"/>
          <w:lang w:val="en-US"/>
        </w:rPr>
        <w:t xml:space="preserve">Among hereditary diseases, a significant portion is represented by conditions with broad clinical presentations and variable expressivity. Clinical heterogeneity makes it impossible to diagnose these patients based solely on clinical symptoms. In such cases, an accurate diagnosis can only be made based on the identification of the causative genetic variant. </w:t>
      </w:r>
    </w:p>
    <w:p w:rsidR="00F20884" w:rsidRPr="00CF73C9" w:rsidRDefault="00F20884" w:rsidP="00FE3FB7">
      <w:pPr>
        <w:pStyle w:val="a4"/>
        <w:spacing w:before="120" w:beforeAutospacing="0" w:after="120" w:afterAutospacing="0" w:line="300" w:lineRule="auto"/>
        <w:jc w:val="both"/>
        <w:rPr>
          <w:sz w:val="22"/>
          <w:szCs w:val="22"/>
          <w:lang w:val="en-US"/>
        </w:rPr>
      </w:pPr>
      <w:r w:rsidRPr="00CF73C9">
        <w:rPr>
          <w:sz w:val="22"/>
          <w:szCs w:val="22"/>
          <w:lang w:val="en-US"/>
        </w:rPr>
        <w:t xml:space="preserve">Finding the molecular cause is often challenging, as many pathologies have similar clinical manifestations but result from disruptions in the expression of different genes. Whole genome sequencing is the method of choice for these patients. For a number of genetically heterogeneous conditions, WGS has dramatically improved the diagnostic yield </w:t>
      </w:r>
      <w:r w:rsidRPr="00CF73C9">
        <w:rPr>
          <w:color w:val="833C0B"/>
          <w:sz w:val="22"/>
          <w:szCs w:val="22"/>
          <w:lang w:val="en-US"/>
        </w:rPr>
        <w:t xml:space="preserve"> </w:t>
      </w:r>
      <w:hyperlink r:id="rId26">
        <w:r w:rsidRPr="00CF73C9">
          <w:rPr>
            <w:color w:val="000000"/>
            <w:sz w:val="22"/>
            <w:szCs w:val="22"/>
            <w:lang w:val="en-US"/>
          </w:rPr>
          <w:t xml:space="preserve">(Bagger </w:t>
        </w:r>
      </w:hyperlink>
      <w:hyperlink r:id="rId27">
        <w:r w:rsidRPr="00CF73C9">
          <w:rPr>
            <w:i/>
            <w:color w:val="000000"/>
            <w:sz w:val="22"/>
            <w:szCs w:val="22"/>
            <w:lang w:val="en-US"/>
          </w:rPr>
          <w:t>et al.</w:t>
        </w:r>
      </w:hyperlink>
      <w:hyperlink r:id="rId28">
        <w:r w:rsidRPr="00CF73C9">
          <w:rPr>
            <w:color w:val="000000"/>
            <w:sz w:val="22"/>
            <w:szCs w:val="22"/>
            <w:lang w:val="en-US"/>
          </w:rPr>
          <w:t>, 2024)</w:t>
        </w:r>
      </w:hyperlink>
      <w:r w:rsidRPr="00CF73C9">
        <w:rPr>
          <w:color w:val="833C0B"/>
          <w:sz w:val="22"/>
          <w:szCs w:val="22"/>
          <w:lang w:val="en-US"/>
        </w:rPr>
        <w:t>.</w:t>
      </w:r>
    </w:p>
    <w:p w:rsidR="00F20884" w:rsidRPr="00CF73C9" w:rsidRDefault="00F20884" w:rsidP="00FE3FB7">
      <w:pPr>
        <w:pStyle w:val="a4"/>
        <w:spacing w:before="120" w:beforeAutospacing="0" w:after="120" w:afterAutospacing="0" w:line="300" w:lineRule="auto"/>
        <w:jc w:val="both"/>
        <w:rPr>
          <w:sz w:val="22"/>
          <w:szCs w:val="22"/>
          <w:lang w:val="en-US"/>
        </w:rPr>
      </w:pPr>
      <w:r w:rsidRPr="00CF73C9">
        <w:rPr>
          <w:sz w:val="22"/>
          <w:szCs w:val="22"/>
          <w:lang w:val="en-US"/>
        </w:rPr>
        <w:t xml:space="preserve">However, WGS, like any diagnostic method, has its nuances and limitations </w:t>
      </w:r>
      <w:hyperlink r:id="rId29">
        <w:r w:rsidRPr="00CF73C9">
          <w:rPr>
            <w:color w:val="000000"/>
            <w:sz w:val="22"/>
            <w:szCs w:val="22"/>
            <w:lang w:val="en-US"/>
          </w:rPr>
          <w:t>(Rolando, Melkonian and Walt, 2024)</w:t>
        </w:r>
      </w:hyperlink>
      <w:r w:rsidRPr="00CF73C9">
        <w:rPr>
          <w:color w:val="833C0B"/>
          <w:sz w:val="22"/>
          <w:szCs w:val="22"/>
          <w:lang w:val="en-US"/>
        </w:rPr>
        <w:t xml:space="preserve">. </w:t>
      </w:r>
      <w:r w:rsidRPr="00CF73C9">
        <w:rPr>
          <w:sz w:val="22"/>
          <w:szCs w:val="22"/>
          <w:lang w:val="en-US"/>
        </w:rPr>
        <w:t>In particular, the interpretation of WGS data often reveals multiple candidate variants, raising the question of how to prioritize them. Segregation analysis is commonly used for this purpose. This quick and straightforward approach determines whether a variant is inherited from one of the parents or arose de novo. However, segregation analysis is not an absolutely universal method, as many inheritance features, such as incomplete penetrance or mosaic inheritance, can complicate the interpretation.</w:t>
      </w:r>
    </w:p>
    <w:p w:rsidR="00F20884" w:rsidRPr="00CF73C9" w:rsidRDefault="00F20884" w:rsidP="00FE3FB7">
      <w:pPr>
        <w:pStyle w:val="a4"/>
        <w:spacing w:before="120" w:beforeAutospacing="0" w:after="120" w:afterAutospacing="0" w:line="300" w:lineRule="auto"/>
        <w:jc w:val="both"/>
        <w:rPr>
          <w:sz w:val="22"/>
          <w:szCs w:val="22"/>
          <w:lang w:val="en-US"/>
        </w:rPr>
      </w:pPr>
      <w:r w:rsidRPr="00CF73C9">
        <w:rPr>
          <w:sz w:val="22"/>
          <w:szCs w:val="22"/>
          <w:lang w:val="en-US"/>
        </w:rPr>
        <w:t xml:space="preserve">In our study, segregation analysis did not allow us to exclude the </w:t>
      </w:r>
      <w:proofErr w:type="spellStart"/>
      <w:r w:rsidRPr="00CF73C9">
        <w:rPr>
          <w:sz w:val="22"/>
          <w:szCs w:val="22"/>
          <w:lang w:val="en-US"/>
        </w:rPr>
        <w:t>LoF</w:t>
      </w:r>
      <w:proofErr w:type="spellEnd"/>
      <w:r w:rsidRPr="00CF73C9">
        <w:rPr>
          <w:sz w:val="22"/>
          <w:szCs w:val="22"/>
          <w:lang w:val="en-US"/>
        </w:rPr>
        <w:t xml:space="preserve"> variant in the </w:t>
      </w:r>
      <w:r w:rsidRPr="00CF73C9">
        <w:rPr>
          <w:i/>
          <w:sz w:val="22"/>
          <w:szCs w:val="22"/>
          <w:lang w:val="en-US"/>
        </w:rPr>
        <w:t>KANSL1</w:t>
      </w:r>
      <w:r w:rsidRPr="00CF73C9">
        <w:rPr>
          <w:sz w:val="22"/>
          <w:szCs w:val="22"/>
          <w:lang w:val="en-US"/>
        </w:rPr>
        <w:t xml:space="preserve"> gene from the list of candidate variants. This variant, in addition to the proband, was found in healthy family members across two generations. This circumstance and the unusual peak ratio of the heterozygous variant led to the hypothesis of mosaicism of the variant. One individual with a de novo mosaic nonsense KANSL1 variant (p.(Gln243ter)) was described recently</w:t>
      </w:r>
      <w:r w:rsidRPr="00CF73C9">
        <w:rPr>
          <w:color w:val="833C0B"/>
          <w:sz w:val="22"/>
          <w:szCs w:val="22"/>
          <w:lang w:val="en-US"/>
        </w:rPr>
        <w:t xml:space="preserve"> </w:t>
      </w:r>
      <w:hyperlink r:id="rId30">
        <w:r w:rsidRPr="00CF73C9">
          <w:rPr>
            <w:color w:val="000000"/>
            <w:sz w:val="22"/>
            <w:szCs w:val="22"/>
            <w:lang w:val="en-US"/>
          </w:rPr>
          <w:t>(</w:t>
        </w:r>
        <w:proofErr w:type="spellStart"/>
        <w:r w:rsidRPr="00CF73C9">
          <w:rPr>
            <w:color w:val="000000"/>
            <w:sz w:val="22"/>
            <w:szCs w:val="22"/>
            <w:lang w:val="en-US"/>
          </w:rPr>
          <w:t>Awamleh</w:t>
        </w:r>
        <w:proofErr w:type="spellEnd"/>
        <w:r w:rsidRPr="00CF73C9">
          <w:rPr>
            <w:color w:val="000000"/>
            <w:sz w:val="22"/>
            <w:szCs w:val="22"/>
            <w:lang w:val="en-US"/>
          </w:rPr>
          <w:t xml:space="preserve"> </w:t>
        </w:r>
      </w:hyperlink>
      <w:hyperlink r:id="rId31">
        <w:r w:rsidRPr="00CF73C9">
          <w:rPr>
            <w:i/>
            <w:color w:val="000000"/>
            <w:sz w:val="22"/>
            <w:szCs w:val="22"/>
            <w:lang w:val="en-US"/>
          </w:rPr>
          <w:t>et al.</w:t>
        </w:r>
      </w:hyperlink>
      <w:hyperlink r:id="rId32">
        <w:r w:rsidRPr="00CF73C9">
          <w:rPr>
            <w:color w:val="000000"/>
            <w:sz w:val="22"/>
            <w:szCs w:val="22"/>
            <w:lang w:val="en-US"/>
          </w:rPr>
          <w:t>, 2024; Rolando, Melkonian and Walt, 2024)</w:t>
        </w:r>
      </w:hyperlink>
      <w:r w:rsidRPr="00CF73C9">
        <w:rPr>
          <w:color w:val="833C0B"/>
          <w:sz w:val="22"/>
          <w:szCs w:val="22"/>
          <w:lang w:val="en-US"/>
        </w:rPr>
        <w:t xml:space="preserve">.  </w:t>
      </w:r>
      <w:r w:rsidRPr="00CF73C9">
        <w:rPr>
          <w:sz w:val="22"/>
          <w:szCs w:val="22"/>
          <w:lang w:val="en-US"/>
        </w:rPr>
        <w:t>In our case the hypothesis of mosaicism was not confirmed, as the variant was found in all DNA samples taken from different tissues of the proband.</w:t>
      </w:r>
    </w:p>
    <w:p w:rsidR="00F20884" w:rsidRPr="00CF73C9" w:rsidRDefault="00F20884" w:rsidP="00FE3FB7">
      <w:pPr>
        <w:pStyle w:val="a4"/>
        <w:spacing w:before="120" w:beforeAutospacing="0" w:after="120" w:afterAutospacing="0" w:line="300" w:lineRule="auto"/>
        <w:jc w:val="both"/>
        <w:rPr>
          <w:sz w:val="22"/>
          <w:szCs w:val="22"/>
          <w:lang w:val="en-US"/>
        </w:rPr>
      </w:pPr>
      <w:r w:rsidRPr="00CF73C9">
        <w:rPr>
          <w:sz w:val="22"/>
          <w:szCs w:val="22"/>
          <w:lang w:val="en-US"/>
        </w:rPr>
        <w:t xml:space="preserve">Furthermore, segregation analysis cannot be relied upon if candidate genes exhibit incomplete penetrance. Although incomplete penetrance has not been described for KANSL1, in the family we studied, two healthy members are carriers of a heterozygous nonsense variant. Loss-of-function variants in KANSL1 are a known mechanism for Koolen-de Vries syndrome </w:t>
      </w:r>
      <w:hyperlink r:id="rId33" w:history="1">
        <w:r w:rsidRPr="00CF73C9">
          <w:rPr>
            <w:color w:val="000000"/>
            <w:sz w:val="22"/>
            <w:szCs w:val="22"/>
            <w:lang w:val="en-US"/>
          </w:rPr>
          <w:t xml:space="preserve">(Koolen </w:t>
        </w:r>
        <w:r w:rsidRPr="00CF73C9">
          <w:rPr>
            <w:i/>
            <w:iCs/>
            <w:color w:val="000000"/>
            <w:sz w:val="22"/>
            <w:szCs w:val="22"/>
            <w:lang w:val="en-US"/>
          </w:rPr>
          <w:t>et al</w:t>
        </w:r>
        <w:r w:rsidRPr="00CF73C9">
          <w:rPr>
            <w:color w:val="000000"/>
            <w:sz w:val="22"/>
            <w:szCs w:val="22"/>
            <w:lang w:val="en-US"/>
          </w:rPr>
          <w:t>. 2016)</w:t>
        </w:r>
      </w:hyperlink>
      <w:r w:rsidRPr="00CF73C9">
        <w:rPr>
          <w:color w:val="000000"/>
          <w:sz w:val="22"/>
          <w:szCs w:val="22"/>
          <w:lang w:val="en-US"/>
        </w:rPr>
        <w:t>.</w:t>
      </w:r>
      <w:r w:rsidRPr="00CF73C9">
        <w:rPr>
          <w:sz w:val="22"/>
          <w:szCs w:val="22"/>
          <w:lang w:val="en-US"/>
        </w:rPr>
        <w:t xml:space="preserve"> Additionally, according to the population database </w:t>
      </w:r>
      <w:proofErr w:type="spellStart"/>
      <w:r w:rsidRPr="00CF73C9">
        <w:rPr>
          <w:sz w:val="22"/>
          <w:szCs w:val="22"/>
          <w:lang w:val="en-US"/>
        </w:rPr>
        <w:t>GnomAD</w:t>
      </w:r>
      <w:proofErr w:type="spellEnd"/>
      <w:r w:rsidRPr="00CF73C9">
        <w:rPr>
          <w:sz w:val="22"/>
          <w:szCs w:val="22"/>
          <w:lang w:val="en-US"/>
        </w:rPr>
        <w:t xml:space="preserve">, KANSL1 has a </w:t>
      </w:r>
      <w:proofErr w:type="spellStart"/>
      <w:r w:rsidRPr="00CF73C9">
        <w:rPr>
          <w:sz w:val="22"/>
          <w:szCs w:val="22"/>
          <w:lang w:val="en-US"/>
        </w:rPr>
        <w:t>pLI</w:t>
      </w:r>
      <w:proofErr w:type="spellEnd"/>
      <w:r w:rsidRPr="00CF73C9">
        <w:rPr>
          <w:sz w:val="22"/>
          <w:szCs w:val="22"/>
          <w:lang w:val="en-US"/>
        </w:rPr>
        <w:t xml:space="preserve"> score of 1. These factors combined prevent the exclusion of the c.727C&gt;T variant from the list of candidate genes and necessitate further analysis of the variant.</w:t>
      </w:r>
    </w:p>
    <w:p w:rsidR="00F20884" w:rsidRPr="00CF73C9" w:rsidRDefault="00F20884" w:rsidP="00FE3FB7">
      <w:pPr>
        <w:pStyle w:val="a4"/>
        <w:spacing w:before="120" w:beforeAutospacing="0" w:after="120" w:afterAutospacing="0" w:line="300" w:lineRule="auto"/>
        <w:jc w:val="both"/>
        <w:rPr>
          <w:sz w:val="22"/>
          <w:szCs w:val="22"/>
          <w:lang w:val="en-US"/>
        </w:rPr>
      </w:pPr>
      <w:r w:rsidRPr="00CF73C9">
        <w:rPr>
          <w:sz w:val="22"/>
          <w:szCs w:val="22"/>
          <w:lang w:val="en-US"/>
        </w:rPr>
        <w:t xml:space="preserve">Structural rearrangements present a particular challenge in the interpretation and further validation of WGS data </w:t>
      </w:r>
      <w:hyperlink r:id="rId34">
        <w:r w:rsidRPr="00CF73C9">
          <w:rPr>
            <w:color w:val="000000"/>
            <w:sz w:val="22"/>
            <w:szCs w:val="22"/>
            <w:lang w:val="en-US"/>
          </w:rPr>
          <w:t xml:space="preserve">(Scarano </w:t>
        </w:r>
      </w:hyperlink>
      <w:hyperlink r:id="rId35">
        <w:r w:rsidRPr="00CF73C9">
          <w:rPr>
            <w:i/>
            <w:color w:val="000000"/>
            <w:sz w:val="22"/>
            <w:szCs w:val="22"/>
            <w:lang w:val="en-US"/>
          </w:rPr>
          <w:t>et al.</w:t>
        </w:r>
      </w:hyperlink>
      <w:hyperlink r:id="rId36">
        <w:r w:rsidRPr="00CF73C9">
          <w:rPr>
            <w:color w:val="000000"/>
            <w:sz w:val="22"/>
            <w:szCs w:val="22"/>
            <w:lang w:val="en-US"/>
          </w:rPr>
          <w:t>, 2024)</w:t>
        </w:r>
      </w:hyperlink>
      <w:r w:rsidRPr="00CF73C9">
        <w:rPr>
          <w:color w:val="833C0B"/>
          <w:sz w:val="22"/>
          <w:szCs w:val="22"/>
          <w:lang w:val="en-US"/>
        </w:rPr>
        <w:t xml:space="preserve">, </w:t>
      </w:r>
      <w:hyperlink r:id="rId37">
        <w:r w:rsidRPr="00CF73C9">
          <w:rPr>
            <w:color w:val="000000"/>
            <w:sz w:val="22"/>
            <w:szCs w:val="22"/>
            <w:lang w:val="en-US"/>
          </w:rPr>
          <w:t xml:space="preserve">(Hehir-Kwa, Tops and </w:t>
        </w:r>
        <w:proofErr w:type="spellStart"/>
        <w:r w:rsidRPr="00CF73C9">
          <w:rPr>
            <w:color w:val="000000"/>
            <w:sz w:val="22"/>
            <w:szCs w:val="22"/>
            <w:lang w:val="en-US"/>
          </w:rPr>
          <w:t>Kemmeren</w:t>
        </w:r>
        <w:proofErr w:type="spellEnd"/>
        <w:r w:rsidRPr="00CF73C9">
          <w:rPr>
            <w:color w:val="000000"/>
            <w:sz w:val="22"/>
            <w:szCs w:val="22"/>
            <w:lang w:val="en-US"/>
          </w:rPr>
          <w:t>, 2018)</w:t>
        </w:r>
      </w:hyperlink>
      <w:r w:rsidRPr="00CF73C9">
        <w:rPr>
          <w:color w:val="FF0000"/>
          <w:sz w:val="22"/>
          <w:szCs w:val="22"/>
          <w:lang w:val="en-US"/>
        </w:rPr>
        <w:t xml:space="preserve">. </w:t>
      </w:r>
      <w:bookmarkStart w:id="3" w:name="_7d4kdbjgoyav" w:colFirst="0" w:colLast="0"/>
      <w:bookmarkEnd w:id="3"/>
      <w:r w:rsidRPr="00CF73C9">
        <w:rPr>
          <w:sz w:val="22"/>
          <w:szCs w:val="22"/>
          <w:lang w:val="en-US"/>
        </w:rPr>
        <w:t xml:space="preserve">In addition to the obvious difficulties associated with detecting and annotating rearrangements, the presence of frequent population rearrangements significantly contributes to the search for the causative variant. Frequent duplications may contain transcriptionally inactive copies of genes or gene segments. Variants can accumulate in such loci and be annotated by bioinformatics algorithms as rare and pathogenic. One method for investigating the pathogenicity of such variants is RNA analysis. In our study, RNA analysis revealed that the variant in the </w:t>
      </w:r>
      <w:r w:rsidRPr="00CF73C9">
        <w:rPr>
          <w:i/>
          <w:sz w:val="22"/>
          <w:szCs w:val="22"/>
          <w:lang w:val="en-US"/>
        </w:rPr>
        <w:t>KANSL1</w:t>
      </w:r>
      <w:r w:rsidRPr="00CF73C9">
        <w:rPr>
          <w:sz w:val="22"/>
          <w:szCs w:val="22"/>
          <w:lang w:val="en-US"/>
        </w:rPr>
        <w:t xml:space="preserve"> gene is located within a duplicated region, which is non-functional and therefore cannot contribute to the development of a pathological phenotype.</w:t>
      </w:r>
    </w:p>
    <w:p w:rsidR="00854646" w:rsidRPr="00CF73C9" w:rsidRDefault="00F20884" w:rsidP="00FE3FB7">
      <w:pPr>
        <w:pStyle w:val="a3"/>
        <w:spacing w:before="120" w:after="120" w:line="300" w:lineRule="auto"/>
        <w:ind w:firstLine="708"/>
        <w:jc w:val="both"/>
        <w:rPr>
          <w:rFonts w:ascii="Times New Roman" w:hAnsi="Times New Roman" w:cs="Times New Roman"/>
          <w:shd w:val="clear" w:color="auto" w:fill="FFFFFF"/>
          <w:lang w:val="en-US"/>
        </w:rPr>
      </w:pPr>
      <w:r w:rsidRPr="00CF73C9">
        <w:rPr>
          <w:rFonts w:ascii="Times New Roman" w:hAnsi="Times New Roman" w:cs="Times New Roman"/>
          <w:lang w:val="en-US"/>
        </w:rPr>
        <w:t>Using a comprehensive approach that included segregation and RNA analysis, we demonstrated that variants in the NIPBL (</w:t>
      </w:r>
      <w:proofErr w:type="spellStart"/>
      <w:r w:rsidRPr="00CF73C9">
        <w:rPr>
          <w:rFonts w:ascii="Times New Roman" w:hAnsi="Times New Roman" w:cs="Times New Roman"/>
          <w:lang w:val="en-US"/>
        </w:rPr>
        <w:t>ClinVar</w:t>
      </w:r>
      <w:proofErr w:type="spellEnd"/>
      <w:r w:rsidRPr="00CF73C9">
        <w:rPr>
          <w:rFonts w:ascii="Times New Roman" w:hAnsi="Times New Roman" w:cs="Times New Roman"/>
          <w:lang w:val="en-US"/>
        </w:rPr>
        <w:t xml:space="preserve"> accession number VCV002920673) and </w:t>
      </w:r>
      <w:r w:rsidRPr="00CF73C9">
        <w:rPr>
          <w:rFonts w:ascii="Times New Roman" w:hAnsi="Times New Roman" w:cs="Times New Roman"/>
          <w:i/>
          <w:lang w:val="en-US"/>
        </w:rPr>
        <w:t>KANSL1</w:t>
      </w:r>
      <w:r w:rsidRPr="00CF73C9">
        <w:rPr>
          <w:rFonts w:ascii="Times New Roman" w:hAnsi="Times New Roman" w:cs="Times New Roman"/>
          <w:lang w:val="en-US"/>
        </w:rPr>
        <w:t xml:space="preserve"> genes are not </w:t>
      </w:r>
      <w:r w:rsidRPr="00CF73C9">
        <w:rPr>
          <w:rFonts w:ascii="Times New Roman" w:hAnsi="Times New Roman" w:cs="Times New Roman"/>
          <w:lang w:val="en-US"/>
        </w:rPr>
        <w:lastRenderedPageBreak/>
        <w:t xml:space="preserve">pathogenic and excluded them from the list of candidate genes. Given the clinical presentation of the proband and the de novo status of the variant in </w:t>
      </w:r>
      <w:r w:rsidRPr="00CF73C9">
        <w:rPr>
          <w:rFonts w:ascii="Times New Roman" w:hAnsi="Times New Roman" w:cs="Times New Roman"/>
          <w:i/>
          <w:iCs/>
          <w:lang w:val="en-US"/>
        </w:rPr>
        <w:t>HNRNPU</w:t>
      </w:r>
      <w:r w:rsidRPr="00CF73C9">
        <w:rPr>
          <w:rFonts w:ascii="Times New Roman" w:hAnsi="Times New Roman" w:cs="Times New Roman"/>
          <w:lang w:val="en-US"/>
        </w:rPr>
        <w:t xml:space="preserve"> (</w:t>
      </w:r>
      <w:proofErr w:type="spellStart"/>
      <w:r w:rsidRPr="00CF73C9">
        <w:rPr>
          <w:rFonts w:ascii="Times New Roman" w:hAnsi="Times New Roman" w:cs="Times New Roman"/>
          <w:lang w:val="en-US"/>
        </w:rPr>
        <w:t>ClinVar</w:t>
      </w:r>
      <w:proofErr w:type="spellEnd"/>
      <w:r w:rsidRPr="00CF73C9">
        <w:rPr>
          <w:rFonts w:ascii="Times New Roman" w:hAnsi="Times New Roman" w:cs="Times New Roman"/>
          <w:lang w:val="en-US"/>
        </w:rPr>
        <w:t xml:space="preserve"> accession number VCV001343373), it was determined to be pathogenic and causative.</w:t>
      </w:r>
    </w:p>
    <w:p w:rsidR="00CF73C9" w:rsidRPr="00CF73C9" w:rsidRDefault="00CF73C9" w:rsidP="00FE3FB7">
      <w:pPr>
        <w:spacing w:line="300" w:lineRule="auto"/>
        <w:jc w:val="both"/>
        <w:rPr>
          <w:rFonts w:ascii="Times New Roman" w:hAnsi="Times New Roman" w:cs="Times New Roman"/>
          <w:b/>
          <w:bCs/>
        </w:rPr>
      </w:pPr>
      <w:r w:rsidRPr="00CF73C9">
        <w:rPr>
          <w:rFonts w:ascii="Times New Roman" w:hAnsi="Times New Roman" w:cs="Times New Roman"/>
          <w:b/>
          <w:bCs/>
          <w:lang w:val="en-US"/>
        </w:rPr>
        <w:t xml:space="preserve">Patient Perspective </w:t>
      </w:r>
    </w:p>
    <w:p w:rsidR="00CF73C9" w:rsidRPr="00CF73C9" w:rsidRDefault="00CF73C9" w:rsidP="00FE3FB7">
      <w:pPr>
        <w:spacing w:line="300" w:lineRule="auto"/>
        <w:jc w:val="both"/>
        <w:rPr>
          <w:rFonts w:ascii="Times New Roman" w:hAnsi="Times New Roman" w:cs="Times New Roman"/>
        </w:rPr>
      </w:pPr>
      <w:r w:rsidRPr="00CF73C9">
        <w:rPr>
          <w:rFonts w:ascii="Times New Roman" w:hAnsi="Times New Roman" w:cs="Times New Roman"/>
          <w:lang w:val="en-US"/>
        </w:rPr>
        <w:t xml:space="preserve">not applicable </w:t>
      </w:r>
    </w:p>
    <w:p w:rsidR="00CF73C9" w:rsidRPr="00CF73C9" w:rsidRDefault="00CF73C9" w:rsidP="00FE3FB7">
      <w:pPr>
        <w:spacing w:line="300" w:lineRule="auto"/>
        <w:jc w:val="both"/>
        <w:rPr>
          <w:rFonts w:ascii="Times New Roman" w:hAnsi="Times New Roman" w:cs="Times New Roman"/>
        </w:rPr>
      </w:pPr>
      <w:r w:rsidRPr="00CF73C9">
        <w:rPr>
          <w:rFonts w:ascii="Times New Roman" w:hAnsi="Times New Roman" w:cs="Times New Roman"/>
          <w:b/>
          <w:bCs/>
          <w:lang w:val="en-US"/>
        </w:rPr>
        <w:t>Conclusion</w:t>
      </w:r>
      <w:r w:rsidRPr="00CF73C9">
        <w:rPr>
          <w:rFonts w:ascii="Times New Roman" w:hAnsi="Times New Roman" w:cs="Times New Roman"/>
          <w:lang w:val="en-US"/>
        </w:rPr>
        <w:t xml:space="preserve"> </w:t>
      </w:r>
    </w:p>
    <w:p w:rsidR="00CF73C9" w:rsidRPr="00CF73C9" w:rsidRDefault="00CF73C9" w:rsidP="00FE3FB7">
      <w:pPr>
        <w:spacing w:line="300" w:lineRule="auto"/>
        <w:jc w:val="both"/>
        <w:rPr>
          <w:rFonts w:ascii="Times New Roman" w:hAnsi="Times New Roman" w:cs="Times New Roman"/>
        </w:rPr>
      </w:pPr>
      <w:r w:rsidRPr="00CF73C9">
        <w:rPr>
          <w:rFonts w:ascii="Times New Roman" w:hAnsi="Times New Roman" w:cs="Times New Roman"/>
          <w:lang w:val="en-US"/>
        </w:rPr>
        <w:t xml:space="preserve">Whole genome sequencing is a powerful modern diagnostic tool that has greatly advanced the diagnosis of numerous genetic disorders. However, it does not always provide an exact diagnosis for patients, emphasizing the need for a comprehensive approach to accurately identify the molecular causes of complex genetic conditions. In our work, we used a combination of whole-genome sequencing methods, segregation analysis, and RNA analysis to diagnose the patient and describe the molecular mechanism of incomplete penetrance for the nonsense variant in the KANSL1 gene. </w:t>
      </w:r>
    </w:p>
    <w:p w:rsidR="00CF73C9" w:rsidRPr="00CF73C9" w:rsidRDefault="00CF73C9" w:rsidP="00FE3FB7">
      <w:pPr>
        <w:spacing w:line="300" w:lineRule="auto"/>
        <w:jc w:val="both"/>
        <w:rPr>
          <w:rFonts w:ascii="Times New Roman" w:hAnsi="Times New Roman" w:cs="Times New Roman"/>
        </w:rPr>
      </w:pPr>
      <w:r w:rsidRPr="00CF73C9">
        <w:rPr>
          <w:rFonts w:ascii="Times New Roman" w:hAnsi="Times New Roman" w:cs="Times New Roman"/>
          <w:b/>
          <w:bCs/>
          <w:lang w:val="en-US"/>
        </w:rPr>
        <w:t xml:space="preserve">Acknowledgements </w:t>
      </w:r>
    </w:p>
    <w:p w:rsidR="00524E82" w:rsidRPr="00CF73C9" w:rsidRDefault="00CF73C9" w:rsidP="00FE3FB7">
      <w:pPr>
        <w:spacing w:line="300" w:lineRule="auto"/>
        <w:jc w:val="both"/>
        <w:rPr>
          <w:rFonts w:ascii="Times New Roman" w:hAnsi="Times New Roman" w:cs="Times New Roman"/>
        </w:rPr>
      </w:pPr>
      <w:r w:rsidRPr="00CF73C9">
        <w:rPr>
          <w:rFonts w:ascii="Times New Roman" w:hAnsi="Times New Roman" w:cs="Times New Roman"/>
          <w:lang w:val="en-US"/>
        </w:rPr>
        <w:t xml:space="preserve">We thank Peter Sparber for his invaluable contribution for the quality of the manuscript  </w:t>
      </w:r>
    </w:p>
    <w:p w:rsidR="00CF73C9" w:rsidRPr="00CF73C9" w:rsidRDefault="00CF73C9" w:rsidP="00CF73C9">
      <w:pPr>
        <w:jc w:val="both"/>
        <w:rPr>
          <w:rFonts w:ascii="Times New Roman" w:eastAsia="Times New Roman" w:hAnsi="Times New Roman" w:cs="Times New Roman"/>
          <w:b/>
          <w:bCs/>
          <w:sz w:val="24"/>
          <w:szCs w:val="24"/>
          <w:lang w:val="en-US"/>
        </w:rPr>
      </w:pPr>
      <w:r w:rsidRPr="00CF73C9">
        <w:rPr>
          <w:rFonts w:ascii="Times New Roman" w:eastAsia="Times New Roman" w:hAnsi="Times New Roman" w:cs="Times New Roman"/>
          <w:b/>
          <w:bCs/>
          <w:sz w:val="24"/>
          <w:szCs w:val="24"/>
          <w:lang w:val="en-US"/>
        </w:rPr>
        <w:t>References</w:t>
      </w:r>
    </w:p>
    <w:p w:rsidR="00CF73C9" w:rsidRPr="00CF73C9" w:rsidRDefault="00CF73C9" w:rsidP="00CF73C9">
      <w:pPr>
        <w:jc w:val="both"/>
        <w:rPr>
          <w:rFonts w:ascii="Times New Roman" w:eastAsia="Times New Roman" w:hAnsi="Times New Roman" w:cs="Times New Roman"/>
          <w:sz w:val="24"/>
          <w:szCs w:val="24"/>
          <w:lang w:val="en-US"/>
        </w:rPr>
      </w:pPr>
      <w:r w:rsidRPr="00CF73C9">
        <w:rPr>
          <w:rFonts w:ascii="Times New Roman" w:eastAsia="Times New Roman" w:hAnsi="Times New Roman" w:cs="Times New Roman"/>
          <w:sz w:val="24"/>
          <w:szCs w:val="24"/>
          <w:lang w:val="en-US"/>
        </w:rPr>
        <w:t xml:space="preserve">1. Stafstrom CE, Carmant L. Seizures and epilepsy: An overview for neuroscientists. Cold Spring Harb </w:t>
      </w:r>
      <w:proofErr w:type="spellStart"/>
      <w:r w:rsidRPr="00CF73C9">
        <w:rPr>
          <w:rFonts w:ascii="Times New Roman" w:eastAsia="Times New Roman" w:hAnsi="Times New Roman" w:cs="Times New Roman"/>
          <w:sz w:val="24"/>
          <w:szCs w:val="24"/>
          <w:lang w:val="en-US"/>
        </w:rPr>
        <w:t>Perspect</w:t>
      </w:r>
      <w:proofErr w:type="spellEnd"/>
      <w:r w:rsidRPr="00CF73C9">
        <w:rPr>
          <w:rFonts w:ascii="Times New Roman" w:eastAsia="Times New Roman" w:hAnsi="Times New Roman" w:cs="Times New Roman"/>
          <w:sz w:val="24"/>
          <w:szCs w:val="24"/>
          <w:lang w:val="en-US"/>
        </w:rPr>
        <w:t xml:space="preserve"> Biol. 2015;7.</w:t>
      </w:r>
    </w:p>
    <w:p w:rsidR="00CF73C9" w:rsidRPr="00CF73C9" w:rsidRDefault="00CF73C9" w:rsidP="00CF73C9">
      <w:pPr>
        <w:jc w:val="both"/>
        <w:rPr>
          <w:rFonts w:ascii="Times New Roman" w:eastAsia="Times New Roman" w:hAnsi="Times New Roman" w:cs="Times New Roman"/>
          <w:sz w:val="24"/>
          <w:szCs w:val="24"/>
          <w:lang w:val="en-US"/>
        </w:rPr>
      </w:pPr>
      <w:r w:rsidRPr="00CF73C9">
        <w:rPr>
          <w:rFonts w:ascii="Times New Roman" w:eastAsia="Times New Roman" w:hAnsi="Times New Roman" w:cs="Times New Roman"/>
          <w:sz w:val="24"/>
          <w:szCs w:val="24"/>
          <w:lang w:val="en-US"/>
        </w:rPr>
        <w:t>2. Myers CT, Mefford HC. Advancing epilepsy genetics in the genomic era. Genome Medicine. 2015;7.</w:t>
      </w:r>
    </w:p>
    <w:p w:rsidR="00CF73C9" w:rsidRPr="00CF73C9" w:rsidRDefault="00CF73C9" w:rsidP="00CF73C9">
      <w:pPr>
        <w:jc w:val="both"/>
        <w:rPr>
          <w:rFonts w:ascii="Times New Roman" w:eastAsia="Times New Roman" w:hAnsi="Times New Roman" w:cs="Times New Roman"/>
          <w:sz w:val="24"/>
          <w:szCs w:val="24"/>
          <w:lang w:val="en-US"/>
        </w:rPr>
      </w:pPr>
      <w:r w:rsidRPr="00CF73C9">
        <w:rPr>
          <w:rFonts w:ascii="Times New Roman" w:eastAsia="Times New Roman" w:hAnsi="Times New Roman" w:cs="Times New Roman"/>
          <w:sz w:val="24"/>
          <w:szCs w:val="24"/>
          <w:lang w:val="en-US"/>
        </w:rPr>
        <w:t xml:space="preserve">3. Guerrini R, Conti V, </w:t>
      </w:r>
      <w:proofErr w:type="spellStart"/>
      <w:r w:rsidRPr="00CF73C9">
        <w:rPr>
          <w:rFonts w:ascii="Times New Roman" w:eastAsia="Times New Roman" w:hAnsi="Times New Roman" w:cs="Times New Roman"/>
          <w:sz w:val="24"/>
          <w:szCs w:val="24"/>
          <w:lang w:val="en-US"/>
        </w:rPr>
        <w:t>Mantegazza</w:t>
      </w:r>
      <w:proofErr w:type="spellEnd"/>
      <w:r w:rsidRPr="00CF73C9">
        <w:rPr>
          <w:rFonts w:ascii="Times New Roman" w:eastAsia="Times New Roman" w:hAnsi="Times New Roman" w:cs="Times New Roman"/>
          <w:sz w:val="24"/>
          <w:szCs w:val="24"/>
          <w:lang w:val="en-US"/>
        </w:rPr>
        <w:t xml:space="preserve"> M, Balestrini S, Galanopoulou AS, </w:t>
      </w:r>
      <w:proofErr w:type="spellStart"/>
      <w:r w:rsidRPr="00CF73C9">
        <w:rPr>
          <w:rFonts w:ascii="Times New Roman" w:eastAsia="Times New Roman" w:hAnsi="Times New Roman" w:cs="Times New Roman"/>
          <w:sz w:val="24"/>
          <w:szCs w:val="24"/>
          <w:lang w:val="en-US"/>
        </w:rPr>
        <w:t>Benfenati</w:t>
      </w:r>
      <w:proofErr w:type="spellEnd"/>
      <w:r w:rsidRPr="00CF73C9">
        <w:rPr>
          <w:rFonts w:ascii="Times New Roman" w:eastAsia="Times New Roman" w:hAnsi="Times New Roman" w:cs="Times New Roman"/>
          <w:sz w:val="24"/>
          <w:szCs w:val="24"/>
          <w:lang w:val="en-US"/>
        </w:rPr>
        <w:t xml:space="preserve"> F. Developmental and epileptic encephalopathies: from genetic heterogeneity to phenotypic continuum. Physiological Reviews. 2023;103.</w:t>
      </w:r>
    </w:p>
    <w:p w:rsidR="00CF73C9" w:rsidRPr="00CF73C9" w:rsidRDefault="00CF73C9" w:rsidP="00CF73C9">
      <w:pPr>
        <w:jc w:val="both"/>
        <w:rPr>
          <w:rFonts w:ascii="Times New Roman" w:eastAsia="Times New Roman" w:hAnsi="Times New Roman" w:cs="Times New Roman"/>
          <w:sz w:val="24"/>
          <w:szCs w:val="24"/>
          <w:lang w:val="en-US"/>
        </w:rPr>
      </w:pPr>
      <w:r w:rsidRPr="00CF73C9">
        <w:rPr>
          <w:rFonts w:ascii="Times New Roman" w:eastAsia="Times New Roman" w:hAnsi="Times New Roman" w:cs="Times New Roman"/>
          <w:sz w:val="24"/>
          <w:szCs w:val="24"/>
          <w:lang w:val="en-US"/>
        </w:rPr>
        <w:t xml:space="preserve">4. Scheffer IE, Berkovic S, Capovilla G, Connolly MB, French J, </w:t>
      </w:r>
      <w:proofErr w:type="spellStart"/>
      <w:r w:rsidRPr="00CF73C9">
        <w:rPr>
          <w:rFonts w:ascii="Times New Roman" w:eastAsia="Times New Roman" w:hAnsi="Times New Roman" w:cs="Times New Roman"/>
          <w:sz w:val="24"/>
          <w:szCs w:val="24"/>
          <w:lang w:val="en-US"/>
        </w:rPr>
        <w:t>Guilhoto</w:t>
      </w:r>
      <w:proofErr w:type="spellEnd"/>
      <w:r w:rsidRPr="00CF73C9">
        <w:rPr>
          <w:rFonts w:ascii="Times New Roman" w:eastAsia="Times New Roman" w:hAnsi="Times New Roman" w:cs="Times New Roman"/>
          <w:sz w:val="24"/>
          <w:szCs w:val="24"/>
          <w:lang w:val="en-US"/>
        </w:rPr>
        <w:t xml:space="preserve"> L, et al. ILAE classification of the epilepsies: Position paper of the ILAE Commission for Classification and Terminology. Epilepsia. 2017;58.</w:t>
      </w:r>
    </w:p>
    <w:p w:rsidR="00CF73C9" w:rsidRPr="00CF73C9" w:rsidRDefault="00CF73C9" w:rsidP="00CF73C9">
      <w:pPr>
        <w:jc w:val="both"/>
        <w:rPr>
          <w:rFonts w:ascii="Times New Roman" w:eastAsia="Times New Roman" w:hAnsi="Times New Roman" w:cs="Times New Roman"/>
          <w:sz w:val="24"/>
          <w:szCs w:val="24"/>
          <w:lang w:val="en-US"/>
        </w:rPr>
      </w:pPr>
      <w:r w:rsidRPr="00CF73C9">
        <w:rPr>
          <w:rFonts w:ascii="Times New Roman" w:eastAsia="Times New Roman" w:hAnsi="Times New Roman" w:cs="Times New Roman"/>
          <w:sz w:val="24"/>
          <w:szCs w:val="24"/>
          <w:lang w:val="en-US"/>
        </w:rPr>
        <w:t xml:space="preserve">5. Møller RS, Hammer TB, </w:t>
      </w:r>
      <w:proofErr w:type="spellStart"/>
      <w:r w:rsidRPr="00CF73C9">
        <w:rPr>
          <w:rFonts w:ascii="Times New Roman" w:eastAsia="Times New Roman" w:hAnsi="Times New Roman" w:cs="Times New Roman"/>
          <w:sz w:val="24"/>
          <w:szCs w:val="24"/>
          <w:lang w:val="en-US"/>
        </w:rPr>
        <w:t>Rubboli</w:t>
      </w:r>
      <w:proofErr w:type="spellEnd"/>
      <w:r w:rsidRPr="00CF73C9">
        <w:rPr>
          <w:rFonts w:ascii="Times New Roman" w:eastAsia="Times New Roman" w:hAnsi="Times New Roman" w:cs="Times New Roman"/>
          <w:sz w:val="24"/>
          <w:szCs w:val="24"/>
          <w:lang w:val="en-US"/>
        </w:rPr>
        <w:t xml:space="preserve"> G, Lemke JR, Johannesen KM. From next-generation sequencing to targeted treatment of non-acquired epilepsies. Expert Review of Molecular Diagnostics. 2019;19.</w:t>
      </w:r>
    </w:p>
    <w:p w:rsidR="00CF73C9" w:rsidRPr="00CF73C9" w:rsidRDefault="00CF73C9" w:rsidP="00CF73C9">
      <w:pPr>
        <w:jc w:val="both"/>
        <w:rPr>
          <w:rFonts w:ascii="Times New Roman" w:eastAsia="Times New Roman" w:hAnsi="Times New Roman" w:cs="Times New Roman"/>
          <w:sz w:val="24"/>
          <w:szCs w:val="24"/>
          <w:lang w:val="en-US"/>
        </w:rPr>
      </w:pPr>
      <w:r w:rsidRPr="00CF73C9">
        <w:rPr>
          <w:rFonts w:ascii="Times New Roman" w:eastAsia="Times New Roman" w:hAnsi="Times New Roman" w:cs="Times New Roman"/>
          <w:sz w:val="24"/>
          <w:szCs w:val="24"/>
          <w:lang w:val="en-US"/>
        </w:rPr>
        <w:t xml:space="preserve">6. Palmer EE, Sachdev R, Macintosh R, Melo US, </w:t>
      </w:r>
      <w:proofErr w:type="spellStart"/>
      <w:r w:rsidRPr="00CF73C9">
        <w:rPr>
          <w:rFonts w:ascii="Times New Roman" w:eastAsia="Times New Roman" w:hAnsi="Times New Roman" w:cs="Times New Roman"/>
          <w:sz w:val="24"/>
          <w:szCs w:val="24"/>
          <w:lang w:val="en-US"/>
        </w:rPr>
        <w:t>Mundlos</w:t>
      </w:r>
      <w:proofErr w:type="spellEnd"/>
      <w:r w:rsidRPr="00CF73C9">
        <w:rPr>
          <w:rFonts w:ascii="Times New Roman" w:eastAsia="Times New Roman" w:hAnsi="Times New Roman" w:cs="Times New Roman"/>
          <w:sz w:val="24"/>
          <w:szCs w:val="24"/>
          <w:lang w:val="en-US"/>
        </w:rPr>
        <w:t xml:space="preserve"> S, Righetti S, et al. Diagnostic Yield of Whole Genome Sequencing After Nondiagnostic Exome Sequencing or Gene Panel in Developmental and Epileptic Encephalopathies. Neurology. 2021;96.</w:t>
      </w:r>
    </w:p>
    <w:p w:rsidR="00CF73C9" w:rsidRPr="00CF73C9" w:rsidRDefault="00CF73C9" w:rsidP="00CF73C9">
      <w:pPr>
        <w:jc w:val="both"/>
        <w:rPr>
          <w:rFonts w:ascii="Times New Roman" w:eastAsia="Times New Roman" w:hAnsi="Times New Roman" w:cs="Times New Roman"/>
          <w:sz w:val="24"/>
          <w:szCs w:val="24"/>
          <w:lang w:val="en-US"/>
        </w:rPr>
      </w:pPr>
      <w:r w:rsidRPr="00CF73C9">
        <w:rPr>
          <w:rFonts w:ascii="Times New Roman" w:eastAsia="Times New Roman" w:hAnsi="Times New Roman" w:cs="Times New Roman"/>
          <w:sz w:val="24"/>
          <w:szCs w:val="24"/>
          <w:lang w:val="en-US"/>
        </w:rPr>
        <w:t>7. Koolen DA, Sharp AJ, Hurst JA, Firth H V., Knight SJL, Goldenberg A, et al. Clinical and molecular delineation of the 17q21.31 microdeletion syndrome. J Med Genet. 2008;45.</w:t>
      </w:r>
    </w:p>
    <w:p w:rsidR="00CF73C9" w:rsidRPr="00CF73C9" w:rsidRDefault="00CF73C9" w:rsidP="00CF73C9">
      <w:pPr>
        <w:jc w:val="both"/>
        <w:rPr>
          <w:rFonts w:ascii="Times New Roman" w:eastAsia="Times New Roman" w:hAnsi="Times New Roman" w:cs="Times New Roman"/>
          <w:sz w:val="24"/>
          <w:szCs w:val="24"/>
          <w:lang w:val="en-US"/>
        </w:rPr>
      </w:pPr>
      <w:r w:rsidRPr="00CF73C9">
        <w:rPr>
          <w:rFonts w:ascii="Times New Roman" w:eastAsia="Times New Roman" w:hAnsi="Times New Roman" w:cs="Times New Roman"/>
          <w:sz w:val="24"/>
          <w:szCs w:val="24"/>
          <w:lang w:val="en-US"/>
        </w:rPr>
        <w:t>8. Durkin A, Albaba S, Fry AE, Morton JE, Douglas A, Beleza A, et al. Clinical findings of 21 previously unreported probands with HNRNPU-related syndrome and comprehensive literature review. Am J Med Genet A. 2020;182.</w:t>
      </w:r>
    </w:p>
    <w:p w:rsidR="00CF73C9" w:rsidRPr="00CF73C9" w:rsidRDefault="00CF73C9" w:rsidP="00CF73C9">
      <w:pPr>
        <w:jc w:val="both"/>
        <w:rPr>
          <w:rFonts w:ascii="Times New Roman" w:eastAsia="Times New Roman" w:hAnsi="Times New Roman" w:cs="Times New Roman"/>
          <w:sz w:val="24"/>
          <w:szCs w:val="24"/>
          <w:lang w:val="en-US"/>
        </w:rPr>
      </w:pPr>
      <w:r w:rsidRPr="00CF73C9">
        <w:rPr>
          <w:rFonts w:ascii="Times New Roman" w:eastAsia="Times New Roman" w:hAnsi="Times New Roman" w:cs="Times New Roman"/>
          <w:sz w:val="24"/>
          <w:szCs w:val="24"/>
          <w:lang w:val="en-US"/>
        </w:rPr>
        <w:t xml:space="preserve">9. Cornelia de Lange Syndrome - </w:t>
      </w:r>
      <w:proofErr w:type="spellStart"/>
      <w:r w:rsidRPr="00CF73C9">
        <w:rPr>
          <w:rFonts w:ascii="Times New Roman" w:eastAsia="Times New Roman" w:hAnsi="Times New Roman" w:cs="Times New Roman"/>
          <w:sz w:val="24"/>
          <w:szCs w:val="24"/>
          <w:lang w:val="en-US"/>
        </w:rPr>
        <w:t>GeneReviews</w:t>
      </w:r>
      <w:proofErr w:type="spellEnd"/>
      <w:r w:rsidRPr="00CF73C9">
        <w:rPr>
          <w:rFonts w:ascii="Times New Roman" w:eastAsia="Times New Roman" w:hAnsi="Times New Roman" w:cs="Times New Roman"/>
          <w:sz w:val="24"/>
          <w:szCs w:val="24"/>
          <w:lang w:val="en-US"/>
        </w:rPr>
        <w:t>® - NCBI Bookshelf. https://www.ncbi.nlm.nih.gov/books/NBK1104/. Accessed 28 Jun 2024.</w:t>
      </w:r>
    </w:p>
    <w:p w:rsidR="00CF73C9" w:rsidRPr="00CF73C9" w:rsidRDefault="00CF73C9" w:rsidP="00CF73C9">
      <w:pPr>
        <w:jc w:val="both"/>
        <w:rPr>
          <w:rFonts w:ascii="Times New Roman" w:eastAsia="Times New Roman" w:hAnsi="Times New Roman" w:cs="Times New Roman"/>
          <w:sz w:val="24"/>
          <w:szCs w:val="24"/>
          <w:lang w:val="en-US"/>
        </w:rPr>
      </w:pPr>
      <w:r w:rsidRPr="00CF73C9">
        <w:rPr>
          <w:rFonts w:ascii="Times New Roman" w:eastAsia="Times New Roman" w:hAnsi="Times New Roman" w:cs="Times New Roman"/>
          <w:sz w:val="24"/>
          <w:szCs w:val="24"/>
          <w:lang w:val="en-US"/>
        </w:rPr>
        <w:lastRenderedPageBreak/>
        <w:t xml:space="preserve">10. Koolen-de Vries Syndrome - </w:t>
      </w:r>
      <w:proofErr w:type="spellStart"/>
      <w:r w:rsidRPr="00CF73C9">
        <w:rPr>
          <w:rFonts w:ascii="Times New Roman" w:eastAsia="Times New Roman" w:hAnsi="Times New Roman" w:cs="Times New Roman"/>
          <w:sz w:val="24"/>
          <w:szCs w:val="24"/>
          <w:lang w:val="en-US"/>
        </w:rPr>
        <w:t>GeneReviews</w:t>
      </w:r>
      <w:proofErr w:type="spellEnd"/>
      <w:r w:rsidRPr="00CF73C9">
        <w:rPr>
          <w:rFonts w:ascii="Times New Roman" w:eastAsia="Times New Roman" w:hAnsi="Times New Roman" w:cs="Times New Roman"/>
          <w:sz w:val="24"/>
          <w:szCs w:val="24"/>
          <w:lang w:val="en-US"/>
        </w:rPr>
        <w:t>® - NCBI Bookshelf. https://www.ncbi.nlm.nih.gov/books/NBK24676/. Accessed 28 Jun 2024.</w:t>
      </w:r>
    </w:p>
    <w:p w:rsidR="00CF73C9" w:rsidRPr="00CF73C9" w:rsidRDefault="00CF73C9" w:rsidP="00CF73C9">
      <w:pPr>
        <w:jc w:val="both"/>
        <w:rPr>
          <w:rFonts w:ascii="Times New Roman" w:eastAsia="Times New Roman" w:hAnsi="Times New Roman" w:cs="Times New Roman"/>
          <w:sz w:val="24"/>
          <w:szCs w:val="24"/>
          <w:lang w:val="en-US"/>
        </w:rPr>
      </w:pPr>
      <w:r w:rsidRPr="00CF73C9">
        <w:rPr>
          <w:rFonts w:ascii="Times New Roman" w:eastAsia="Times New Roman" w:hAnsi="Times New Roman" w:cs="Times New Roman"/>
          <w:sz w:val="24"/>
          <w:szCs w:val="24"/>
          <w:lang w:val="en-US"/>
        </w:rPr>
        <w:t xml:space="preserve">11. </w:t>
      </w:r>
      <w:proofErr w:type="spellStart"/>
      <w:r w:rsidRPr="00CF73C9">
        <w:rPr>
          <w:rFonts w:ascii="Times New Roman" w:eastAsia="Times New Roman" w:hAnsi="Times New Roman" w:cs="Times New Roman"/>
          <w:sz w:val="24"/>
          <w:szCs w:val="24"/>
          <w:lang w:val="en-US"/>
        </w:rPr>
        <w:t>Awamleh</w:t>
      </w:r>
      <w:proofErr w:type="spellEnd"/>
      <w:r w:rsidRPr="00CF73C9">
        <w:rPr>
          <w:rFonts w:ascii="Times New Roman" w:eastAsia="Times New Roman" w:hAnsi="Times New Roman" w:cs="Times New Roman"/>
          <w:sz w:val="24"/>
          <w:szCs w:val="24"/>
          <w:lang w:val="en-US"/>
        </w:rPr>
        <w:t xml:space="preserve"> Z, </w:t>
      </w:r>
      <w:proofErr w:type="spellStart"/>
      <w:r w:rsidRPr="00CF73C9">
        <w:rPr>
          <w:rFonts w:ascii="Times New Roman" w:eastAsia="Times New Roman" w:hAnsi="Times New Roman" w:cs="Times New Roman"/>
          <w:sz w:val="24"/>
          <w:szCs w:val="24"/>
          <w:lang w:val="en-US"/>
        </w:rPr>
        <w:t>Choufani</w:t>
      </w:r>
      <w:proofErr w:type="spellEnd"/>
      <w:r w:rsidRPr="00CF73C9">
        <w:rPr>
          <w:rFonts w:ascii="Times New Roman" w:eastAsia="Times New Roman" w:hAnsi="Times New Roman" w:cs="Times New Roman"/>
          <w:sz w:val="24"/>
          <w:szCs w:val="24"/>
          <w:lang w:val="en-US"/>
        </w:rPr>
        <w:t xml:space="preserve"> S, Wu W, Rots D, </w:t>
      </w:r>
      <w:proofErr w:type="spellStart"/>
      <w:r w:rsidRPr="00CF73C9">
        <w:rPr>
          <w:rFonts w:ascii="Times New Roman" w:eastAsia="Times New Roman" w:hAnsi="Times New Roman" w:cs="Times New Roman"/>
          <w:sz w:val="24"/>
          <w:szCs w:val="24"/>
          <w:lang w:val="en-US"/>
        </w:rPr>
        <w:t>Dingemans</w:t>
      </w:r>
      <w:proofErr w:type="spellEnd"/>
      <w:r w:rsidRPr="00CF73C9">
        <w:rPr>
          <w:rFonts w:ascii="Times New Roman" w:eastAsia="Times New Roman" w:hAnsi="Times New Roman" w:cs="Times New Roman"/>
          <w:sz w:val="24"/>
          <w:szCs w:val="24"/>
          <w:lang w:val="en-US"/>
        </w:rPr>
        <w:t xml:space="preserve"> AJM, </w:t>
      </w:r>
      <w:proofErr w:type="spellStart"/>
      <w:r w:rsidRPr="00CF73C9">
        <w:rPr>
          <w:rFonts w:ascii="Times New Roman" w:eastAsia="Times New Roman" w:hAnsi="Times New Roman" w:cs="Times New Roman"/>
          <w:sz w:val="24"/>
          <w:szCs w:val="24"/>
          <w:lang w:val="en-US"/>
        </w:rPr>
        <w:t>Nadif</w:t>
      </w:r>
      <w:proofErr w:type="spellEnd"/>
      <w:r w:rsidRPr="00CF73C9">
        <w:rPr>
          <w:rFonts w:ascii="Times New Roman" w:eastAsia="Times New Roman" w:hAnsi="Times New Roman" w:cs="Times New Roman"/>
          <w:sz w:val="24"/>
          <w:szCs w:val="24"/>
          <w:lang w:val="en-US"/>
        </w:rPr>
        <w:t xml:space="preserve"> </w:t>
      </w:r>
      <w:proofErr w:type="spellStart"/>
      <w:r w:rsidRPr="00CF73C9">
        <w:rPr>
          <w:rFonts w:ascii="Times New Roman" w:eastAsia="Times New Roman" w:hAnsi="Times New Roman" w:cs="Times New Roman"/>
          <w:sz w:val="24"/>
          <w:szCs w:val="24"/>
          <w:lang w:val="en-US"/>
        </w:rPr>
        <w:t>Kasri</w:t>
      </w:r>
      <w:proofErr w:type="spellEnd"/>
      <w:r w:rsidRPr="00CF73C9">
        <w:rPr>
          <w:rFonts w:ascii="Times New Roman" w:eastAsia="Times New Roman" w:hAnsi="Times New Roman" w:cs="Times New Roman"/>
          <w:sz w:val="24"/>
          <w:szCs w:val="24"/>
          <w:lang w:val="en-US"/>
        </w:rPr>
        <w:t xml:space="preserve"> N, et al. Correction: A new blood DNA methylation signature for Koolen-de Vries syndrome: Classification of missense KANSL1 variants and comparison to fibroblast cells. European Journal of Human Genetics. 2024;32.</w:t>
      </w:r>
    </w:p>
    <w:p w:rsidR="00CF73C9" w:rsidRPr="00CF73C9" w:rsidRDefault="00CF73C9" w:rsidP="00CF73C9">
      <w:pPr>
        <w:jc w:val="both"/>
        <w:rPr>
          <w:rFonts w:ascii="Times New Roman" w:eastAsia="Times New Roman" w:hAnsi="Times New Roman" w:cs="Times New Roman"/>
          <w:sz w:val="24"/>
          <w:szCs w:val="24"/>
          <w:lang w:val="en-US"/>
        </w:rPr>
      </w:pPr>
      <w:r w:rsidRPr="00CF73C9">
        <w:rPr>
          <w:rFonts w:ascii="Times New Roman" w:eastAsia="Times New Roman" w:hAnsi="Times New Roman" w:cs="Times New Roman"/>
          <w:sz w:val="24"/>
          <w:szCs w:val="24"/>
          <w:lang w:val="en-US"/>
        </w:rPr>
        <w:t>12. Bagger FO, Borgwardt L, Jespersen AS, Hansen AR, Bertelsen B, Kodama M, et al. Whole genome sequencing in clinical practice. BMC Medical Genomics. 2024;17.</w:t>
      </w:r>
    </w:p>
    <w:p w:rsidR="00CF73C9" w:rsidRPr="00CF73C9" w:rsidRDefault="00CF73C9" w:rsidP="00CF73C9">
      <w:pPr>
        <w:jc w:val="both"/>
        <w:rPr>
          <w:rFonts w:ascii="Times New Roman" w:eastAsia="Times New Roman" w:hAnsi="Times New Roman" w:cs="Times New Roman"/>
          <w:sz w:val="24"/>
          <w:szCs w:val="24"/>
          <w:lang w:val="en-US"/>
        </w:rPr>
      </w:pPr>
      <w:r w:rsidRPr="00CF73C9">
        <w:rPr>
          <w:rFonts w:ascii="Times New Roman" w:eastAsia="Times New Roman" w:hAnsi="Times New Roman" w:cs="Times New Roman"/>
          <w:sz w:val="24"/>
          <w:szCs w:val="24"/>
          <w:lang w:val="en-US"/>
        </w:rPr>
        <w:t>13. Rolando JC, Melkonian A V., Walt DR. The Present and Future Landscapes of Molecular Diagnostics. Annual Review of Analytical Chemistry. 2024;17.</w:t>
      </w:r>
    </w:p>
    <w:p w:rsidR="00CF73C9" w:rsidRPr="00CF73C9" w:rsidRDefault="00CF73C9" w:rsidP="00CF73C9">
      <w:pPr>
        <w:jc w:val="both"/>
        <w:rPr>
          <w:rFonts w:ascii="Times New Roman" w:eastAsia="Times New Roman" w:hAnsi="Times New Roman" w:cs="Times New Roman"/>
          <w:sz w:val="24"/>
          <w:szCs w:val="24"/>
          <w:lang w:val="en-US"/>
        </w:rPr>
      </w:pPr>
      <w:r w:rsidRPr="00CF73C9">
        <w:rPr>
          <w:rFonts w:ascii="Times New Roman" w:eastAsia="Times New Roman" w:hAnsi="Times New Roman" w:cs="Times New Roman"/>
          <w:sz w:val="24"/>
          <w:szCs w:val="24"/>
          <w:lang w:val="en-US"/>
        </w:rPr>
        <w:t xml:space="preserve">14. Koolen DA, Pfundt R, Linda K, </w:t>
      </w:r>
      <w:proofErr w:type="spellStart"/>
      <w:r w:rsidRPr="00CF73C9">
        <w:rPr>
          <w:rFonts w:ascii="Times New Roman" w:eastAsia="Times New Roman" w:hAnsi="Times New Roman" w:cs="Times New Roman"/>
          <w:sz w:val="24"/>
          <w:szCs w:val="24"/>
          <w:lang w:val="en-US"/>
        </w:rPr>
        <w:t>Beunders</w:t>
      </w:r>
      <w:proofErr w:type="spellEnd"/>
      <w:r w:rsidRPr="00CF73C9">
        <w:rPr>
          <w:rFonts w:ascii="Times New Roman" w:eastAsia="Times New Roman" w:hAnsi="Times New Roman" w:cs="Times New Roman"/>
          <w:sz w:val="24"/>
          <w:szCs w:val="24"/>
          <w:lang w:val="en-US"/>
        </w:rPr>
        <w:t xml:space="preserve"> G, Veenstra-Knol HE, Conta EH, et al. The Koolen-de Vries syndrome: A phenotypic comparison of patients with a 17q21.31 microdeletion versus a KANSL1 sequence variant. European Journal of Human Genetics. 2016;24.</w:t>
      </w:r>
    </w:p>
    <w:p w:rsidR="00CF73C9" w:rsidRPr="00CF73C9" w:rsidRDefault="00CF73C9" w:rsidP="00CF73C9">
      <w:pPr>
        <w:jc w:val="both"/>
        <w:rPr>
          <w:rFonts w:ascii="Times New Roman" w:eastAsia="Times New Roman" w:hAnsi="Times New Roman" w:cs="Times New Roman"/>
          <w:sz w:val="24"/>
          <w:szCs w:val="24"/>
          <w:lang w:val="en-US"/>
        </w:rPr>
      </w:pPr>
      <w:r w:rsidRPr="00CF73C9">
        <w:rPr>
          <w:rFonts w:ascii="Times New Roman" w:eastAsia="Times New Roman" w:hAnsi="Times New Roman" w:cs="Times New Roman"/>
          <w:sz w:val="24"/>
          <w:szCs w:val="24"/>
          <w:lang w:val="en-US"/>
        </w:rPr>
        <w:t xml:space="preserve">15. Hehir-Kwa JY, Tops BBJ, </w:t>
      </w:r>
      <w:proofErr w:type="spellStart"/>
      <w:r w:rsidRPr="00CF73C9">
        <w:rPr>
          <w:rFonts w:ascii="Times New Roman" w:eastAsia="Times New Roman" w:hAnsi="Times New Roman" w:cs="Times New Roman"/>
          <w:sz w:val="24"/>
          <w:szCs w:val="24"/>
          <w:lang w:val="en-US"/>
        </w:rPr>
        <w:t>Kemmeren</w:t>
      </w:r>
      <w:proofErr w:type="spellEnd"/>
      <w:r w:rsidRPr="00CF73C9">
        <w:rPr>
          <w:rFonts w:ascii="Times New Roman" w:eastAsia="Times New Roman" w:hAnsi="Times New Roman" w:cs="Times New Roman"/>
          <w:sz w:val="24"/>
          <w:szCs w:val="24"/>
          <w:lang w:val="en-US"/>
        </w:rPr>
        <w:t xml:space="preserve"> P. The clinical implementation of copy number detection in the age of next-generation sequencing. Expert Review of Molecular Diagnostics. 2018;18.</w:t>
      </w:r>
    </w:p>
    <w:p w:rsidR="00CF73C9" w:rsidRDefault="00CF73C9" w:rsidP="00CF73C9">
      <w:pPr>
        <w:jc w:val="both"/>
        <w:rPr>
          <w:rFonts w:ascii="Times New Roman" w:eastAsia="Times New Roman" w:hAnsi="Times New Roman" w:cs="Times New Roman"/>
          <w:sz w:val="24"/>
          <w:szCs w:val="24"/>
          <w:lang w:val="en-US"/>
        </w:rPr>
      </w:pPr>
      <w:r w:rsidRPr="00CF73C9">
        <w:rPr>
          <w:rFonts w:ascii="Times New Roman" w:eastAsia="Times New Roman" w:hAnsi="Times New Roman" w:cs="Times New Roman"/>
          <w:sz w:val="24"/>
          <w:szCs w:val="24"/>
          <w:lang w:val="en-US"/>
        </w:rPr>
        <w:t xml:space="preserve">16. Scarano C, </w:t>
      </w:r>
      <w:proofErr w:type="spellStart"/>
      <w:r w:rsidRPr="00CF73C9">
        <w:rPr>
          <w:rFonts w:ascii="Times New Roman" w:eastAsia="Times New Roman" w:hAnsi="Times New Roman" w:cs="Times New Roman"/>
          <w:sz w:val="24"/>
          <w:szCs w:val="24"/>
          <w:lang w:val="en-US"/>
        </w:rPr>
        <w:t>Veneruso</w:t>
      </w:r>
      <w:proofErr w:type="spellEnd"/>
      <w:r w:rsidRPr="00CF73C9">
        <w:rPr>
          <w:rFonts w:ascii="Times New Roman" w:eastAsia="Times New Roman" w:hAnsi="Times New Roman" w:cs="Times New Roman"/>
          <w:sz w:val="24"/>
          <w:szCs w:val="24"/>
          <w:lang w:val="en-US"/>
        </w:rPr>
        <w:t xml:space="preserve"> I, De Simone RR, Di Bonito G, Secondino A, </w:t>
      </w:r>
      <w:proofErr w:type="spellStart"/>
      <w:r w:rsidRPr="00CF73C9">
        <w:rPr>
          <w:rFonts w:ascii="Times New Roman" w:eastAsia="Times New Roman" w:hAnsi="Times New Roman" w:cs="Times New Roman"/>
          <w:sz w:val="24"/>
          <w:szCs w:val="24"/>
          <w:lang w:val="en-US"/>
        </w:rPr>
        <w:t>D’Argenio</w:t>
      </w:r>
      <w:proofErr w:type="spellEnd"/>
      <w:r w:rsidRPr="00CF73C9">
        <w:rPr>
          <w:rFonts w:ascii="Times New Roman" w:eastAsia="Times New Roman" w:hAnsi="Times New Roman" w:cs="Times New Roman"/>
          <w:sz w:val="24"/>
          <w:szCs w:val="24"/>
          <w:lang w:val="en-US"/>
        </w:rPr>
        <w:t xml:space="preserve"> V. The Third-Generation Sequencing Challenge: Novel Insights for the </w:t>
      </w:r>
      <w:proofErr w:type="spellStart"/>
      <w:r w:rsidRPr="00CF73C9">
        <w:rPr>
          <w:rFonts w:ascii="Times New Roman" w:eastAsia="Times New Roman" w:hAnsi="Times New Roman" w:cs="Times New Roman"/>
          <w:sz w:val="24"/>
          <w:szCs w:val="24"/>
          <w:lang w:val="en-US"/>
        </w:rPr>
        <w:t>Omic</w:t>
      </w:r>
      <w:proofErr w:type="spellEnd"/>
      <w:r w:rsidRPr="00CF73C9">
        <w:rPr>
          <w:rFonts w:ascii="Times New Roman" w:eastAsia="Times New Roman" w:hAnsi="Times New Roman" w:cs="Times New Roman"/>
          <w:sz w:val="24"/>
          <w:szCs w:val="24"/>
          <w:lang w:val="en-US"/>
        </w:rPr>
        <w:t xml:space="preserve"> Sciences. Biomolecules 2024, Vol 14, Page 568. </w:t>
      </w:r>
      <w:proofErr w:type="gramStart"/>
      <w:r w:rsidRPr="00CF73C9">
        <w:rPr>
          <w:rFonts w:ascii="Times New Roman" w:eastAsia="Times New Roman" w:hAnsi="Times New Roman" w:cs="Times New Roman"/>
          <w:sz w:val="24"/>
          <w:szCs w:val="24"/>
          <w:lang w:val="en-US"/>
        </w:rPr>
        <w:t>2024;14:568</w:t>
      </w:r>
      <w:proofErr w:type="gramEnd"/>
      <w:r w:rsidRPr="00CF73C9">
        <w:rPr>
          <w:rFonts w:ascii="Times New Roman" w:eastAsia="Times New Roman" w:hAnsi="Times New Roman" w:cs="Times New Roman"/>
          <w:sz w:val="24"/>
          <w:szCs w:val="24"/>
          <w:lang w:val="en-US"/>
        </w:rPr>
        <w:t>.</w:t>
      </w:r>
    </w:p>
    <w:p w:rsidR="00CF73C9" w:rsidRPr="003631D9" w:rsidRDefault="00CF73C9" w:rsidP="00CF73C9">
      <w:pPr>
        <w:jc w:val="both"/>
        <w:rPr>
          <w:rFonts w:ascii="Times New Roman" w:eastAsia="Times New Roman" w:hAnsi="Times New Roman" w:cs="Times New Roman"/>
          <w:b/>
          <w:bCs/>
          <w:lang w:val="en-US"/>
        </w:rPr>
      </w:pPr>
    </w:p>
    <w:p w:rsidR="00CF73C9" w:rsidRPr="003631D9" w:rsidRDefault="00CF73C9" w:rsidP="00FE3FB7">
      <w:pPr>
        <w:spacing w:line="300" w:lineRule="auto"/>
        <w:jc w:val="both"/>
        <w:rPr>
          <w:rFonts w:ascii="Times New Roman" w:hAnsi="Times New Roman" w:cs="Times New Roman"/>
          <w:b/>
          <w:bCs/>
          <w:lang w:val="en-US"/>
        </w:rPr>
      </w:pPr>
      <w:proofErr w:type="spellStart"/>
      <w:r w:rsidRPr="003631D9">
        <w:rPr>
          <w:rFonts w:ascii="Times New Roman" w:hAnsi="Times New Roman" w:cs="Times New Roman"/>
          <w:b/>
          <w:bCs/>
        </w:rPr>
        <w:t>Author</w:t>
      </w:r>
      <w:proofErr w:type="spellEnd"/>
      <w:r w:rsidRPr="003631D9">
        <w:rPr>
          <w:rFonts w:ascii="Times New Roman" w:hAnsi="Times New Roman" w:cs="Times New Roman"/>
          <w:b/>
          <w:bCs/>
        </w:rPr>
        <w:t xml:space="preserve"> </w:t>
      </w:r>
      <w:proofErr w:type="spellStart"/>
      <w:r w:rsidRPr="003631D9">
        <w:rPr>
          <w:rFonts w:ascii="Times New Roman" w:hAnsi="Times New Roman" w:cs="Times New Roman"/>
          <w:b/>
          <w:bCs/>
        </w:rPr>
        <w:t>Afliations</w:t>
      </w:r>
      <w:proofErr w:type="spellEnd"/>
    </w:p>
    <w:p w:rsidR="00CF73C9" w:rsidRPr="003631D9" w:rsidRDefault="00CF73C9" w:rsidP="00CF73C9">
      <w:pPr>
        <w:widowControl w:val="0"/>
        <w:spacing w:before="120" w:after="120" w:line="300" w:lineRule="auto"/>
        <w:ind w:left="720"/>
        <w:rPr>
          <w:rFonts w:ascii="Times New Roman" w:eastAsia="Times New Roman" w:hAnsi="Times New Roman" w:cs="Times New Roman"/>
          <w:vertAlign w:val="superscript"/>
          <w:lang w:val="en-US"/>
        </w:rPr>
      </w:pPr>
      <w:r w:rsidRPr="003631D9">
        <w:rPr>
          <w:rFonts w:ascii="Times New Roman" w:eastAsia="Times New Roman" w:hAnsi="Times New Roman" w:cs="Times New Roman"/>
          <w:lang w:val="en-US"/>
        </w:rPr>
        <w:t>Daria Akimova</w:t>
      </w:r>
      <w:r w:rsidRPr="003631D9">
        <w:rPr>
          <w:rFonts w:ascii="Times New Roman" w:eastAsia="Times New Roman" w:hAnsi="Times New Roman" w:cs="Times New Roman"/>
          <w:vertAlign w:val="superscript"/>
          <w:lang w:val="en-US"/>
        </w:rPr>
        <w:t>1*</w:t>
      </w:r>
      <w:r w:rsidRPr="003631D9">
        <w:rPr>
          <w:rFonts w:ascii="Times New Roman" w:eastAsia="Times New Roman" w:hAnsi="Times New Roman" w:cs="Times New Roman"/>
          <w:lang w:val="en-US"/>
        </w:rPr>
        <w:t>, Daria Guseva</w:t>
      </w:r>
      <w:r w:rsidRPr="003631D9">
        <w:rPr>
          <w:rFonts w:ascii="Times New Roman" w:eastAsia="Times New Roman" w:hAnsi="Times New Roman" w:cs="Times New Roman"/>
          <w:vertAlign w:val="superscript"/>
          <w:lang w:val="en-US"/>
        </w:rPr>
        <w:t>1</w:t>
      </w:r>
      <w:r w:rsidRPr="003631D9">
        <w:rPr>
          <w:rFonts w:ascii="Times New Roman" w:eastAsia="Times New Roman" w:hAnsi="Times New Roman" w:cs="Times New Roman"/>
          <w:lang w:val="en-US"/>
        </w:rPr>
        <w:t>, Maria Nefedova</w:t>
      </w:r>
      <w:r w:rsidRPr="003631D9">
        <w:rPr>
          <w:rFonts w:ascii="Times New Roman" w:eastAsia="Times New Roman" w:hAnsi="Times New Roman" w:cs="Times New Roman"/>
          <w:vertAlign w:val="superscript"/>
          <w:lang w:val="en-US"/>
        </w:rPr>
        <w:t>2</w:t>
      </w:r>
      <w:r w:rsidRPr="003631D9">
        <w:rPr>
          <w:rFonts w:ascii="Times New Roman" w:eastAsia="Times New Roman" w:hAnsi="Times New Roman" w:cs="Times New Roman"/>
          <w:lang w:val="en-US"/>
        </w:rPr>
        <w:t>, Mikhail Skoblov</w:t>
      </w:r>
      <w:r w:rsidRPr="003631D9">
        <w:rPr>
          <w:rFonts w:ascii="Times New Roman" w:eastAsia="Times New Roman" w:hAnsi="Times New Roman" w:cs="Times New Roman"/>
          <w:vertAlign w:val="superscript"/>
          <w:lang w:val="en-US"/>
        </w:rPr>
        <w:t>1</w:t>
      </w:r>
    </w:p>
    <w:p w:rsidR="00CF73C9" w:rsidRPr="003631D9" w:rsidRDefault="00CF73C9" w:rsidP="00CF73C9">
      <w:pPr>
        <w:widowControl w:val="0"/>
        <w:spacing w:before="120" w:after="120" w:line="300" w:lineRule="auto"/>
        <w:ind w:left="720"/>
        <w:rPr>
          <w:rFonts w:ascii="Times New Roman" w:eastAsia="Times New Roman" w:hAnsi="Times New Roman" w:cs="Times New Roman"/>
          <w:vertAlign w:val="superscript"/>
          <w:lang w:val="en-US"/>
        </w:rPr>
      </w:pPr>
    </w:p>
    <w:p w:rsidR="00CF73C9" w:rsidRPr="003631D9" w:rsidRDefault="00CF73C9" w:rsidP="00CF73C9">
      <w:pPr>
        <w:widowControl w:val="0"/>
        <w:spacing w:before="120" w:after="120" w:line="300" w:lineRule="auto"/>
        <w:ind w:left="720"/>
        <w:rPr>
          <w:rFonts w:ascii="Times New Roman" w:eastAsia="Times New Roman" w:hAnsi="Times New Roman" w:cs="Times New Roman"/>
          <w:lang w:val="en-US"/>
        </w:rPr>
      </w:pPr>
      <w:r w:rsidRPr="003631D9">
        <w:rPr>
          <w:rFonts w:ascii="Times New Roman" w:eastAsia="Times New Roman" w:hAnsi="Times New Roman" w:cs="Times New Roman"/>
          <w:vertAlign w:val="superscript"/>
          <w:lang w:val="en-US"/>
        </w:rPr>
        <w:t>1</w:t>
      </w:r>
      <w:r w:rsidRPr="003631D9">
        <w:rPr>
          <w:rFonts w:ascii="Times New Roman" w:eastAsia="Times New Roman" w:hAnsi="Times New Roman" w:cs="Times New Roman"/>
          <w:lang w:val="en-US"/>
        </w:rPr>
        <w:t>Research Centre for Medical Genetics, Moscow, Russia</w:t>
      </w:r>
    </w:p>
    <w:p w:rsidR="00CF73C9" w:rsidRPr="003631D9" w:rsidRDefault="00CF73C9" w:rsidP="00CF73C9">
      <w:pPr>
        <w:pStyle w:val="1"/>
        <w:keepNext w:val="0"/>
        <w:keepLines w:val="0"/>
        <w:widowControl w:val="0"/>
        <w:spacing w:before="120" w:line="300" w:lineRule="auto"/>
        <w:ind w:left="720"/>
        <w:jc w:val="both"/>
        <w:rPr>
          <w:rFonts w:ascii="Times New Roman" w:eastAsia="Times New Roman" w:hAnsi="Times New Roman" w:cs="Times New Roman"/>
          <w:color w:val="auto"/>
          <w:sz w:val="22"/>
          <w:szCs w:val="22"/>
          <w:lang w:val="en-US"/>
        </w:rPr>
      </w:pPr>
      <w:bookmarkStart w:id="4" w:name="_377larxv93lr" w:colFirst="0" w:colLast="0"/>
      <w:bookmarkEnd w:id="4"/>
      <w:r w:rsidRPr="003631D9">
        <w:rPr>
          <w:rFonts w:ascii="Times New Roman" w:eastAsia="Times New Roman" w:hAnsi="Times New Roman" w:cs="Times New Roman"/>
          <w:bCs/>
          <w:color w:val="auto"/>
          <w:sz w:val="22"/>
          <w:szCs w:val="22"/>
          <w:vertAlign w:val="superscript"/>
          <w:lang w:val="en-US"/>
        </w:rPr>
        <w:t>2</w:t>
      </w:r>
      <w:r w:rsidRPr="003631D9">
        <w:rPr>
          <w:rFonts w:ascii="Times New Roman" w:eastAsia="Times New Roman" w:hAnsi="Times New Roman" w:cs="Times New Roman"/>
          <w:color w:val="auto"/>
          <w:sz w:val="22"/>
          <w:szCs w:val="22"/>
          <w:lang w:val="en-US"/>
        </w:rPr>
        <w:t>Independent Clinical Bioinformatics Laboratory, Moscow, Russia</w:t>
      </w:r>
    </w:p>
    <w:p w:rsidR="00CF73C9" w:rsidRPr="00CF73C9" w:rsidRDefault="00CF73C9" w:rsidP="00FE3FB7">
      <w:pPr>
        <w:spacing w:line="300" w:lineRule="auto"/>
        <w:jc w:val="both"/>
        <w:rPr>
          <w:rFonts w:ascii="Times New Roman" w:hAnsi="Times New Roman" w:cs="Times New Roman"/>
          <w:b/>
          <w:bCs/>
          <w:shd w:val="clear" w:color="auto" w:fill="FFFFFF"/>
        </w:rPr>
      </w:pPr>
    </w:p>
    <w:sectPr w:rsidR="00CF73C9" w:rsidRPr="00CF73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ru-RU" w:vendorID="64" w:dllVersion="6" w:nlCheck="1" w:checkStyle="0"/>
  <w:activeWritingStyle w:appName="MSWord" w:lang="en-US" w:vendorID="64" w:dllVersion="6" w:nlCheck="1" w:checkStyle="1"/>
  <w:activeWritingStyle w:appName="MSWord" w:lang="en-US" w:vendorID="64" w:dllVersion="4096" w:nlCheck="1" w:checkStyle="0"/>
  <w:activeWritingStyle w:appName="MSWord" w:lang="ru-RU" w:vendorID="64" w:dllVersion="4096" w:nlCheck="1" w:checkStyle="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1AA4"/>
    <w:rsid w:val="00097A76"/>
    <w:rsid w:val="000A1AA4"/>
    <w:rsid w:val="000E43EE"/>
    <w:rsid w:val="002841AA"/>
    <w:rsid w:val="003631D9"/>
    <w:rsid w:val="003A4FCD"/>
    <w:rsid w:val="003D78F1"/>
    <w:rsid w:val="003F1B25"/>
    <w:rsid w:val="003F55E4"/>
    <w:rsid w:val="004010D4"/>
    <w:rsid w:val="00522640"/>
    <w:rsid w:val="00524E82"/>
    <w:rsid w:val="00620C05"/>
    <w:rsid w:val="006900F8"/>
    <w:rsid w:val="006F528E"/>
    <w:rsid w:val="007C7327"/>
    <w:rsid w:val="00854646"/>
    <w:rsid w:val="009C7A1A"/>
    <w:rsid w:val="00AD7A77"/>
    <w:rsid w:val="00B659E6"/>
    <w:rsid w:val="00C31AE1"/>
    <w:rsid w:val="00CF73C9"/>
    <w:rsid w:val="00DC50C9"/>
    <w:rsid w:val="00F20884"/>
    <w:rsid w:val="00F47D3C"/>
    <w:rsid w:val="00FE3F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8DD2E"/>
  <w15:chartTrackingRefBased/>
  <w15:docId w15:val="{D82D1319-0589-41FE-8701-9B69B9FA6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85464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854646"/>
    <w:pPr>
      <w:keepNext/>
      <w:keepLines/>
      <w:spacing w:before="40" w:after="0"/>
      <w:outlineLvl w:val="1"/>
    </w:pPr>
    <w:rPr>
      <w:rFonts w:ascii="Times New Roman" w:eastAsiaTheme="majorEastAsia" w:hAnsi="Times New Roman" w:cstheme="majorBidi"/>
      <w:b/>
      <w:sz w:val="28"/>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31AE1"/>
    <w:pPr>
      <w:spacing w:after="0" w:line="240" w:lineRule="auto"/>
    </w:pPr>
  </w:style>
  <w:style w:type="character" w:customStyle="1" w:styleId="20">
    <w:name w:val="Заголовок 2 Знак"/>
    <w:basedOn w:val="a0"/>
    <w:link w:val="2"/>
    <w:uiPriority w:val="9"/>
    <w:rsid w:val="00854646"/>
    <w:rPr>
      <w:rFonts w:ascii="Times New Roman" w:eastAsiaTheme="majorEastAsia" w:hAnsi="Times New Roman" w:cstheme="majorBidi"/>
      <w:b/>
      <w:sz w:val="28"/>
      <w:szCs w:val="26"/>
    </w:rPr>
  </w:style>
  <w:style w:type="character" w:customStyle="1" w:styleId="10">
    <w:name w:val="Заголовок 1 Знак"/>
    <w:basedOn w:val="a0"/>
    <w:link w:val="1"/>
    <w:uiPriority w:val="9"/>
    <w:rsid w:val="00854646"/>
    <w:rPr>
      <w:rFonts w:asciiTheme="majorHAnsi" w:eastAsiaTheme="majorEastAsia" w:hAnsiTheme="majorHAnsi" w:cstheme="majorBidi"/>
      <w:color w:val="2E74B5" w:themeColor="accent1" w:themeShade="BF"/>
      <w:sz w:val="32"/>
      <w:szCs w:val="32"/>
    </w:rPr>
  </w:style>
  <w:style w:type="paragraph" w:customStyle="1" w:styleId="pf0">
    <w:name w:val="pf0"/>
    <w:basedOn w:val="a"/>
    <w:rsid w:val="00F2088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rmal (Web)"/>
    <w:basedOn w:val="a"/>
    <w:uiPriority w:val="99"/>
    <w:unhideWhenUsed/>
    <w:rsid w:val="00F20884"/>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TableNormal">
    <w:name w:val="Table Normal"/>
    <w:rsid w:val="00F20884"/>
    <w:pPr>
      <w:spacing w:after="0" w:line="276" w:lineRule="auto"/>
    </w:pPr>
    <w:rPr>
      <w:rFonts w:ascii="Arial" w:eastAsia="Arial" w:hAnsi="Arial" w:cs="Arial"/>
      <w:lang w:val="ru"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aperpile.com/c/sFAbGq/RAyx" TargetMode="External"/><Relationship Id="rId18" Type="http://schemas.openxmlformats.org/officeDocument/2006/relationships/hyperlink" Target="https://paperpile.com/c/sFAbGq/lery" TargetMode="External"/><Relationship Id="rId26" Type="http://schemas.openxmlformats.org/officeDocument/2006/relationships/hyperlink" Target="https://paperpile.com/c/sFAbGq/Fxq3" TargetMode="External"/><Relationship Id="rId39" Type="http://schemas.openxmlformats.org/officeDocument/2006/relationships/theme" Target="theme/theme1.xml"/><Relationship Id="rId21" Type="http://schemas.openxmlformats.org/officeDocument/2006/relationships/hyperlink" Target="https://paperpile.com/c/sFAbGq/YwEA" TargetMode="External"/><Relationship Id="rId34" Type="http://schemas.openxmlformats.org/officeDocument/2006/relationships/hyperlink" Target="https://paperpile.com/c/sFAbGq/ZiDq" TargetMode="External"/><Relationship Id="rId7" Type="http://schemas.openxmlformats.org/officeDocument/2006/relationships/hyperlink" Target="https://paperpile.com/c/sFAbGq/zV7d" TargetMode="External"/><Relationship Id="rId12" Type="http://schemas.openxmlformats.org/officeDocument/2006/relationships/hyperlink" Target="https://paperpile.com/c/sFAbGq/RAyx" TargetMode="External"/><Relationship Id="rId17" Type="http://schemas.openxmlformats.org/officeDocument/2006/relationships/hyperlink" Target="https://paperpile.com/c/sFAbGq/lery" TargetMode="External"/><Relationship Id="rId25" Type="http://schemas.openxmlformats.org/officeDocument/2006/relationships/hyperlink" Target="https://paperpile.com/c/sFAbGq/MQxy" TargetMode="External"/><Relationship Id="rId33" Type="http://schemas.openxmlformats.org/officeDocument/2006/relationships/hyperlink" Target="https://paperpile.com/c/sFAbGq/I5bc"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paperpile.com/c/sFAbGq/f5pK" TargetMode="External"/><Relationship Id="rId20" Type="http://schemas.openxmlformats.org/officeDocument/2006/relationships/hyperlink" Target="https://paperpile.com/c/sFAbGq/YwEA" TargetMode="External"/><Relationship Id="rId29" Type="http://schemas.openxmlformats.org/officeDocument/2006/relationships/hyperlink" Target="https://paperpile.com/c/sFAbGq/f4YK" TargetMode="External"/><Relationship Id="rId1" Type="http://schemas.openxmlformats.org/officeDocument/2006/relationships/customXml" Target="../customXml/item1.xml"/><Relationship Id="rId6" Type="http://schemas.openxmlformats.org/officeDocument/2006/relationships/hyperlink" Target="https://paperpile.com/c/sFAbGq/UVTy" TargetMode="External"/><Relationship Id="rId11" Type="http://schemas.openxmlformats.org/officeDocument/2006/relationships/hyperlink" Target="https://paperpile.com/c/sFAbGq/RAyx" TargetMode="External"/><Relationship Id="rId24" Type="http://schemas.openxmlformats.org/officeDocument/2006/relationships/hyperlink" Target="https://paperpile.com/c/sFAbGq/MQxy" TargetMode="External"/><Relationship Id="rId32" Type="http://schemas.openxmlformats.org/officeDocument/2006/relationships/hyperlink" Target="https://paperpile.com/c/sFAbGq/f4YK+k2GN" TargetMode="External"/><Relationship Id="rId37" Type="http://schemas.openxmlformats.org/officeDocument/2006/relationships/hyperlink" Target="https://paperpile.com/c/sFAbGq/djAe" TargetMode="External"/><Relationship Id="rId5" Type="http://schemas.openxmlformats.org/officeDocument/2006/relationships/hyperlink" Target="https://paperpile.com/c/sFAbGq/zV7d" TargetMode="External"/><Relationship Id="rId15" Type="http://schemas.openxmlformats.org/officeDocument/2006/relationships/hyperlink" Target="https://paperpile.com/c/sFAbGq/f5pK" TargetMode="External"/><Relationship Id="rId23" Type="http://schemas.openxmlformats.org/officeDocument/2006/relationships/hyperlink" Target="https://paperpile.com/c/sFAbGq/MQxy" TargetMode="External"/><Relationship Id="rId28" Type="http://schemas.openxmlformats.org/officeDocument/2006/relationships/hyperlink" Target="https://paperpile.com/c/sFAbGq/Fxq3" TargetMode="External"/><Relationship Id="rId36" Type="http://schemas.openxmlformats.org/officeDocument/2006/relationships/hyperlink" Target="https://paperpile.com/c/sFAbGq/ZiDq" TargetMode="External"/><Relationship Id="rId10" Type="http://schemas.openxmlformats.org/officeDocument/2006/relationships/hyperlink" Target="https://paperpile.com/c/sFAbGq/f5pK" TargetMode="External"/><Relationship Id="rId19" Type="http://schemas.openxmlformats.org/officeDocument/2006/relationships/hyperlink" Target="https://paperpile.com/c/sFAbGq/lery" TargetMode="External"/><Relationship Id="rId31" Type="http://schemas.openxmlformats.org/officeDocument/2006/relationships/hyperlink" Target="https://paperpile.com/c/sFAbGq/f4YK+k2GN" TargetMode="External"/><Relationship Id="rId4" Type="http://schemas.openxmlformats.org/officeDocument/2006/relationships/webSettings" Target="webSettings.xml"/><Relationship Id="rId9" Type="http://schemas.openxmlformats.org/officeDocument/2006/relationships/hyperlink" Target="https://paperpile.com/c/sFAbGq/f5pK" TargetMode="External"/><Relationship Id="rId14" Type="http://schemas.openxmlformats.org/officeDocument/2006/relationships/hyperlink" Target="https://paperpile.com/c/sFAbGq/f5pK" TargetMode="External"/><Relationship Id="rId22" Type="http://schemas.openxmlformats.org/officeDocument/2006/relationships/hyperlink" Target="https://paperpile.com/c/sFAbGq/YwEA" TargetMode="External"/><Relationship Id="rId27" Type="http://schemas.openxmlformats.org/officeDocument/2006/relationships/hyperlink" Target="https://paperpile.com/c/sFAbGq/Fxq3" TargetMode="External"/><Relationship Id="rId30" Type="http://schemas.openxmlformats.org/officeDocument/2006/relationships/hyperlink" Target="https://paperpile.com/c/sFAbGq/f4YK+k2GN" TargetMode="External"/><Relationship Id="rId35" Type="http://schemas.openxmlformats.org/officeDocument/2006/relationships/hyperlink" Target="https://paperpile.com/c/sFAbGq/ZiDq" TargetMode="External"/><Relationship Id="rId8" Type="http://schemas.openxmlformats.org/officeDocument/2006/relationships/hyperlink" Target="https://paperpile.com/c/sFAbGq/f5pK"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854151-284A-4F75-90AA-3D137D6983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7</Pages>
  <Words>3828</Words>
  <Characters>21820</Characters>
  <Application>Microsoft Office Word</Application>
  <DocSecurity>0</DocSecurity>
  <Lines>181</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25597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Olga Levchenko</dc:creator>
  <cp:keywords/>
  <dc:description/>
  <cp:lastModifiedBy>Дарья Акимова</cp:lastModifiedBy>
  <cp:revision>8</cp:revision>
  <dcterms:created xsi:type="dcterms:W3CDTF">2024-06-17T14:27:00Z</dcterms:created>
  <dcterms:modified xsi:type="dcterms:W3CDTF">2024-07-09T09:36:00Z</dcterms:modified>
</cp:coreProperties>
</file>