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225A1A" w14:textId="2EFDEA63" w:rsidR="004864B1" w:rsidRPr="00D532DA" w:rsidRDefault="004864B1" w:rsidP="009D0597">
      <w:pPr>
        <w:pStyle w:val="Heading1"/>
        <w:rPr>
          <w:rFonts w:cs="Times New Roman"/>
          <w:lang w:eastAsia="ja-JP"/>
        </w:rPr>
      </w:pPr>
      <w:r w:rsidRPr="00D532DA">
        <w:rPr>
          <w:rFonts w:cs="Times New Roman"/>
          <w:lang w:eastAsia="ja-JP"/>
        </w:rPr>
        <w:t>Supplementa</w:t>
      </w:r>
      <w:r w:rsidR="009B2645" w:rsidRPr="00D532DA">
        <w:rPr>
          <w:rFonts w:cs="Times New Roman"/>
          <w:lang w:eastAsia="ja-JP"/>
        </w:rPr>
        <w:t>ry</w:t>
      </w:r>
      <w:r w:rsidRPr="00D532DA">
        <w:rPr>
          <w:rFonts w:cs="Times New Roman"/>
          <w:lang w:eastAsia="ja-JP"/>
        </w:rPr>
        <w:t xml:space="preserve"> material</w:t>
      </w:r>
    </w:p>
    <w:p w14:paraId="1EE782F8" w14:textId="77777777" w:rsidR="004864B1" w:rsidRPr="00D532DA" w:rsidRDefault="004864B1" w:rsidP="00683913">
      <w:pPr>
        <w:rPr>
          <w:sz w:val="24"/>
          <w:szCs w:val="24"/>
          <w:lang w:eastAsia="ja-JP"/>
        </w:rPr>
      </w:pPr>
    </w:p>
    <w:p w14:paraId="329830BF" w14:textId="446AA44B" w:rsidR="004864B1" w:rsidRPr="00D532DA" w:rsidRDefault="004864B1" w:rsidP="00683913">
      <w:pPr>
        <w:rPr>
          <w:sz w:val="24"/>
          <w:szCs w:val="24"/>
          <w:lang w:eastAsia="ja-JP"/>
        </w:rPr>
      </w:pPr>
      <w:r w:rsidRPr="00D532DA">
        <w:rPr>
          <w:sz w:val="24"/>
          <w:szCs w:val="24"/>
          <w:lang w:eastAsia="ja-JP"/>
        </w:rPr>
        <w:t>1. Supplementa</w:t>
      </w:r>
      <w:r w:rsidR="009B2645" w:rsidRPr="00D532DA">
        <w:rPr>
          <w:sz w:val="24"/>
          <w:szCs w:val="24"/>
          <w:lang w:eastAsia="ja-JP"/>
        </w:rPr>
        <w:t>ry</w:t>
      </w:r>
      <w:r w:rsidRPr="00D532DA">
        <w:rPr>
          <w:sz w:val="24"/>
          <w:szCs w:val="24"/>
          <w:lang w:eastAsia="ja-JP"/>
        </w:rPr>
        <w:t xml:space="preserve"> material 1.pdf</w:t>
      </w:r>
    </w:p>
    <w:p w14:paraId="5FFABF4D" w14:textId="0276D146" w:rsidR="00673146" w:rsidRDefault="00673146" w:rsidP="00673146">
      <w:pPr>
        <w:rPr>
          <w:sz w:val="24"/>
          <w:szCs w:val="24"/>
          <w:lang w:eastAsia="ja-JP"/>
        </w:rPr>
      </w:pPr>
      <w:r w:rsidRPr="00D532DA">
        <w:rPr>
          <w:b/>
          <w:bCs/>
          <w:sz w:val="24"/>
          <w:szCs w:val="24"/>
          <w:lang w:eastAsia="ja-JP"/>
        </w:rPr>
        <w:t>Fig. S1</w:t>
      </w:r>
      <w:r w:rsidRPr="00D532DA">
        <w:rPr>
          <w:sz w:val="24"/>
          <w:szCs w:val="24"/>
          <w:lang w:eastAsia="ja-JP"/>
        </w:rPr>
        <w:t xml:space="preserve"> Impact of light (L) and shading (S) on the relative abundance of network competitors (NC), soil-propagule-mediated colonizers (SP), and strategy-unassigned OTUs (Un). Relative abundance is the percentages of the numbers of NC, SP, and Un OTUs in total OTU number. </w:t>
      </w:r>
    </w:p>
    <w:p w14:paraId="59D56489" w14:textId="77777777" w:rsidR="00B55F40" w:rsidRPr="00D532DA" w:rsidRDefault="00B55F40" w:rsidP="00673146">
      <w:pPr>
        <w:rPr>
          <w:sz w:val="24"/>
          <w:szCs w:val="24"/>
          <w:lang w:eastAsia="ja-JP"/>
        </w:rPr>
      </w:pPr>
    </w:p>
    <w:p w14:paraId="3189D3A0" w14:textId="23B7C2CF" w:rsidR="00673146" w:rsidRDefault="00673146" w:rsidP="00673146">
      <w:pPr>
        <w:rPr>
          <w:sz w:val="24"/>
          <w:szCs w:val="24"/>
          <w:lang w:eastAsia="ja-JP"/>
        </w:rPr>
      </w:pPr>
      <w:r w:rsidRPr="00D532DA">
        <w:rPr>
          <w:b/>
          <w:bCs/>
          <w:sz w:val="24"/>
          <w:szCs w:val="24"/>
          <w:lang w:eastAsia="ja-JP"/>
        </w:rPr>
        <w:t>Fig. S2</w:t>
      </w:r>
      <w:r w:rsidRPr="00D532DA">
        <w:rPr>
          <w:sz w:val="24"/>
          <w:szCs w:val="24"/>
          <w:lang w:eastAsia="ja-JP"/>
        </w:rPr>
        <w:t xml:space="preserve"> Light-shade preference index of the OTUs belong to the genera </w:t>
      </w:r>
      <w:r w:rsidRPr="00D532DA">
        <w:rPr>
          <w:i/>
          <w:iCs/>
          <w:sz w:val="24"/>
          <w:szCs w:val="24"/>
          <w:lang w:eastAsia="ja-JP"/>
        </w:rPr>
        <w:t>Microdominikia</w:t>
      </w:r>
      <w:r w:rsidRPr="00D532DA">
        <w:rPr>
          <w:sz w:val="24"/>
          <w:szCs w:val="24"/>
          <w:lang w:eastAsia="ja-JP"/>
        </w:rPr>
        <w:t xml:space="preserve">, </w:t>
      </w:r>
      <w:r w:rsidRPr="00D532DA">
        <w:rPr>
          <w:i/>
          <w:iCs/>
          <w:sz w:val="24"/>
          <w:szCs w:val="24"/>
          <w:lang w:eastAsia="ja-JP"/>
        </w:rPr>
        <w:t>Racocetra</w:t>
      </w:r>
      <w:r w:rsidRPr="00D532DA">
        <w:rPr>
          <w:sz w:val="24"/>
          <w:szCs w:val="24"/>
          <w:lang w:eastAsia="ja-JP"/>
        </w:rPr>
        <w:t xml:space="preserve">, </w:t>
      </w:r>
      <w:r w:rsidRPr="00D532DA">
        <w:rPr>
          <w:i/>
          <w:iCs/>
          <w:sz w:val="24"/>
          <w:szCs w:val="24"/>
          <w:lang w:eastAsia="ja-JP"/>
        </w:rPr>
        <w:t>Rhizophagus</w:t>
      </w:r>
      <w:r w:rsidRPr="00D532DA">
        <w:rPr>
          <w:sz w:val="24"/>
          <w:szCs w:val="24"/>
          <w:lang w:eastAsia="ja-JP"/>
        </w:rPr>
        <w:t xml:space="preserve">, </w:t>
      </w:r>
      <w:r w:rsidRPr="00D532DA">
        <w:rPr>
          <w:i/>
          <w:iCs/>
          <w:sz w:val="24"/>
          <w:szCs w:val="24"/>
          <w:lang w:eastAsia="ja-JP"/>
        </w:rPr>
        <w:t>Acaulospora</w:t>
      </w:r>
      <w:r w:rsidRPr="00D532DA">
        <w:rPr>
          <w:sz w:val="24"/>
          <w:szCs w:val="24"/>
          <w:lang w:eastAsia="ja-JP"/>
        </w:rPr>
        <w:t xml:space="preserve">, </w:t>
      </w:r>
      <w:r w:rsidRPr="00D532DA">
        <w:rPr>
          <w:i/>
          <w:iCs/>
          <w:sz w:val="24"/>
          <w:szCs w:val="24"/>
          <w:lang w:eastAsia="ja-JP"/>
        </w:rPr>
        <w:t>Nanoglomus</w:t>
      </w:r>
      <w:r w:rsidRPr="00D532DA">
        <w:rPr>
          <w:sz w:val="24"/>
          <w:szCs w:val="24"/>
          <w:lang w:eastAsia="ja-JP"/>
        </w:rPr>
        <w:t xml:space="preserve">, </w:t>
      </w:r>
      <w:r w:rsidRPr="00D532DA">
        <w:rPr>
          <w:i/>
          <w:iCs/>
          <w:sz w:val="24"/>
          <w:szCs w:val="24"/>
          <w:lang w:eastAsia="ja-JP"/>
        </w:rPr>
        <w:t>Glomus</w:t>
      </w:r>
      <w:r w:rsidRPr="00D532DA">
        <w:rPr>
          <w:sz w:val="24"/>
          <w:szCs w:val="24"/>
          <w:lang w:eastAsia="ja-JP"/>
        </w:rPr>
        <w:t xml:space="preserve">, </w:t>
      </w:r>
      <w:r w:rsidR="008D444E" w:rsidRPr="00A90752">
        <w:rPr>
          <w:i/>
          <w:iCs/>
          <w:sz w:val="24"/>
          <w:szCs w:val="24"/>
          <w:lang w:eastAsia="ja-JP"/>
        </w:rPr>
        <w:t>Comprexispora</w:t>
      </w:r>
      <w:r w:rsidR="008D444E">
        <w:rPr>
          <w:sz w:val="24"/>
          <w:szCs w:val="24"/>
          <w:lang w:eastAsia="ja-JP"/>
        </w:rPr>
        <w:t xml:space="preserve">, </w:t>
      </w:r>
      <w:r w:rsidRPr="00D532DA">
        <w:rPr>
          <w:i/>
          <w:iCs/>
          <w:sz w:val="24"/>
          <w:szCs w:val="24"/>
          <w:lang w:eastAsia="ja-JP"/>
        </w:rPr>
        <w:t>Paraglomus</w:t>
      </w:r>
      <w:r w:rsidRPr="00D532DA">
        <w:rPr>
          <w:sz w:val="24"/>
          <w:szCs w:val="24"/>
          <w:lang w:eastAsia="ja-JP"/>
        </w:rPr>
        <w:t xml:space="preserve">, </w:t>
      </w:r>
      <w:r w:rsidR="00B92C78">
        <w:rPr>
          <w:i/>
          <w:iCs/>
          <w:sz w:val="24"/>
          <w:szCs w:val="24"/>
          <w:lang w:eastAsia="ja-JP"/>
        </w:rPr>
        <w:t>Entrophospora</w:t>
      </w:r>
      <w:r w:rsidRPr="00D532DA">
        <w:rPr>
          <w:sz w:val="24"/>
          <w:szCs w:val="24"/>
          <w:lang w:eastAsia="ja-JP"/>
        </w:rPr>
        <w:t xml:space="preserve">, </w:t>
      </w:r>
      <w:r w:rsidRPr="00D532DA">
        <w:rPr>
          <w:i/>
          <w:iCs/>
          <w:sz w:val="24"/>
          <w:szCs w:val="24"/>
          <w:lang w:eastAsia="ja-JP"/>
        </w:rPr>
        <w:t>Dominikia</w:t>
      </w:r>
      <w:r w:rsidRPr="00D532DA">
        <w:rPr>
          <w:sz w:val="24"/>
          <w:szCs w:val="24"/>
          <w:lang w:eastAsia="ja-JP"/>
        </w:rPr>
        <w:t xml:space="preserve">, and </w:t>
      </w:r>
      <w:r w:rsidRPr="00D532DA">
        <w:rPr>
          <w:i/>
          <w:iCs/>
          <w:sz w:val="24"/>
          <w:szCs w:val="24"/>
          <w:lang w:eastAsia="ja-JP"/>
        </w:rPr>
        <w:t>Scutellospora</w:t>
      </w:r>
      <w:r w:rsidRPr="00D532DA">
        <w:rPr>
          <w:sz w:val="24"/>
          <w:szCs w:val="24"/>
          <w:lang w:eastAsia="ja-JP"/>
        </w:rPr>
        <w:t>, in which those that occurred three or more samples are presented. The light-shade preference index of the OTUs was calculated by subtracting the occurrence of the OTU (number of the samples in which the OTU occurred) in the light treatment from that in the shade treatment in the combined dataset of the main and supporting experiments. Triangles represent average values.</w:t>
      </w:r>
    </w:p>
    <w:p w14:paraId="0C664F8C" w14:textId="77777777" w:rsidR="00B55F40" w:rsidRPr="00D532DA" w:rsidRDefault="00B55F40" w:rsidP="00673146">
      <w:pPr>
        <w:rPr>
          <w:sz w:val="24"/>
          <w:szCs w:val="24"/>
          <w:lang w:eastAsia="ja-JP"/>
        </w:rPr>
      </w:pPr>
    </w:p>
    <w:p w14:paraId="2E0D8CEC" w14:textId="7A1F6148" w:rsidR="00673146" w:rsidRPr="00D532DA" w:rsidRDefault="00673146" w:rsidP="00673146">
      <w:pPr>
        <w:rPr>
          <w:sz w:val="24"/>
          <w:szCs w:val="24"/>
          <w:lang w:eastAsia="ja-JP"/>
        </w:rPr>
      </w:pPr>
      <w:r w:rsidRPr="00D532DA">
        <w:rPr>
          <w:b/>
          <w:bCs/>
          <w:sz w:val="24"/>
          <w:szCs w:val="24"/>
          <w:lang w:eastAsia="ja-JP"/>
        </w:rPr>
        <w:t>Fig. S3</w:t>
      </w:r>
      <w:r w:rsidRPr="00D532DA">
        <w:rPr>
          <w:sz w:val="24"/>
          <w:szCs w:val="24"/>
          <w:lang w:eastAsia="ja-JP"/>
        </w:rPr>
        <w:t xml:space="preserve"> Light-shade preference index of the Glomerales and non-Glomerales OTUs. The light-shade preference index of the OTUs was calculated by subtracting the occurrence of the OTU (number of the samples in which the OTU occurred) in the light treatment from that in the shade treatment in the combined dataset of the main and supporting experiments. Triangles represent average values. Welch's </w:t>
      </w:r>
      <w:r w:rsidRPr="00D532DA">
        <w:rPr>
          <w:i/>
          <w:iCs/>
          <w:sz w:val="24"/>
          <w:szCs w:val="24"/>
          <w:lang w:eastAsia="ja-JP"/>
        </w:rPr>
        <w:t>t</w:t>
      </w:r>
      <w:r w:rsidRPr="00D532DA">
        <w:rPr>
          <w:sz w:val="24"/>
          <w:szCs w:val="24"/>
          <w:lang w:eastAsia="ja-JP"/>
        </w:rPr>
        <w:t xml:space="preserve">-test was applied for the assessment of statistical significance: *, </w:t>
      </w:r>
      <w:r w:rsidRPr="00D532DA">
        <w:rPr>
          <w:i/>
          <w:iCs/>
          <w:sz w:val="24"/>
          <w:szCs w:val="24"/>
          <w:lang w:eastAsia="ja-JP"/>
        </w:rPr>
        <w:t>P</w:t>
      </w:r>
      <w:r w:rsidRPr="00D532DA">
        <w:rPr>
          <w:sz w:val="24"/>
          <w:szCs w:val="24"/>
          <w:lang w:eastAsia="ja-JP"/>
        </w:rPr>
        <w:t xml:space="preserve"> &lt; 0.05.</w:t>
      </w:r>
    </w:p>
    <w:p w14:paraId="3F0F0595" w14:textId="77777777" w:rsidR="004864B1" w:rsidRDefault="004864B1" w:rsidP="00683913">
      <w:pPr>
        <w:rPr>
          <w:sz w:val="24"/>
          <w:szCs w:val="24"/>
          <w:lang w:eastAsia="ja-JP"/>
        </w:rPr>
      </w:pPr>
    </w:p>
    <w:p w14:paraId="630C7B03" w14:textId="2B2B12E1" w:rsidR="00F95404" w:rsidRDefault="00F95404" w:rsidP="00683913">
      <w:pPr>
        <w:rPr>
          <w:sz w:val="24"/>
          <w:szCs w:val="24"/>
          <w:lang w:eastAsia="ja-JP"/>
        </w:rPr>
      </w:pPr>
      <w:r w:rsidRPr="00F95404">
        <w:rPr>
          <w:b/>
          <w:bCs/>
          <w:sz w:val="24"/>
          <w:szCs w:val="24"/>
          <w:lang w:eastAsia="ja-JP"/>
        </w:rPr>
        <w:t>Table S2</w:t>
      </w:r>
      <w:r w:rsidRPr="00F95404">
        <w:rPr>
          <w:sz w:val="24"/>
          <w:szCs w:val="24"/>
          <w:lang w:eastAsia="ja-JP"/>
        </w:rPr>
        <w:t>. SDR-simplex analysis on the OTU and genus distribution patterns of the combined dataset of the main and supporting experiments between the light and shaded conditions.</w:t>
      </w:r>
    </w:p>
    <w:p w14:paraId="0803DB6F" w14:textId="77777777" w:rsidR="00F95404" w:rsidRPr="00D532DA" w:rsidRDefault="00F95404" w:rsidP="00683913">
      <w:pPr>
        <w:rPr>
          <w:sz w:val="24"/>
          <w:szCs w:val="24"/>
          <w:lang w:eastAsia="ja-JP"/>
        </w:rPr>
      </w:pPr>
    </w:p>
    <w:p w14:paraId="3E55F6E0" w14:textId="340112B0" w:rsidR="004864B1" w:rsidRPr="00D532DA" w:rsidRDefault="004864B1" w:rsidP="00683913">
      <w:pPr>
        <w:rPr>
          <w:sz w:val="24"/>
          <w:szCs w:val="24"/>
          <w:lang w:eastAsia="ja-JP"/>
        </w:rPr>
      </w:pPr>
      <w:r w:rsidRPr="00D532DA">
        <w:rPr>
          <w:sz w:val="24"/>
          <w:szCs w:val="24"/>
          <w:lang w:eastAsia="ja-JP"/>
        </w:rPr>
        <w:lastRenderedPageBreak/>
        <w:t>2. Supplementa</w:t>
      </w:r>
      <w:r w:rsidR="009B2645" w:rsidRPr="00D532DA">
        <w:rPr>
          <w:sz w:val="24"/>
          <w:szCs w:val="24"/>
          <w:lang w:eastAsia="ja-JP"/>
        </w:rPr>
        <w:t>ry</w:t>
      </w:r>
      <w:r w:rsidRPr="00D532DA">
        <w:rPr>
          <w:sz w:val="24"/>
          <w:szCs w:val="24"/>
          <w:lang w:eastAsia="ja-JP"/>
        </w:rPr>
        <w:t xml:space="preserve"> material 2.xlsx</w:t>
      </w:r>
    </w:p>
    <w:p w14:paraId="02ECCFBD" w14:textId="6B5D761A" w:rsidR="004864B1" w:rsidRPr="00D532DA" w:rsidRDefault="004864B1" w:rsidP="00652108">
      <w:pPr>
        <w:rPr>
          <w:sz w:val="24"/>
          <w:szCs w:val="24"/>
          <w:lang w:eastAsia="ja-JP"/>
        </w:rPr>
      </w:pPr>
      <w:r w:rsidRPr="00D532DA">
        <w:rPr>
          <w:b/>
          <w:bCs/>
          <w:sz w:val="24"/>
          <w:szCs w:val="24"/>
          <w:lang w:eastAsia="ja-JP"/>
        </w:rPr>
        <w:t>Table S</w:t>
      </w:r>
      <w:r w:rsidR="009B2645" w:rsidRPr="00D532DA">
        <w:rPr>
          <w:b/>
          <w:bCs/>
          <w:sz w:val="24"/>
          <w:szCs w:val="24"/>
          <w:lang w:eastAsia="ja-JP"/>
        </w:rPr>
        <w:t>1</w:t>
      </w:r>
      <w:r w:rsidRPr="00D532DA">
        <w:rPr>
          <w:sz w:val="24"/>
          <w:szCs w:val="24"/>
          <w:lang w:eastAsia="ja-JP"/>
        </w:rPr>
        <w:t xml:space="preserve"> </w:t>
      </w:r>
      <w:r w:rsidR="009B2645" w:rsidRPr="00D532DA">
        <w:rPr>
          <w:sz w:val="24"/>
          <w:szCs w:val="24"/>
          <w:lang w:eastAsia="ja-JP"/>
        </w:rPr>
        <w:t>Number of sequence read assigned to AM fungal operational taxonomic unit (OTU)</w:t>
      </w:r>
      <w:r w:rsidR="009B2645" w:rsidRPr="00D532DA" w:rsidDel="009B2645">
        <w:rPr>
          <w:sz w:val="24"/>
          <w:szCs w:val="24"/>
          <w:lang w:eastAsia="ja-JP"/>
        </w:rPr>
        <w:t xml:space="preserve"> </w:t>
      </w:r>
    </w:p>
    <w:p w14:paraId="1F43208D" w14:textId="3846002F" w:rsidR="004864B1" w:rsidRPr="00D532DA" w:rsidRDefault="004864B1" w:rsidP="00652108">
      <w:pPr>
        <w:rPr>
          <w:sz w:val="24"/>
          <w:szCs w:val="24"/>
        </w:rPr>
      </w:pPr>
    </w:p>
    <w:sectPr w:rsidR="004864B1" w:rsidRPr="00D532DA" w:rsidSect="00263EA2">
      <w:footerReference w:type="default" r:id="rId8"/>
      <w:footerReference w:type="first" r:id="rId9"/>
      <w:pgSz w:w="12240" w:h="15840"/>
      <w:pgMar w:top="1134" w:right="1134" w:bottom="1134" w:left="1134"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F28A8F" w14:textId="77777777" w:rsidR="00384151" w:rsidRDefault="00384151" w:rsidP="00652108">
      <w:r>
        <w:separator/>
      </w:r>
    </w:p>
    <w:p w14:paraId="3BBA8D28" w14:textId="77777777" w:rsidR="00384151" w:rsidRDefault="00384151" w:rsidP="00652108"/>
  </w:endnote>
  <w:endnote w:type="continuationSeparator" w:id="0">
    <w:p w14:paraId="0CD4FADF" w14:textId="77777777" w:rsidR="00384151" w:rsidRDefault="00384151" w:rsidP="00652108">
      <w:r>
        <w:continuationSeparator/>
      </w:r>
    </w:p>
    <w:p w14:paraId="61A8FC53" w14:textId="77777777" w:rsidR="00384151" w:rsidRDefault="00384151" w:rsidP="006521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Yu Gothic"/>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2762950"/>
      <w:docPartObj>
        <w:docPartGallery w:val="Page Numbers (Bottom of Page)"/>
        <w:docPartUnique/>
      </w:docPartObj>
    </w:sdtPr>
    <w:sdtContent>
      <w:p w14:paraId="4C6D6BAD" w14:textId="35DCDD81" w:rsidR="00500223" w:rsidRDefault="00756F01" w:rsidP="00652108">
        <w:pPr>
          <w:pStyle w:val="Footer"/>
          <w:jc w:val="center"/>
        </w:pPr>
        <w:r>
          <w:fldChar w:fldCharType="begin"/>
        </w:r>
        <w:r>
          <w:instrText xml:space="preserve"> PAGE   \* MERGEFORMAT </w:instrText>
        </w:r>
        <w:r>
          <w:fldChar w:fldCharType="separate"/>
        </w:r>
        <w:r>
          <w:t>2</w:t>
        </w:r>
        <w:r>
          <w:fldChar w:fldCharType="end"/>
        </w:r>
      </w:p>
    </w:sdtContent>
  </w:sdt>
  <w:p w14:paraId="1CC89A60" w14:textId="77777777" w:rsidR="00500223" w:rsidRDefault="00500223" w:rsidP="006521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791E93" w14:textId="77777777" w:rsidR="00500223" w:rsidRDefault="00500223" w:rsidP="00652108">
    <w:pPr>
      <w:pStyle w:val="Footer"/>
    </w:pPr>
  </w:p>
  <w:p w14:paraId="0596A96C" w14:textId="77777777" w:rsidR="00500223" w:rsidRDefault="00500223" w:rsidP="006521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799FAF" w14:textId="77777777" w:rsidR="00384151" w:rsidRDefault="00384151" w:rsidP="00652108">
      <w:r>
        <w:separator/>
      </w:r>
    </w:p>
    <w:p w14:paraId="01EFBA65" w14:textId="77777777" w:rsidR="00384151" w:rsidRDefault="00384151" w:rsidP="00652108"/>
  </w:footnote>
  <w:footnote w:type="continuationSeparator" w:id="0">
    <w:p w14:paraId="5CA774FE" w14:textId="77777777" w:rsidR="00384151" w:rsidRDefault="00384151" w:rsidP="00652108">
      <w:r>
        <w:continuationSeparator/>
      </w:r>
    </w:p>
    <w:p w14:paraId="1F4026D7" w14:textId="77777777" w:rsidR="00384151" w:rsidRDefault="00384151" w:rsidP="006521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37083"/>
    <w:multiLevelType w:val="hybridMultilevel"/>
    <w:tmpl w:val="67440520"/>
    <w:lvl w:ilvl="0" w:tplc="3B4E932C">
      <w:start w:val="2"/>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7C1627"/>
    <w:multiLevelType w:val="hybridMultilevel"/>
    <w:tmpl w:val="A47EE00E"/>
    <w:lvl w:ilvl="0" w:tplc="B7D4E4FE">
      <w:start w:val="1"/>
      <w:numFmt w:val="bullet"/>
      <w:lvlText w:val=""/>
      <w:lvlJc w:val="left"/>
      <w:pPr>
        <w:ind w:left="1080" w:hanging="360"/>
      </w:pPr>
      <w:rPr>
        <w:rFonts w:ascii="Wingdings" w:eastAsiaTheme="minorEastAsia"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0D578A"/>
    <w:multiLevelType w:val="hybridMultilevel"/>
    <w:tmpl w:val="6A3A9514"/>
    <w:lvl w:ilvl="0" w:tplc="BCCA0244">
      <w:start w:val="1"/>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D10686"/>
    <w:multiLevelType w:val="hybridMultilevel"/>
    <w:tmpl w:val="BCCC811A"/>
    <w:lvl w:ilvl="0" w:tplc="A474A7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C763E70"/>
    <w:multiLevelType w:val="hybridMultilevel"/>
    <w:tmpl w:val="1AE64F3A"/>
    <w:lvl w:ilvl="0" w:tplc="ABFA17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C863492"/>
    <w:multiLevelType w:val="hybridMultilevel"/>
    <w:tmpl w:val="785CD6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C068CD"/>
    <w:multiLevelType w:val="hybridMultilevel"/>
    <w:tmpl w:val="68920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D81BBC"/>
    <w:multiLevelType w:val="hybridMultilevel"/>
    <w:tmpl w:val="5B6CCA00"/>
    <w:lvl w:ilvl="0" w:tplc="EEFE4BCA">
      <w:start w:val="1"/>
      <w:numFmt w:val="bullet"/>
      <w:lvlText w:val="-"/>
      <w:lvlJc w:val="left"/>
      <w:pPr>
        <w:tabs>
          <w:tab w:val="num" w:pos="720"/>
        </w:tabs>
        <w:ind w:left="720" w:hanging="360"/>
      </w:pPr>
      <w:rPr>
        <w:rFonts w:ascii="Times New Roman" w:hAnsi="Times New Roman" w:hint="default"/>
      </w:rPr>
    </w:lvl>
    <w:lvl w:ilvl="1" w:tplc="19BE0732" w:tentative="1">
      <w:start w:val="1"/>
      <w:numFmt w:val="bullet"/>
      <w:lvlText w:val="-"/>
      <w:lvlJc w:val="left"/>
      <w:pPr>
        <w:tabs>
          <w:tab w:val="num" w:pos="1440"/>
        </w:tabs>
        <w:ind w:left="1440" w:hanging="360"/>
      </w:pPr>
      <w:rPr>
        <w:rFonts w:ascii="Times New Roman" w:hAnsi="Times New Roman" w:hint="default"/>
      </w:rPr>
    </w:lvl>
    <w:lvl w:ilvl="2" w:tplc="429483BA" w:tentative="1">
      <w:start w:val="1"/>
      <w:numFmt w:val="bullet"/>
      <w:lvlText w:val="-"/>
      <w:lvlJc w:val="left"/>
      <w:pPr>
        <w:tabs>
          <w:tab w:val="num" w:pos="2160"/>
        </w:tabs>
        <w:ind w:left="2160" w:hanging="360"/>
      </w:pPr>
      <w:rPr>
        <w:rFonts w:ascii="Times New Roman" w:hAnsi="Times New Roman" w:hint="default"/>
      </w:rPr>
    </w:lvl>
    <w:lvl w:ilvl="3" w:tplc="E188D132" w:tentative="1">
      <w:start w:val="1"/>
      <w:numFmt w:val="bullet"/>
      <w:lvlText w:val="-"/>
      <w:lvlJc w:val="left"/>
      <w:pPr>
        <w:tabs>
          <w:tab w:val="num" w:pos="2880"/>
        </w:tabs>
        <w:ind w:left="2880" w:hanging="360"/>
      </w:pPr>
      <w:rPr>
        <w:rFonts w:ascii="Times New Roman" w:hAnsi="Times New Roman" w:hint="default"/>
      </w:rPr>
    </w:lvl>
    <w:lvl w:ilvl="4" w:tplc="FF202A4C" w:tentative="1">
      <w:start w:val="1"/>
      <w:numFmt w:val="bullet"/>
      <w:lvlText w:val="-"/>
      <w:lvlJc w:val="left"/>
      <w:pPr>
        <w:tabs>
          <w:tab w:val="num" w:pos="3600"/>
        </w:tabs>
        <w:ind w:left="3600" w:hanging="360"/>
      </w:pPr>
      <w:rPr>
        <w:rFonts w:ascii="Times New Roman" w:hAnsi="Times New Roman" w:hint="default"/>
      </w:rPr>
    </w:lvl>
    <w:lvl w:ilvl="5" w:tplc="154695D0" w:tentative="1">
      <w:start w:val="1"/>
      <w:numFmt w:val="bullet"/>
      <w:lvlText w:val="-"/>
      <w:lvlJc w:val="left"/>
      <w:pPr>
        <w:tabs>
          <w:tab w:val="num" w:pos="4320"/>
        </w:tabs>
        <w:ind w:left="4320" w:hanging="360"/>
      </w:pPr>
      <w:rPr>
        <w:rFonts w:ascii="Times New Roman" w:hAnsi="Times New Roman" w:hint="default"/>
      </w:rPr>
    </w:lvl>
    <w:lvl w:ilvl="6" w:tplc="D034E396" w:tentative="1">
      <w:start w:val="1"/>
      <w:numFmt w:val="bullet"/>
      <w:lvlText w:val="-"/>
      <w:lvlJc w:val="left"/>
      <w:pPr>
        <w:tabs>
          <w:tab w:val="num" w:pos="5040"/>
        </w:tabs>
        <w:ind w:left="5040" w:hanging="360"/>
      </w:pPr>
      <w:rPr>
        <w:rFonts w:ascii="Times New Roman" w:hAnsi="Times New Roman" w:hint="default"/>
      </w:rPr>
    </w:lvl>
    <w:lvl w:ilvl="7" w:tplc="74683F78" w:tentative="1">
      <w:start w:val="1"/>
      <w:numFmt w:val="bullet"/>
      <w:lvlText w:val="-"/>
      <w:lvlJc w:val="left"/>
      <w:pPr>
        <w:tabs>
          <w:tab w:val="num" w:pos="5760"/>
        </w:tabs>
        <w:ind w:left="5760" w:hanging="360"/>
      </w:pPr>
      <w:rPr>
        <w:rFonts w:ascii="Times New Roman" w:hAnsi="Times New Roman" w:hint="default"/>
      </w:rPr>
    </w:lvl>
    <w:lvl w:ilvl="8" w:tplc="2E8AB29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5DC147E"/>
    <w:multiLevelType w:val="hybridMultilevel"/>
    <w:tmpl w:val="46245FEE"/>
    <w:lvl w:ilvl="0" w:tplc="C9729F72">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325EB8"/>
    <w:multiLevelType w:val="hybridMultilevel"/>
    <w:tmpl w:val="BCE8BE9A"/>
    <w:lvl w:ilvl="0" w:tplc="390015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8094A6A"/>
    <w:multiLevelType w:val="hybridMultilevel"/>
    <w:tmpl w:val="8910CE52"/>
    <w:lvl w:ilvl="0" w:tplc="77AEBDDE">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4D6F47"/>
    <w:multiLevelType w:val="hybridMultilevel"/>
    <w:tmpl w:val="A60A3E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591E48"/>
    <w:multiLevelType w:val="hybridMultilevel"/>
    <w:tmpl w:val="CB04E3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C969A5"/>
    <w:multiLevelType w:val="hybridMultilevel"/>
    <w:tmpl w:val="AC9AFE6A"/>
    <w:lvl w:ilvl="0" w:tplc="F5BCCBF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CC3EDB"/>
    <w:multiLevelType w:val="hybridMultilevel"/>
    <w:tmpl w:val="1206C2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743C8B"/>
    <w:multiLevelType w:val="multilevel"/>
    <w:tmpl w:val="9FFAD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D536F4"/>
    <w:multiLevelType w:val="hybridMultilevel"/>
    <w:tmpl w:val="4394D2E8"/>
    <w:lvl w:ilvl="0" w:tplc="883E16FC">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C64884"/>
    <w:multiLevelType w:val="hybridMultilevel"/>
    <w:tmpl w:val="39F6F6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7D7AAA"/>
    <w:multiLevelType w:val="hybridMultilevel"/>
    <w:tmpl w:val="CFC2036A"/>
    <w:lvl w:ilvl="0" w:tplc="07EA198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ED73DF"/>
    <w:multiLevelType w:val="hybridMultilevel"/>
    <w:tmpl w:val="7ACC5702"/>
    <w:lvl w:ilvl="0" w:tplc="323214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9E468E5"/>
    <w:multiLevelType w:val="hybridMultilevel"/>
    <w:tmpl w:val="321A8282"/>
    <w:lvl w:ilvl="0" w:tplc="F2EE402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9248142">
    <w:abstractNumId w:val="11"/>
  </w:num>
  <w:num w:numId="2" w16cid:durableId="1212621225">
    <w:abstractNumId w:val="3"/>
  </w:num>
  <w:num w:numId="3" w16cid:durableId="1786122569">
    <w:abstractNumId w:val="2"/>
  </w:num>
  <w:num w:numId="4" w16cid:durableId="456610562">
    <w:abstractNumId w:val="0"/>
  </w:num>
  <w:num w:numId="5" w16cid:durableId="1435780241">
    <w:abstractNumId w:val="9"/>
  </w:num>
  <w:num w:numId="6" w16cid:durableId="1175268379">
    <w:abstractNumId w:val="13"/>
  </w:num>
  <w:num w:numId="7" w16cid:durableId="1952280430">
    <w:abstractNumId w:val="14"/>
  </w:num>
  <w:num w:numId="8" w16cid:durableId="467673602">
    <w:abstractNumId w:val="12"/>
  </w:num>
  <w:num w:numId="9" w16cid:durableId="805658266">
    <w:abstractNumId w:val="20"/>
  </w:num>
  <w:num w:numId="10" w16cid:durableId="903102917">
    <w:abstractNumId w:val="4"/>
  </w:num>
  <w:num w:numId="11" w16cid:durableId="788816424">
    <w:abstractNumId w:val="19"/>
  </w:num>
  <w:num w:numId="12" w16cid:durableId="1348095435">
    <w:abstractNumId w:val="17"/>
  </w:num>
  <w:num w:numId="13" w16cid:durableId="1741756255">
    <w:abstractNumId w:val="15"/>
  </w:num>
  <w:num w:numId="14" w16cid:durableId="817183605">
    <w:abstractNumId w:val="5"/>
  </w:num>
  <w:num w:numId="15" w16cid:durableId="1033727768">
    <w:abstractNumId w:val="10"/>
  </w:num>
  <w:num w:numId="16" w16cid:durableId="1913617138">
    <w:abstractNumId w:val="1"/>
  </w:num>
  <w:num w:numId="17" w16cid:durableId="1670257027">
    <w:abstractNumId w:val="8"/>
  </w:num>
  <w:num w:numId="18" w16cid:durableId="550308113">
    <w:abstractNumId w:val="18"/>
  </w:num>
  <w:num w:numId="19" w16cid:durableId="1352339744">
    <w:abstractNumId w:val="6"/>
  </w:num>
  <w:num w:numId="20" w16cid:durableId="1683126979">
    <w:abstractNumId w:val="7"/>
  </w:num>
  <w:num w:numId="21" w16cid:durableId="62573855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8E8"/>
    <w:rsid w:val="00000B2D"/>
    <w:rsid w:val="000012F1"/>
    <w:rsid w:val="00001BE3"/>
    <w:rsid w:val="0000292C"/>
    <w:rsid w:val="0000346C"/>
    <w:rsid w:val="00005A11"/>
    <w:rsid w:val="000061B4"/>
    <w:rsid w:val="00006CC3"/>
    <w:rsid w:val="00006E93"/>
    <w:rsid w:val="00007883"/>
    <w:rsid w:val="00010175"/>
    <w:rsid w:val="000113B8"/>
    <w:rsid w:val="00011981"/>
    <w:rsid w:val="00011B1B"/>
    <w:rsid w:val="0001395E"/>
    <w:rsid w:val="00013AC8"/>
    <w:rsid w:val="00013CFD"/>
    <w:rsid w:val="00013D26"/>
    <w:rsid w:val="000142F9"/>
    <w:rsid w:val="00015371"/>
    <w:rsid w:val="000153A8"/>
    <w:rsid w:val="000157AF"/>
    <w:rsid w:val="0001602C"/>
    <w:rsid w:val="00017097"/>
    <w:rsid w:val="0002027B"/>
    <w:rsid w:val="00020980"/>
    <w:rsid w:val="00020EDA"/>
    <w:rsid w:val="000212BB"/>
    <w:rsid w:val="000215D2"/>
    <w:rsid w:val="00021ECF"/>
    <w:rsid w:val="00022CB7"/>
    <w:rsid w:val="00023058"/>
    <w:rsid w:val="000232B9"/>
    <w:rsid w:val="00024CE7"/>
    <w:rsid w:val="000255F8"/>
    <w:rsid w:val="000256D8"/>
    <w:rsid w:val="0002611A"/>
    <w:rsid w:val="00026B9C"/>
    <w:rsid w:val="00026D31"/>
    <w:rsid w:val="000312A4"/>
    <w:rsid w:val="00032883"/>
    <w:rsid w:val="00033169"/>
    <w:rsid w:val="0003342D"/>
    <w:rsid w:val="00033D65"/>
    <w:rsid w:val="00034A55"/>
    <w:rsid w:val="00035043"/>
    <w:rsid w:val="00035348"/>
    <w:rsid w:val="000359A0"/>
    <w:rsid w:val="0003689C"/>
    <w:rsid w:val="00036FB4"/>
    <w:rsid w:val="00037319"/>
    <w:rsid w:val="00041008"/>
    <w:rsid w:val="00041B0D"/>
    <w:rsid w:val="00042CFE"/>
    <w:rsid w:val="00043F79"/>
    <w:rsid w:val="0004412F"/>
    <w:rsid w:val="000442B3"/>
    <w:rsid w:val="000446D9"/>
    <w:rsid w:val="00044DD8"/>
    <w:rsid w:val="00047838"/>
    <w:rsid w:val="00047933"/>
    <w:rsid w:val="00047B5B"/>
    <w:rsid w:val="0005043E"/>
    <w:rsid w:val="00050900"/>
    <w:rsid w:val="00050B21"/>
    <w:rsid w:val="00050C2B"/>
    <w:rsid w:val="0005170C"/>
    <w:rsid w:val="00052C24"/>
    <w:rsid w:val="0005499B"/>
    <w:rsid w:val="00054E62"/>
    <w:rsid w:val="00057FFD"/>
    <w:rsid w:val="00061322"/>
    <w:rsid w:val="0006288D"/>
    <w:rsid w:val="00062BD0"/>
    <w:rsid w:val="00064605"/>
    <w:rsid w:val="000648A7"/>
    <w:rsid w:val="00064DB0"/>
    <w:rsid w:val="00064F0B"/>
    <w:rsid w:val="0006500C"/>
    <w:rsid w:val="00066D04"/>
    <w:rsid w:val="000670F5"/>
    <w:rsid w:val="00067150"/>
    <w:rsid w:val="000679F1"/>
    <w:rsid w:val="00070004"/>
    <w:rsid w:val="0007125B"/>
    <w:rsid w:val="000712AE"/>
    <w:rsid w:val="000714A7"/>
    <w:rsid w:val="000718C5"/>
    <w:rsid w:val="000721BE"/>
    <w:rsid w:val="000723B9"/>
    <w:rsid w:val="00074189"/>
    <w:rsid w:val="00074604"/>
    <w:rsid w:val="0007515D"/>
    <w:rsid w:val="0007552C"/>
    <w:rsid w:val="00075CDB"/>
    <w:rsid w:val="00076E34"/>
    <w:rsid w:val="0007729A"/>
    <w:rsid w:val="00077FE7"/>
    <w:rsid w:val="00080AFD"/>
    <w:rsid w:val="00081C7C"/>
    <w:rsid w:val="00083250"/>
    <w:rsid w:val="00083664"/>
    <w:rsid w:val="00083967"/>
    <w:rsid w:val="0008526F"/>
    <w:rsid w:val="00085D74"/>
    <w:rsid w:val="00085F48"/>
    <w:rsid w:val="00086266"/>
    <w:rsid w:val="000871E2"/>
    <w:rsid w:val="000878AF"/>
    <w:rsid w:val="00090A4B"/>
    <w:rsid w:val="000914F9"/>
    <w:rsid w:val="00091E36"/>
    <w:rsid w:val="00092350"/>
    <w:rsid w:val="00092AA7"/>
    <w:rsid w:val="00092F1D"/>
    <w:rsid w:val="000945F5"/>
    <w:rsid w:val="000954E7"/>
    <w:rsid w:val="0009554E"/>
    <w:rsid w:val="00095B48"/>
    <w:rsid w:val="00097A75"/>
    <w:rsid w:val="00097EDC"/>
    <w:rsid w:val="000A0E39"/>
    <w:rsid w:val="000A1212"/>
    <w:rsid w:val="000A1384"/>
    <w:rsid w:val="000A169E"/>
    <w:rsid w:val="000A3F59"/>
    <w:rsid w:val="000A42BA"/>
    <w:rsid w:val="000A42F9"/>
    <w:rsid w:val="000A43B3"/>
    <w:rsid w:val="000A546E"/>
    <w:rsid w:val="000A5517"/>
    <w:rsid w:val="000A568A"/>
    <w:rsid w:val="000A6645"/>
    <w:rsid w:val="000A6EF1"/>
    <w:rsid w:val="000A74EB"/>
    <w:rsid w:val="000A7B10"/>
    <w:rsid w:val="000A7CCA"/>
    <w:rsid w:val="000B110B"/>
    <w:rsid w:val="000B12D4"/>
    <w:rsid w:val="000B21FA"/>
    <w:rsid w:val="000B23BD"/>
    <w:rsid w:val="000B2423"/>
    <w:rsid w:val="000B2525"/>
    <w:rsid w:val="000B41D6"/>
    <w:rsid w:val="000B534E"/>
    <w:rsid w:val="000B5B27"/>
    <w:rsid w:val="000C1D51"/>
    <w:rsid w:val="000C1FB2"/>
    <w:rsid w:val="000C3588"/>
    <w:rsid w:val="000C3A8F"/>
    <w:rsid w:val="000C3EE5"/>
    <w:rsid w:val="000C5A55"/>
    <w:rsid w:val="000C62BB"/>
    <w:rsid w:val="000C67CF"/>
    <w:rsid w:val="000C739B"/>
    <w:rsid w:val="000C7E00"/>
    <w:rsid w:val="000D0329"/>
    <w:rsid w:val="000D09D8"/>
    <w:rsid w:val="000D1843"/>
    <w:rsid w:val="000D2409"/>
    <w:rsid w:val="000D2C75"/>
    <w:rsid w:val="000D3866"/>
    <w:rsid w:val="000D4134"/>
    <w:rsid w:val="000D456A"/>
    <w:rsid w:val="000D521F"/>
    <w:rsid w:val="000D568D"/>
    <w:rsid w:val="000D577E"/>
    <w:rsid w:val="000D69CB"/>
    <w:rsid w:val="000D6EF1"/>
    <w:rsid w:val="000D782B"/>
    <w:rsid w:val="000D79EE"/>
    <w:rsid w:val="000D7B2B"/>
    <w:rsid w:val="000E1C52"/>
    <w:rsid w:val="000E2850"/>
    <w:rsid w:val="000E2B5D"/>
    <w:rsid w:val="000E2EB7"/>
    <w:rsid w:val="000E324A"/>
    <w:rsid w:val="000E50CD"/>
    <w:rsid w:val="000E53EA"/>
    <w:rsid w:val="000E5469"/>
    <w:rsid w:val="000E5CC7"/>
    <w:rsid w:val="000E5FAA"/>
    <w:rsid w:val="000E66DD"/>
    <w:rsid w:val="000F0BF2"/>
    <w:rsid w:val="000F2904"/>
    <w:rsid w:val="000F2969"/>
    <w:rsid w:val="000F2AFB"/>
    <w:rsid w:val="000F2B19"/>
    <w:rsid w:val="000F3FD0"/>
    <w:rsid w:val="000F4674"/>
    <w:rsid w:val="000F503D"/>
    <w:rsid w:val="000F5184"/>
    <w:rsid w:val="000F637D"/>
    <w:rsid w:val="000F6C3E"/>
    <w:rsid w:val="000F7158"/>
    <w:rsid w:val="000F765C"/>
    <w:rsid w:val="000F799E"/>
    <w:rsid w:val="0010058D"/>
    <w:rsid w:val="00100642"/>
    <w:rsid w:val="00100E06"/>
    <w:rsid w:val="001030B5"/>
    <w:rsid w:val="00104998"/>
    <w:rsid w:val="00104BB7"/>
    <w:rsid w:val="00104E86"/>
    <w:rsid w:val="00105ECE"/>
    <w:rsid w:val="001061D0"/>
    <w:rsid w:val="00106564"/>
    <w:rsid w:val="001067C0"/>
    <w:rsid w:val="00106AB4"/>
    <w:rsid w:val="00106BAE"/>
    <w:rsid w:val="0010716D"/>
    <w:rsid w:val="0010728F"/>
    <w:rsid w:val="001075E0"/>
    <w:rsid w:val="00107936"/>
    <w:rsid w:val="00107C07"/>
    <w:rsid w:val="00107F76"/>
    <w:rsid w:val="001119CD"/>
    <w:rsid w:val="001131AF"/>
    <w:rsid w:val="00114031"/>
    <w:rsid w:val="00115A35"/>
    <w:rsid w:val="0011671A"/>
    <w:rsid w:val="00116C00"/>
    <w:rsid w:val="00120044"/>
    <w:rsid w:val="00120E6C"/>
    <w:rsid w:val="00121062"/>
    <w:rsid w:val="00121ACE"/>
    <w:rsid w:val="00122E94"/>
    <w:rsid w:val="0012346C"/>
    <w:rsid w:val="00123E79"/>
    <w:rsid w:val="00124383"/>
    <w:rsid w:val="00127903"/>
    <w:rsid w:val="00130321"/>
    <w:rsid w:val="001304F6"/>
    <w:rsid w:val="00130FCA"/>
    <w:rsid w:val="00131273"/>
    <w:rsid w:val="001313E6"/>
    <w:rsid w:val="00131B1E"/>
    <w:rsid w:val="00131C91"/>
    <w:rsid w:val="001321CB"/>
    <w:rsid w:val="001328A2"/>
    <w:rsid w:val="00133714"/>
    <w:rsid w:val="00134165"/>
    <w:rsid w:val="001346A6"/>
    <w:rsid w:val="00134FD0"/>
    <w:rsid w:val="00135358"/>
    <w:rsid w:val="0013546A"/>
    <w:rsid w:val="0013643A"/>
    <w:rsid w:val="001365C9"/>
    <w:rsid w:val="00136966"/>
    <w:rsid w:val="0013699D"/>
    <w:rsid w:val="00137592"/>
    <w:rsid w:val="00140C20"/>
    <w:rsid w:val="001419AC"/>
    <w:rsid w:val="00141F45"/>
    <w:rsid w:val="0014211E"/>
    <w:rsid w:val="0014222D"/>
    <w:rsid w:val="001424E4"/>
    <w:rsid w:val="00142781"/>
    <w:rsid w:val="0014312D"/>
    <w:rsid w:val="001433E3"/>
    <w:rsid w:val="001436BF"/>
    <w:rsid w:val="001440FB"/>
    <w:rsid w:val="00144E11"/>
    <w:rsid w:val="00145CBB"/>
    <w:rsid w:val="001463D0"/>
    <w:rsid w:val="001466DC"/>
    <w:rsid w:val="00146ECC"/>
    <w:rsid w:val="001474D6"/>
    <w:rsid w:val="0014764C"/>
    <w:rsid w:val="0014765B"/>
    <w:rsid w:val="00147F0B"/>
    <w:rsid w:val="00150C3D"/>
    <w:rsid w:val="00150D8D"/>
    <w:rsid w:val="00152392"/>
    <w:rsid w:val="00152D70"/>
    <w:rsid w:val="00152D7A"/>
    <w:rsid w:val="0015351F"/>
    <w:rsid w:val="0015374F"/>
    <w:rsid w:val="0015421E"/>
    <w:rsid w:val="001544EB"/>
    <w:rsid w:val="00154734"/>
    <w:rsid w:val="00155051"/>
    <w:rsid w:val="00155CC7"/>
    <w:rsid w:val="001569EE"/>
    <w:rsid w:val="00156D1A"/>
    <w:rsid w:val="00157046"/>
    <w:rsid w:val="0015762F"/>
    <w:rsid w:val="001576B3"/>
    <w:rsid w:val="001604BF"/>
    <w:rsid w:val="00161B17"/>
    <w:rsid w:val="00162FB8"/>
    <w:rsid w:val="001639DF"/>
    <w:rsid w:val="00164273"/>
    <w:rsid w:val="001642F7"/>
    <w:rsid w:val="00165742"/>
    <w:rsid w:val="00165AA1"/>
    <w:rsid w:val="001666AD"/>
    <w:rsid w:val="00166FC8"/>
    <w:rsid w:val="00167523"/>
    <w:rsid w:val="00170083"/>
    <w:rsid w:val="001701DA"/>
    <w:rsid w:val="00170DC9"/>
    <w:rsid w:val="00171E7F"/>
    <w:rsid w:val="00171EDF"/>
    <w:rsid w:val="00171FA6"/>
    <w:rsid w:val="0017208B"/>
    <w:rsid w:val="0017366B"/>
    <w:rsid w:val="00174665"/>
    <w:rsid w:val="00174828"/>
    <w:rsid w:val="00174FCD"/>
    <w:rsid w:val="001755E1"/>
    <w:rsid w:val="00176CCB"/>
    <w:rsid w:val="00176F32"/>
    <w:rsid w:val="0017714D"/>
    <w:rsid w:val="001779E8"/>
    <w:rsid w:val="00180B74"/>
    <w:rsid w:val="00181040"/>
    <w:rsid w:val="00182A21"/>
    <w:rsid w:val="00183C07"/>
    <w:rsid w:val="00184D56"/>
    <w:rsid w:val="00184E65"/>
    <w:rsid w:val="00184EFB"/>
    <w:rsid w:val="00184F0B"/>
    <w:rsid w:val="00185165"/>
    <w:rsid w:val="001852C2"/>
    <w:rsid w:val="0018549C"/>
    <w:rsid w:val="001857BA"/>
    <w:rsid w:val="00187B12"/>
    <w:rsid w:val="00187CA5"/>
    <w:rsid w:val="00187DD4"/>
    <w:rsid w:val="00190089"/>
    <w:rsid w:val="0019051F"/>
    <w:rsid w:val="0019068C"/>
    <w:rsid w:val="00190CF9"/>
    <w:rsid w:val="0019156E"/>
    <w:rsid w:val="00192D70"/>
    <w:rsid w:val="00192E24"/>
    <w:rsid w:val="00192EF3"/>
    <w:rsid w:val="001972ED"/>
    <w:rsid w:val="001A04CB"/>
    <w:rsid w:val="001A0A70"/>
    <w:rsid w:val="001A0C21"/>
    <w:rsid w:val="001A0C2B"/>
    <w:rsid w:val="001A0ED8"/>
    <w:rsid w:val="001A1B86"/>
    <w:rsid w:val="001A3EE0"/>
    <w:rsid w:val="001A451C"/>
    <w:rsid w:val="001A4CCE"/>
    <w:rsid w:val="001A4E95"/>
    <w:rsid w:val="001A5529"/>
    <w:rsid w:val="001A5E5E"/>
    <w:rsid w:val="001A60F4"/>
    <w:rsid w:val="001A64EF"/>
    <w:rsid w:val="001A6E80"/>
    <w:rsid w:val="001B055C"/>
    <w:rsid w:val="001B083E"/>
    <w:rsid w:val="001B089F"/>
    <w:rsid w:val="001B11F5"/>
    <w:rsid w:val="001B159A"/>
    <w:rsid w:val="001B20C9"/>
    <w:rsid w:val="001B388E"/>
    <w:rsid w:val="001B4C7B"/>
    <w:rsid w:val="001B4CDF"/>
    <w:rsid w:val="001B4D25"/>
    <w:rsid w:val="001B4E5E"/>
    <w:rsid w:val="001B50DE"/>
    <w:rsid w:val="001B5CB0"/>
    <w:rsid w:val="001B5D2B"/>
    <w:rsid w:val="001B69C3"/>
    <w:rsid w:val="001B6E3E"/>
    <w:rsid w:val="001C0DAA"/>
    <w:rsid w:val="001C1DEC"/>
    <w:rsid w:val="001C26BA"/>
    <w:rsid w:val="001C2827"/>
    <w:rsid w:val="001C3221"/>
    <w:rsid w:val="001C37DF"/>
    <w:rsid w:val="001C3E8F"/>
    <w:rsid w:val="001C4590"/>
    <w:rsid w:val="001C4EDC"/>
    <w:rsid w:val="001C5C2A"/>
    <w:rsid w:val="001D03D4"/>
    <w:rsid w:val="001D0484"/>
    <w:rsid w:val="001D0788"/>
    <w:rsid w:val="001D1605"/>
    <w:rsid w:val="001D1B23"/>
    <w:rsid w:val="001D2BF8"/>
    <w:rsid w:val="001D3832"/>
    <w:rsid w:val="001D3A5E"/>
    <w:rsid w:val="001D3BDA"/>
    <w:rsid w:val="001D40AF"/>
    <w:rsid w:val="001D412F"/>
    <w:rsid w:val="001D4506"/>
    <w:rsid w:val="001D52D4"/>
    <w:rsid w:val="001D5CD8"/>
    <w:rsid w:val="001D5DD9"/>
    <w:rsid w:val="001D5F5A"/>
    <w:rsid w:val="001D6AC9"/>
    <w:rsid w:val="001D77A2"/>
    <w:rsid w:val="001D7A8D"/>
    <w:rsid w:val="001D7E0D"/>
    <w:rsid w:val="001E0156"/>
    <w:rsid w:val="001E0168"/>
    <w:rsid w:val="001E0236"/>
    <w:rsid w:val="001E0810"/>
    <w:rsid w:val="001E136D"/>
    <w:rsid w:val="001E3482"/>
    <w:rsid w:val="001E4330"/>
    <w:rsid w:val="001E4E30"/>
    <w:rsid w:val="001E4FB2"/>
    <w:rsid w:val="001E6832"/>
    <w:rsid w:val="001E6870"/>
    <w:rsid w:val="001F0008"/>
    <w:rsid w:val="001F217D"/>
    <w:rsid w:val="001F2193"/>
    <w:rsid w:val="001F2F48"/>
    <w:rsid w:val="001F4143"/>
    <w:rsid w:val="001F5028"/>
    <w:rsid w:val="001F5154"/>
    <w:rsid w:val="001F5A35"/>
    <w:rsid w:val="001F628B"/>
    <w:rsid w:val="001F6C8C"/>
    <w:rsid w:val="001F7175"/>
    <w:rsid w:val="001F7A1B"/>
    <w:rsid w:val="001F7CDD"/>
    <w:rsid w:val="001F7E78"/>
    <w:rsid w:val="00200655"/>
    <w:rsid w:val="00200FC0"/>
    <w:rsid w:val="0020135E"/>
    <w:rsid w:val="002013C9"/>
    <w:rsid w:val="00201804"/>
    <w:rsid w:val="00201B32"/>
    <w:rsid w:val="00201C0F"/>
    <w:rsid w:val="00201EB9"/>
    <w:rsid w:val="00203039"/>
    <w:rsid w:val="00203C33"/>
    <w:rsid w:val="00203D0D"/>
    <w:rsid w:val="00203FF0"/>
    <w:rsid w:val="00204B19"/>
    <w:rsid w:val="002058D5"/>
    <w:rsid w:val="00206282"/>
    <w:rsid w:val="0020659B"/>
    <w:rsid w:val="00206AD1"/>
    <w:rsid w:val="00206C82"/>
    <w:rsid w:val="00206E38"/>
    <w:rsid w:val="00206FE0"/>
    <w:rsid w:val="0020745C"/>
    <w:rsid w:val="002075FD"/>
    <w:rsid w:val="00210259"/>
    <w:rsid w:val="00210826"/>
    <w:rsid w:val="002108CA"/>
    <w:rsid w:val="00210D12"/>
    <w:rsid w:val="00211803"/>
    <w:rsid w:val="00211BFF"/>
    <w:rsid w:val="00213401"/>
    <w:rsid w:val="0021452C"/>
    <w:rsid w:val="00214619"/>
    <w:rsid w:val="00215512"/>
    <w:rsid w:val="002156B1"/>
    <w:rsid w:val="00215C08"/>
    <w:rsid w:val="002162B7"/>
    <w:rsid w:val="002173EF"/>
    <w:rsid w:val="0021777A"/>
    <w:rsid w:val="00217843"/>
    <w:rsid w:val="00217CEB"/>
    <w:rsid w:val="00217E9C"/>
    <w:rsid w:val="002205B4"/>
    <w:rsid w:val="00220C91"/>
    <w:rsid w:val="0022139C"/>
    <w:rsid w:val="002219EB"/>
    <w:rsid w:val="00221C08"/>
    <w:rsid w:val="0022296F"/>
    <w:rsid w:val="002236A9"/>
    <w:rsid w:val="00223771"/>
    <w:rsid w:val="00223CF9"/>
    <w:rsid w:val="00224F84"/>
    <w:rsid w:val="0022581E"/>
    <w:rsid w:val="0022676A"/>
    <w:rsid w:val="0022696E"/>
    <w:rsid w:val="00226B73"/>
    <w:rsid w:val="00227CC0"/>
    <w:rsid w:val="002304BE"/>
    <w:rsid w:val="00230B60"/>
    <w:rsid w:val="002311AE"/>
    <w:rsid w:val="0023229B"/>
    <w:rsid w:val="00232FB5"/>
    <w:rsid w:val="00236E79"/>
    <w:rsid w:val="002370DB"/>
    <w:rsid w:val="00237F6C"/>
    <w:rsid w:val="00240249"/>
    <w:rsid w:val="00240622"/>
    <w:rsid w:val="002408A5"/>
    <w:rsid w:val="002412B7"/>
    <w:rsid w:val="00241B55"/>
    <w:rsid w:val="00241FA8"/>
    <w:rsid w:val="00243A2B"/>
    <w:rsid w:val="00244D5E"/>
    <w:rsid w:val="00244EC4"/>
    <w:rsid w:val="002453A4"/>
    <w:rsid w:val="00245DA8"/>
    <w:rsid w:val="00246CF9"/>
    <w:rsid w:val="00247812"/>
    <w:rsid w:val="0024787A"/>
    <w:rsid w:val="002507F5"/>
    <w:rsid w:val="0025181C"/>
    <w:rsid w:val="0025224B"/>
    <w:rsid w:val="002533E2"/>
    <w:rsid w:val="00253D2D"/>
    <w:rsid w:val="0025453F"/>
    <w:rsid w:val="0025530D"/>
    <w:rsid w:val="002554F8"/>
    <w:rsid w:val="00256425"/>
    <w:rsid w:val="00256653"/>
    <w:rsid w:val="00256E59"/>
    <w:rsid w:val="0025750F"/>
    <w:rsid w:val="00260860"/>
    <w:rsid w:val="002631B4"/>
    <w:rsid w:val="00263312"/>
    <w:rsid w:val="00263EA2"/>
    <w:rsid w:val="00264F51"/>
    <w:rsid w:val="00265601"/>
    <w:rsid w:val="00265A2C"/>
    <w:rsid w:val="002669E2"/>
    <w:rsid w:val="002670B4"/>
    <w:rsid w:val="00267142"/>
    <w:rsid w:val="002677AC"/>
    <w:rsid w:val="00267A16"/>
    <w:rsid w:val="002704FA"/>
    <w:rsid w:val="002718B1"/>
    <w:rsid w:val="00272494"/>
    <w:rsid w:val="00273753"/>
    <w:rsid w:val="00274929"/>
    <w:rsid w:val="00274DE6"/>
    <w:rsid w:val="002750DA"/>
    <w:rsid w:val="00275472"/>
    <w:rsid w:val="002758C8"/>
    <w:rsid w:val="002765AA"/>
    <w:rsid w:val="0027663B"/>
    <w:rsid w:val="0027669F"/>
    <w:rsid w:val="00276995"/>
    <w:rsid w:val="00277A5A"/>
    <w:rsid w:val="00277D2B"/>
    <w:rsid w:val="002805DC"/>
    <w:rsid w:val="00280B08"/>
    <w:rsid w:val="00280BE5"/>
    <w:rsid w:val="00281EE0"/>
    <w:rsid w:val="00282036"/>
    <w:rsid w:val="002834DF"/>
    <w:rsid w:val="00283DA6"/>
    <w:rsid w:val="002844FD"/>
    <w:rsid w:val="00284C0D"/>
    <w:rsid w:val="00286B5B"/>
    <w:rsid w:val="00286E6E"/>
    <w:rsid w:val="00286EAB"/>
    <w:rsid w:val="002872FE"/>
    <w:rsid w:val="00287371"/>
    <w:rsid w:val="00287C8B"/>
    <w:rsid w:val="00290509"/>
    <w:rsid w:val="0029157A"/>
    <w:rsid w:val="00292E51"/>
    <w:rsid w:val="002939AF"/>
    <w:rsid w:val="0029576E"/>
    <w:rsid w:val="00295EF0"/>
    <w:rsid w:val="00296A3E"/>
    <w:rsid w:val="00297009"/>
    <w:rsid w:val="002A03B4"/>
    <w:rsid w:val="002A1333"/>
    <w:rsid w:val="002A1C45"/>
    <w:rsid w:val="002A2CF3"/>
    <w:rsid w:val="002A3056"/>
    <w:rsid w:val="002A403D"/>
    <w:rsid w:val="002A44E2"/>
    <w:rsid w:val="002A498D"/>
    <w:rsid w:val="002A4C78"/>
    <w:rsid w:val="002A5A50"/>
    <w:rsid w:val="002A5E98"/>
    <w:rsid w:val="002A6231"/>
    <w:rsid w:val="002A67F8"/>
    <w:rsid w:val="002B02E8"/>
    <w:rsid w:val="002B06CE"/>
    <w:rsid w:val="002B0AFC"/>
    <w:rsid w:val="002B0FD4"/>
    <w:rsid w:val="002B2363"/>
    <w:rsid w:val="002B2669"/>
    <w:rsid w:val="002B29C1"/>
    <w:rsid w:val="002B38B4"/>
    <w:rsid w:val="002B3D6D"/>
    <w:rsid w:val="002B4E4F"/>
    <w:rsid w:val="002B687C"/>
    <w:rsid w:val="002B7AD3"/>
    <w:rsid w:val="002B7C17"/>
    <w:rsid w:val="002B7E2C"/>
    <w:rsid w:val="002C0484"/>
    <w:rsid w:val="002C07CD"/>
    <w:rsid w:val="002C268C"/>
    <w:rsid w:val="002C3F26"/>
    <w:rsid w:val="002C6539"/>
    <w:rsid w:val="002C65CF"/>
    <w:rsid w:val="002C70EB"/>
    <w:rsid w:val="002C74AA"/>
    <w:rsid w:val="002D0E35"/>
    <w:rsid w:val="002D235F"/>
    <w:rsid w:val="002D441A"/>
    <w:rsid w:val="002D44FF"/>
    <w:rsid w:val="002D4F2E"/>
    <w:rsid w:val="002D500D"/>
    <w:rsid w:val="002D51CE"/>
    <w:rsid w:val="002D58FC"/>
    <w:rsid w:val="002D5BD1"/>
    <w:rsid w:val="002D7C6A"/>
    <w:rsid w:val="002D7ECB"/>
    <w:rsid w:val="002E0336"/>
    <w:rsid w:val="002E04A6"/>
    <w:rsid w:val="002E09B5"/>
    <w:rsid w:val="002E0E4F"/>
    <w:rsid w:val="002E17C3"/>
    <w:rsid w:val="002E2080"/>
    <w:rsid w:val="002E2396"/>
    <w:rsid w:val="002E2730"/>
    <w:rsid w:val="002E2C46"/>
    <w:rsid w:val="002E3C62"/>
    <w:rsid w:val="002E5144"/>
    <w:rsid w:val="002E56E7"/>
    <w:rsid w:val="002E60CD"/>
    <w:rsid w:val="002E67FA"/>
    <w:rsid w:val="002E6CBF"/>
    <w:rsid w:val="002E7E6E"/>
    <w:rsid w:val="002F0D0E"/>
    <w:rsid w:val="002F0F75"/>
    <w:rsid w:val="002F184C"/>
    <w:rsid w:val="002F231A"/>
    <w:rsid w:val="002F2D83"/>
    <w:rsid w:val="002F3D3F"/>
    <w:rsid w:val="002F4E80"/>
    <w:rsid w:val="002F58B9"/>
    <w:rsid w:val="002F71AD"/>
    <w:rsid w:val="00300350"/>
    <w:rsid w:val="0030064D"/>
    <w:rsid w:val="00300A22"/>
    <w:rsid w:val="003013D4"/>
    <w:rsid w:val="00302F23"/>
    <w:rsid w:val="003035BF"/>
    <w:rsid w:val="00304775"/>
    <w:rsid w:val="00304ACE"/>
    <w:rsid w:val="00304C7B"/>
    <w:rsid w:val="00305849"/>
    <w:rsid w:val="00305F66"/>
    <w:rsid w:val="00305F72"/>
    <w:rsid w:val="00305F83"/>
    <w:rsid w:val="003078DA"/>
    <w:rsid w:val="0031014D"/>
    <w:rsid w:val="003105B0"/>
    <w:rsid w:val="003110D5"/>
    <w:rsid w:val="00311425"/>
    <w:rsid w:val="003117B2"/>
    <w:rsid w:val="00311F87"/>
    <w:rsid w:val="00312510"/>
    <w:rsid w:val="003125B1"/>
    <w:rsid w:val="0031303A"/>
    <w:rsid w:val="00313D4C"/>
    <w:rsid w:val="00313DE4"/>
    <w:rsid w:val="0031460F"/>
    <w:rsid w:val="00320C31"/>
    <w:rsid w:val="00321931"/>
    <w:rsid w:val="003222A7"/>
    <w:rsid w:val="0032267F"/>
    <w:rsid w:val="00322829"/>
    <w:rsid w:val="00322FC0"/>
    <w:rsid w:val="00323954"/>
    <w:rsid w:val="003247A5"/>
    <w:rsid w:val="003250BF"/>
    <w:rsid w:val="003251E4"/>
    <w:rsid w:val="003258E7"/>
    <w:rsid w:val="00325A9D"/>
    <w:rsid w:val="00326318"/>
    <w:rsid w:val="003264BB"/>
    <w:rsid w:val="00326B89"/>
    <w:rsid w:val="00326E5C"/>
    <w:rsid w:val="00326EA1"/>
    <w:rsid w:val="00327392"/>
    <w:rsid w:val="003273C5"/>
    <w:rsid w:val="0033030F"/>
    <w:rsid w:val="00331FDD"/>
    <w:rsid w:val="003321A9"/>
    <w:rsid w:val="003322DA"/>
    <w:rsid w:val="00334B24"/>
    <w:rsid w:val="00334CD3"/>
    <w:rsid w:val="00334ED9"/>
    <w:rsid w:val="00334F84"/>
    <w:rsid w:val="0033516D"/>
    <w:rsid w:val="00335724"/>
    <w:rsid w:val="00336C05"/>
    <w:rsid w:val="00337CF3"/>
    <w:rsid w:val="00340AD8"/>
    <w:rsid w:val="00340B4B"/>
    <w:rsid w:val="00341460"/>
    <w:rsid w:val="00341FC3"/>
    <w:rsid w:val="003425B8"/>
    <w:rsid w:val="00343197"/>
    <w:rsid w:val="00343DA9"/>
    <w:rsid w:val="003442F1"/>
    <w:rsid w:val="003470B3"/>
    <w:rsid w:val="00347499"/>
    <w:rsid w:val="00347AEC"/>
    <w:rsid w:val="00350245"/>
    <w:rsid w:val="00350EB5"/>
    <w:rsid w:val="00351388"/>
    <w:rsid w:val="00351B63"/>
    <w:rsid w:val="003545EB"/>
    <w:rsid w:val="00354BD2"/>
    <w:rsid w:val="0035636A"/>
    <w:rsid w:val="00356E96"/>
    <w:rsid w:val="003574E2"/>
    <w:rsid w:val="00361116"/>
    <w:rsid w:val="00362036"/>
    <w:rsid w:val="0036293C"/>
    <w:rsid w:val="00362C68"/>
    <w:rsid w:val="00364FC3"/>
    <w:rsid w:val="00365040"/>
    <w:rsid w:val="00365142"/>
    <w:rsid w:val="00365460"/>
    <w:rsid w:val="003665CE"/>
    <w:rsid w:val="003665D8"/>
    <w:rsid w:val="003666BD"/>
    <w:rsid w:val="00366863"/>
    <w:rsid w:val="00367058"/>
    <w:rsid w:val="00367282"/>
    <w:rsid w:val="003706BA"/>
    <w:rsid w:val="00370822"/>
    <w:rsid w:val="00371992"/>
    <w:rsid w:val="003730A3"/>
    <w:rsid w:val="00373358"/>
    <w:rsid w:val="0037338D"/>
    <w:rsid w:val="00373E70"/>
    <w:rsid w:val="00374639"/>
    <w:rsid w:val="00374FB9"/>
    <w:rsid w:val="00375661"/>
    <w:rsid w:val="00377079"/>
    <w:rsid w:val="00382310"/>
    <w:rsid w:val="003825B3"/>
    <w:rsid w:val="00382B49"/>
    <w:rsid w:val="00384151"/>
    <w:rsid w:val="00384B9A"/>
    <w:rsid w:val="003856DB"/>
    <w:rsid w:val="00385E87"/>
    <w:rsid w:val="0038750B"/>
    <w:rsid w:val="00390730"/>
    <w:rsid w:val="003936F9"/>
    <w:rsid w:val="00394931"/>
    <w:rsid w:val="00394C76"/>
    <w:rsid w:val="00395451"/>
    <w:rsid w:val="0039567B"/>
    <w:rsid w:val="00395C9E"/>
    <w:rsid w:val="003961B0"/>
    <w:rsid w:val="003964AE"/>
    <w:rsid w:val="003972D6"/>
    <w:rsid w:val="00397486"/>
    <w:rsid w:val="00397568"/>
    <w:rsid w:val="003977F9"/>
    <w:rsid w:val="00397B3C"/>
    <w:rsid w:val="003A04D3"/>
    <w:rsid w:val="003A0AC5"/>
    <w:rsid w:val="003A0CD1"/>
    <w:rsid w:val="003A12B8"/>
    <w:rsid w:val="003A26F9"/>
    <w:rsid w:val="003A274F"/>
    <w:rsid w:val="003A2E18"/>
    <w:rsid w:val="003A30C9"/>
    <w:rsid w:val="003A34D0"/>
    <w:rsid w:val="003A41BB"/>
    <w:rsid w:val="003A4522"/>
    <w:rsid w:val="003A4B8E"/>
    <w:rsid w:val="003A4E25"/>
    <w:rsid w:val="003A523F"/>
    <w:rsid w:val="003A5A5D"/>
    <w:rsid w:val="003A5E11"/>
    <w:rsid w:val="003A621C"/>
    <w:rsid w:val="003A67EA"/>
    <w:rsid w:val="003A7B83"/>
    <w:rsid w:val="003B0A61"/>
    <w:rsid w:val="003B154B"/>
    <w:rsid w:val="003B1E11"/>
    <w:rsid w:val="003B1EF0"/>
    <w:rsid w:val="003B2285"/>
    <w:rsid w:val="003B3D7E"/>
    <w:rsid w:val="003B47A6"/>
    <w:rsid w:val="003B520E"/>
    <w:rsid w:val="003B5E8B"/>
    <w:rsid w:val="003B7139"/>
    <w:rsid w:val="003B7724"/>
    <w:rsid w:val="003B79A8"/>
    <w:rsid w:val="003C0E43"/>
    <w:rsid w:val="003C114B"/>
    <w:rsid w:val="003C213D"/>
    <w:rsid w:val="003C23D8"/>
    <w:rsid w:val="003C5028"/>
    <w:rsid w:val="003C51C3"/>
    <w:rsid w:val="003C5397"/>
    <w:rsid w:val="003C5C25"/>
    <w:rsid w:val="003C5C50"/>
    <w:rsid w:val="003C611E"/>
    <w:rsid w:val="003C622A"/>
    <w:rsid w:val="003C6472"/>
    <w:rsid w:val="003D0C2A"/>
    <w:rsid w:val="003D0EA5"/>
    <w:rsid w:val="003D2BBC"/>
    <w:rsid w:val="003D3E45"/>
    <w:rsid w:val="003D487F"/>
    <w:rsid w:val="003D53C9"/>
    <w:rsid w:val="003D5650"/>
    <w:rsid w:val="003D5D62"/>
    <w:rsid w:val="003D696E"/>
    <w:rsid w:val="003D7F7B"/>
    <w:rsid w:val="003E1068"/>
    <w:rsid w:val="003E170B"/>
    <w:rsid w:val="003E1C9E"/>
    <w:rsid w:val="003E215D"/>
    <w:rsid w:val="003E4F56"/>
    <w:rsid w:val="003E584E"/>
    <w:rsid w:val="003E6021"/>
    <w:rsid w:val="003E7857"/>
    <w:rsid w:val="003F07D1"/>
    <w:rsid w:val="003F0ABF"/>
    <w:rsid w:val="003F185E"/>
    <w:rsid w:val="003F243C"/>
    <w:rsid w:val="003F2561"/>
    <w:rsid w:val="003F2CB2"/>
    <w:rsid w:val="003F4206"/>
    <w:rsid w:val="003F54E3"/>
    <w:rsid w:val="003F5694"/>
    <w:rsid w:val="003F586F"/>
    <w:rsid w:val="003F6AA8"/>
    <w:rsid w:val="003F7145"/>
    <w:rsid w:val="003F73ED"/>
    <w:rsid w:val="00402518"/>
    <w:rsid w:val="00402F9E"/>
    <w:rsid w:val="00403305"/>
    <w:rsid w:val="004039EF"/>
    <w:rsid w:val="00403C53"/>
    <w:rsid w:val="00404135"/>
    <w:rsid w:val="0040495E"/>
    <w:rsid w:val="00404F9F"/>
    <w:rsid w:val="00406350"/>
    <w:rsid w:val="0040660E"/>
    <w:rsid w:val="00407772"/>
    <w:rsid w:val="0041066D"/>
    <w:rsid w:val="00411124"/>
    <w:rsid w:val="00411620"/>
    <w:rsid w:val="004119B1"/>
    <w:rsid w:val="004123CA"/>
    <w:rsid w:val="00412710"/>
    <w:rsid w:val="0041281E"/>
    <w:rsid w:val="00412DF7"/>
    <w:rsid w:val="004130E5"/>
    <w:rsid w:val="00414EA1"/>
    <w:rsid w:val="00414F8A"/>
    <w:rsid w:val="00415659"/>
    <w:rsid w:val="00415814"/>
    <w:rsid w:val="00415E0B"/>
    <w:rsid w:val="00417B62"/>
    <w:rsid w:val="00420AA9"/>
    <w:rsid w:val="00420CA1"/>
    <w:rsid w:val="00420D5D"/>
    <w:rsid w:val="0042242B"/>
    <w:rsid w:val="00422792"/>
    <w:rsid w:val="00422DCC"/>
    <w:rsid w:val="00423C9B"/>
    <w:rsid w:val="00423FE3"/>
    <w:rsid w:val="00424D81"/>
    <w:rsid w:val="00424DC0"/>
    <w:rsid w:val="00425100"/>
    <w:rsid w:val="0042579E"/>
    <w:rsid w:val="00425A28"/>
    <w:rsid w:val="004260E2"/>
    <w:rsid w:val="0042772E"/>
    <w:rsid w:val="00430350"/>
    <w:rsid w:val="004318C2"/>
    <w:rsid w:val="00431A3A"/>
    <w:rsid w:val="00432053"/>
    <w:rsid w:val="0043281B"/>
    <w:rsid w:val="0043289A"/>
    <w:rsid w:val="00433427"/>
    <w:rsid w:val="00433C54"/>
    <w:rsid w:val="00433DFD"/>
    <w:rsid w:val="004356F1"/>
    <w:rsid w:val="00435CCE"/>
    <w:rsid w:val="00437BC4"/>
    <w:rsid w:val="00437D6E"/>
    <w:rsid w:val="00440023"/>
    <w:rsid w:val="004418FC"/>
    <w:rsid w:val="00441FF2"/>
    <w:rsid w:val="00442A93"/>
    <w:rsid w:val="00442DA8"/>
    <w:rsid w:val="00442DCB"/>
    <w:rsid w:val="00442E29"/>
    <w:rsid w:val="0044306F"/>
    <w:rsid w:val="00443306"/>
    <w:rsid w:val="00444089"/>
    <w:rsid w:val="004447A9"/>
    <w:rsid w:val="00444B45"/>
    <w:rsid w:val="00445418"/>
    <w:rsid w:val="00445451"/>
    <w:rsid w:val="00445D69"/>
    <w:rsid w:val="0044635A"/>
    <w:rsid w:val="00446972"/>
    <w:rsid w:val="004469A1"/>
    <w:rsid w:val="004473E7"/>
    <w:rsid w:val="00447B77"/>
    <w:rsid w:val="004500AC"/>
    <w:rsid w:val="004504D9"/>
    <w:rsid w:val="0045132F"/>
    <w:rsid w:val="00451586"/>
    <w:rsid w:val="004515F6"/>
    <w:rsid w:val="00452F1E"/>
    <w:rsid w:val="004531B2"/>
    <w:rsid w:val="004541FA"/>
    <w:rsid w:val="00455543"/>
    <w:rsid w:val="004555AB"/>
    <w:rsid w:val="004556D1"/>
    <w:rsid w:val="004558D4"/>
    <w:rsid w:val="00456671"/>
    <w:rsid w:val="00456ED1"/>
    <w:rsid w:val="00457E6E"/>
    <w:rsid w:val="00457EFE"/>
    <w:rsid w:val="004615C9"/>
    <w:rsid w:val="00461F29"/>
    <w:rsid w:val="004621D9"/>
    <w:rsid w:val="004625B2"/>
    <w:rsid w:val="0046345E"/>
    <w:rsid w:val="00465683"/>
    <w:rsid w:val="00465790"/>
    <w:rsid w:val="00465FFC"/>
    <w:rsid w:val="00466BF0"/>
    <w:rsid w:val="004675E5"/>
    <w:rsid w:val="004678E0"/>
    <w:rsid w:val="0047007A"/>
    <w:rsid w:val="00470928"/>
    <w:rsid w:val="00470A8A"/>
    <w:rsid w:val="00470FDE"/>
    <w:rsid w:val="00471C68"/>
    <w:rsid w:val="00471D30"/>
    <w:rsid w:val="00472FD0"/>
    <w:rsid w:val="00474159"/>
    <w:rsid w:val="00474D03"/>
    <w:rsid w:val="00476ECC"/>
    <w:rsid w:val="004778D0"/>
    <w:rsid w:val="004824B2"/>
    <w:rsid w:val="00482FF1"/>
    <w:rsid w:val="004832F7"/>
    <w:rsid w:val="00483781"/>
    <w:rsid w:val="00483AE5"/>
    <w:rsid w:val="00484A7C"/>
    <w:rsid w:val="00484E84"/>
    <w:rsid w:val="00485EC8"/>
    <w:rsid w:val="004864B1"/>
    <w:rsid w:val="004864E4"/>
    <w:rsid w:val="00487B09"/>
    <w:rsid w:val="00487DE2"/>
    <w:rsid w:val="00490114"/>
    <w:rsid w:val="0049027D"/>
    <w:rsid w:val="004905BE"/>
    <w:rsid w:val="0049097B"/>
    <w:rsid w:val="00490AF5"/>
    <w:rsid w:val="004914E5"/>
    <w:rsid w:val="0049156A"/>
    <w:rsid w:val="004916A7"/>
    <w:rsid w:val="00492116"/>
    <w:rsid w:val="0049270C"/>
    <w:rsid w:val="00492AF6"/>
    <w:rsid w:val="00494FE6"/>
    <w:rsid w:val="00496EA7"/>
    <w:rsid w:val="004A1627"/>
    <w:rsid w:val="004A3324"/>
    <w:rsid w:val="004A3B7C"/>
    <w:rsid w:val="004A4348"/>
    <w:rsid w:val="004A4D34"/>
    <w:rsid w:val="004A542A"/>
    <w:rsid w:val="004A68EE"/>
    <w:rsid w:val="004A694E"/>
    <w:rsid w:val="004A74A1"/>
    <w:rsid w:val="004A7A46"/>
    <w:rsid w:val="004A7C26"/>
    <w:rsid w:val="004A7FCE"/>
    <w:rsid w:val="004B014B"/>
    <w:rsid w:val="004B0499"/>
    <w:rsid w:val="004B0D61"/>
    <w:rsid w:val="004B15C3"/>
    <w:rsid w:val="004B2023"/>
    <w:rsid w:val="004B221E"/>
    <w:rsid w:val="004B227C"/>
    <w:rsid w:val="004B27BA"/>
    <w:rsid w:val="004B345A"/>
    <w:rsid w:val="004B42F9"/>
    <w:rsid w:val="004B458C"/>
    <w:rsid w:val="004B4D76"/>
    <w:rsid w:val="004B56B0"/>
    <w:rsid w:val="004B6125"/>
    <w:rsid w:val="004B65F7"/>
    <w:rsid w:val="004B6C91"/>
    <w:rsid w:val="004B7FB5"/>
    <w:rsid w:val="004C047B"/>
    <w:rsid w:val="004C0A04"/>
    <w:rsid w:val="004C0F9B"/>
    <w:rsid w:val="004C25B9"/>
    <w:rsid w:val="004C451E"/>
    <w:rsid w:val="004C63F9"/>
    <w:rsid w:val="004C78CF"/>
    <w:rsid w:val="004C7C13"/>
    <w:rsid w:val="004C7E40"/>
    <w:rsid w:val="004D00B1"/>
    <w:rsid w:val="004D0B6C"/>
    <w:rsid w:val="004D0EC4"/>
    <w:rsid w:val="004D2C12"/>
    <w:rsid w:val="004D3CBC"/>
    <w:rsid w:val="004D3DD2"/>
    <w:rsid w:val="004D440C"/>
    <w:rsid w:val="004D485B"/>
    <w:rsid w:val="004D5FC8"/>
    <w:rsid w:val="004D7A1C"/>
    <w:rsid w:val="004D7D1F"/>
    <w:rsid w:val="004D7E90"/>
    <w:rsid w:val="004E0A21"/>
    <w:rsid w:val="004E183F"/>
    <w:rsid w:val="004E196A"/>
    <w:rsid w:val="004E1E8B"/>
    <w:rsid w:val="004E3721"/>
    <w:rsid w:val="004E4E9A"/>
    <w:rsid w:val="004E5FEA"/>
    <w:rsid w:val="004E65F3"/>
    <w:rsid w:val="004E736C"/>
    <w:rsid w:val="004E75DD"/>
    <w:rsid w:val="004E79FA"/>
    <w:rsid w:val="004F0B29"/>
    <w:rsid w:val="004F27FC"/>
    <w:rsid w:val="004F2A21"/>
    <w:rsid w:val="004F2C9A"/>
    <w:rsid w:val="004F34ED"/>
    <w:rsid w:val="004F53A7"/>
    <w:rsid w:val="004F60DA"/>
    <w:rsid w:val="004F666E"/>
    <w:rsid w:val="004F70F5"/>
    <w:rsid w:val="004F79CC"/>
    <w:rsid w:val="00500223"/>
    <w:rsid w:val="0050096C"/>
    <w:rsid w:val="00502228"/>
    <w:rsid w:val="0050262A"/>
    <w:rsid w:val="00502B0C"/>
    <w:rsid w:val="00502C9D"/>
    <w:rsid w:val="0050327D"/>
    <w:rsid w:val="005058F7"/>
    <w:rsid w:val="005059F6"/>
    <w:rsid w:val="00505A59"/>
    <w:rsid w:val="0050696D"/>
    <w:rsid w:val="005072A6"/>
    <w:rsid w:val="00507CBF"/>
    <w:rsid w:val="00507DC0"/>
    <w:rsid w:val="005109E9"/>
    <w:rsid w:val="00510B0A"/>
    <w:rsid w:val="005117D6"/>
    <w:rsid w:val="00512F14"/>
    <w:rsid w:val="00513DF0"/>
    <w:rsid w:val="00513E38"/>
    <w:rsid w:val="005151AC"/>
    <w:rsid w:val="0051570F"/>
    <w:rsid w:val="005163C4"/>
    <w:rsid w:val="00517C7C"/>
    <w:rsid w:val="00517E39"/>
    <w:rsid w:val="0052055C"/>
    <w:rsid w:val="00521163"/>
    <w:rsid w:val="00521F55"/>
    <w:rsid w:val="00522F39"/>
    <w:rsid w:val="00523FF2"/>
    <w:rsid w:val="00524337"/>
    <w:rsid w:val="005248E4"/>
    <w:rsid w:val="00524D14"/>
    <w:rsid w:val="0052503F"/>
    <w:rsid w:val="00525468"/>
    <w:rsid w:val="00525C4D"/>
    <w:rsid w:val="00525F27"/>
    <w:rsid w:val="00526080"/>
    <w:rsid w:val="005265C2"/>
    <w:rsid w:val="0053035F"/>
    <w:rsid w:val="00530CA3"/>
    <w:rsid w:val="00530DAC"/>
    <w:rsid w:val="0053195C"/>
    <w:rsid w:val="005319CA"/>
    <w:rsid w:val="00531B58"/>
    <w:rsid w:val="005329D3"/>
    <w:rsid w:val="00533CAC"/>
    <w:rsid w:val="00534335"/>
    <w:rsid w:val="00534ECA"/>
    <w:rsid w:val="00535148"/>
    <w:rsid w:val="005354A7"/>
    <w:rsid w:val="0053687C"/>
    <w:rsid w:val="00536BC3"/>
    <w:rsid w:val="00536FAC"/>
    <w:rsid w:val="005406B3"/>
    <w:rsid w:val="00540953"/>
    <w:rsid w:val="00540DEA"/>
    <w:rsid w:val="00541B34"/>
    <w:rsid w:val="0054249E"/>
    <w:rsid w:val="0054271E"/>
    <w:rsid w:val="0054354D"/>
    <w:rsid w:val="005442FD"/>
    <w:rsid w:val="00544470"/>
    <w:rsid w:val="005447C8"/>
    <w:rsid w:val="0054543F"/>
    <w:rsid w:val="0054577A"/>
    <w:rsid w:val="0054590A"/>
    <w:rsid w:val="00545C83"/>
    <w:rsid w:val="0054626C"/>
    <w:rsid w:val="00546313"/>
    <w:rsid w:val="005467E3"/>
    <w:rsid w:val="005476DE"/>
    <w:rsid w:val="0055086F"/>
    <w:rsid w:val="00552D38"/>
    <w:rsid w:val="0055434F"/>
    <w:rsid w:val="00554B84"/>
    <w:rsid w:val="00554DDF"/>
    <w:rsid w:val="00555008"/>
    <w:rsid w:val="00555399"/>
    <w:rsid w:val="005554EB"/>
    <w:rsid w:val="00555C08"/>
    <w:rsid w:val="00555F01"/>
    <w:rsid w:val="005563F6"/>
    <w:rsid w:val="00556F53"/>
    <w:rsid w:val="00557707"/>
    <w:rsid w:val="00557D37"/>
    <w:rsid w:val="00557EAA"/>
    <w:rsid w:val="00561E00"/>
    <w:rsid w:val="00561E5C"/>
    <w:rsid w:val="00562212"/>
    <w:rsid w:val="0056228A"/>
    <w:rsid w:val="00562539"/>
    <w:rsid w:val="0056287E"/>
    <w:rsid w:val="00562EB3"/>
    <w:rsid w:val="005633A8"/>
    <w:rsid w:val="00566007"/>
    <w:rsid w:val="0056609D"/>
    <w:rsid w:val="00567291"/>
    <w:rsid w:val="00570308"/>
    <w:rsid w:val="00570785"/>
    <w:rsid w:val="00570D24"/>
    <w:rsid w:val="00571B06"/>
    <w:rsid w:val="00572725"/>
    <w:rsid w:val="0057338E"/>
    <w:rsid w:val="0057342F"/>
    <w:rsid w:val="0057380D"/>
    <w:rsid w:val="005741DD"/>
    <w:rsid w:val="00574E22"/>
    <w:rsid w:val="00574E40"/>
    <w:rsid w:val="0057542F"/>
    <w:rsid w:val="00575B1E"/>
    <w:rsid w:val="00575DCD"/>
    <w:rsid w:val="00577E5E"/>
    <w:rsid w:val="00577E9E"/>
    <w:rsid w:val="00580CBC"/>
    <w:rsid w:val="0058280A"/>
    <w:rsid w:val="00582C89"/>
    <w:rsid w:val="00584345"/>
    <w:rsid w:val="00586058"/>
    <w:rsid w:val="005869E0"/>
    <w:rsid w:val="00586B97"/>
    <w:rsid w:val="00587B40"/>
    <w:rsid w:val="00587FDA"/>
    <w:rsid w:val="00591108"/>
    <w:rsid w:val="00591CBF"/>
    <w:rsid w:val="00592E4E"/>
    <w:rsid w:val="005940F4"/>
    <w:rsid w:val="00595BA6"/>
    <w:rsid w:val="00595E11"/>
    <w:rsid w:val="00595F05"/>
    <w:rsid w:val="00596EE1"/>
    <w:rsid w:val="005970B7"/>
    <w:rsid w:val="0059733A"/>
    <w:rsid w:val="00597793"/>
    <w:rsid w:val="00597900"/>
    <w:rsid w:val="005A03A8"/>
    <w:rsid w:val="005A188B"/>
    <w:rsid w:val="005A2F07"/>
    <w:rsid w:val="005A3769"/>
    <w:rsid w:val="005A3DF2"/>
    <w:rsid w:val="005A6074"/>
    <w:rsid w:val="005B1163"/>
    <w:rsid w:val="005B1E58"/>
    <w:rsid w:val="005B241E"/>
    <w:rsid w:val="005B34D7"/>
    <w:rsid w:val="005B36AD"/>
    <w:rsid w:val="005B3AB1"/>
    <w:rsid w:val="005B4CA9"/>
    <w:rsid w:val="005B55D3"/>
    <w:rsid w:val="005B56E1"/>
    <w:rsid w:val="005B5843"/>
    <w:rsid w:val="005B6C9D"/>
    <w:rsid w:val="005B745B"/>
    <w:rsid w:val="005C007B"/>
    <w:rsid w:val="005C13A0"/>
    <w:rsid w:val="005C1615"/>
    <w:rsid w:val="005C1A58"/>
    <w:rsid w:val="005C2492"/>
    <w:rsid w:val="005C37BB"/>
    <w:rsid w:val="005C3AA4"/>
    <w:rsid w:val="005C510D"/>
    <w:rsid w:val="005C67BA"/>
    <w:rsid w:val="005C6822"/>
    <w:rsid w:val="005C6FA5"/>
    <w:rsid w:val="005C707B"/>
    <w:rsid w:val="005C70D5"/>
    <w:rsid w:val="005C73F1"/>
    <w:rsid w:val="005D08A7"/>
    <w:rsid w:val="005D275F"/>
    <w:rsid w:val="005D2C78"/>
    <w:rsid w:val="005D4358"/>
    <w:rsid w:val="005D5EDC"/>
    <w:rsid w:val="005D768E"/>
    <w:rsid w:val="005D76D9"/>
    <w:rsid w:val="005E08A4"/>
    <w:rsid w:val="005E1EA5"/>
    <w:rsid w:val="005E1FE6"/>
    <w:rsid w:val="005E3DFB"/>
    <w:rsid w:val="005E4D23"/>
    <w:rsid w:val="005E4D2F"/>
    <w:rsid w:val="005E6E5A"/>
    <w:rsid w:val="005E79F9"/>
    <w:rsid w:val="005F18D8"/>
    <w:rsid w:val="005F3262"/>
    <w:rsid w:val="005F3ADC"/>
    <w:rsid w:val="005F434E"/>
    <w:rsid w:val="005F44AE"/>
    <w:rsid w:val="005F51F3"/>
    <w:rsid w:val="005F537F"/>
    <w:rsid w:val="005F53F3"/>
    <w:rsid w:val="005F5C82"/>
    <w:rsid w:val="005F5E50"/>
    <w:rsid w:val="005F61CE"/>
    <w:rsid w:val="005F6861"/>
    <w:rsid w:val="006005E6"/>
    <w:rsid w:val="00600C36"/>
    <w:rsid w:val="00601A02"/>
    <w:rsid w:val="00601F6A"/>
    <w:rsid w:val="0060203B"/>
    <w:rsid w:val="00602DC1"/>
    <w:rsid w:val="00603775"/>
    <w:rsid w:val="00603D2F"/>
    <w:rsid w:val="006051DE"/>
    <w:rsid w:val="00605804"/>
    <w:rsid w:val="00605CB0"/>
    <w:rsid w:val="00606649"/>
    <w:rsid w:val="00606C01"/>
    <w:rsid w:val="00606CEB"/>
    <w:rsid w:val="00607602"/>
    <w:rsid w:val="00607CBE"/>
    <w:rsid w:val="0061010D"/>
    <w:rsid w:val="00610D4F"/>
    <w:rsid w:val="006116AF"/>
    <w:rsid w:val="00611988"/>
    <w:rsid w:val="00611B42"/>
    <w:rsid w:val="00611E41"/>
    <w:rsid w:val="00612851"/>
    <w:rsid w:val="006153BB"/>
    <w:rsid w:val="00616045"/>
    <w:rsid w:val="0061630F"/>
    <w:rsid w:val="00616353"/>
    <w:rsid w:val="00620258"/>
    <w:rsid w:val="006208EE"/>
    <w:rsid w:val="00620996"/>
    <w:rsid w:val="00621093"/>
    <w:rsid w:val="0062189E"/>
    <w:rsid w:val="006226A1"/>
    <w:rsid w:val="00623CDD"/>
    <w:rsid w:val="00623E84"/>
    <w:rsid w:val="0062401D"/>
    <w:rsid w:val="00624360"/>
    <w:rsid w:val="006278B6"/>
    <w:rsid w:val="00630BD8"/>
    <w:rsid w:val="006326FA"/>
    <w:rsid w:val="00633273"/>
    <w:rsid w:val="00633D7A"/>
    <w:rsid w:val="00634047"/>
    <w:rsid w:val="0063510D"/>
    <w:rsid w:val="00635742"/>
    <w:rsid w:val="00635B56"/>
    <w:rsid w:val="00635CF9"/>
    <w:rsid w:val="006364D1"/>
    <w:rsid w:val="00636F02"/>
    <w:rsid w:val="006375B4"/>
    <w:rsid w:val="00640067"/>
    <w:rsid w:val="006406EF"/>
    <w:rsid w:val="00641DA5"/>
    <w:rsid w:val="006437E3"/>
    <w:rsid w:val="00643A76"/>
    <w:rsid w:val="00645EE6"/>
    <w:rsid w:val="006469FF"/>
    <w:rsid w:val="00646DA3"/>
    <w:rsid w:val="00647352"/>
    <w:rsid w:val="00647894"/>
    <w:rsid w:val="00647EA6"/>
    <w:rsid w:val="00647FF8"/>
    <w:rsid w:val="00651132"/>
    <w:rsid w:val="0065122A"/>
    <w:rsid w:val="0065166B"/>
    <w:rsid w:val="006517E2"/>
    <w:rsid w:val="00651985"/>
    <w:rsid w:val="00652108"/>
    <w:rsid w:val="00652D2F"/>
    <w:rsid w:val="00654C94"/>
    <w:rsid w:val="0065519D"/>
    <w:rsid w:val="006551E2"/>
    <w:rsid w:val="00655920"/>
    <w:rsid w:val="0065751F"/>
    <w:rsid w:val="00657921"/>
    <w:rsid w:val="0066001B"/>
    <w:rsid w:val="006622DF"/>
    <w:rsid w:val="00662EF1"/>
    <w:rsid w:val="00663929"/>
    <w:rsid w:val="00663B70"/>
    <w:rsid w:val="00663D77"/>
    <w:rsid w:val="00664675"/>
    <w:rsid w:val="0066645A"/>
    <w:rsid w:val="006676DD"/>
    <w:rsid w:val="00667711"/>
    <w:rsid w:val="00667846"/>
    <w:rsid w:val="00667906"/>
    <w:rsid w:val="006700A6"/>
    <w:rsid w:val="006701FC"/>
    <w:rsid w:val="00670BED"/>
    <w:rsid w:val="0067114E"/>
    <w:rsid w:val="00671646"/>
    <w:rsid w:val="00673146"/>
    <w:rsid w:val="00673948"/>
    <w:rsid w:val="00673A95"/>
    <w:rsid w:val="00673B25"/>
    <w:rsid w:val="006767AF"/>
    <w:rsid w:val="006768B1"/>
    <w:rsid w:val="00676A94"/>
    <w:rsid w:val="0067715A"/>
    <w:rsid w:val="006776E7"/>
    <w:rsid w:val="006776FA"/>
    <w:rsid w:val="00677D7A"/>
    <w:rsid w:val="00681426"/>
    <w:rsid w:val="00683913"/>
    <w:rsid w:val="00683B86"/>
    <w:rsid w:val="006842A0"/>
    <w:rsid w:val="006845E5"/>
    <w:rsid w:val="00684971"/>
    <w:rsid w:val="0068505F"/>
    <w:rsid w:val="006850C4"/>
    <w:rsid w:val="006861F1"/>
    <w:rsid w:val="00686909"/>
    <w:rsid w:val="00687123"/>
    <w:rsid w:val="006932CE"/>
    <w:rsid w:val="00693BEC"/>
    <w:rsid w:val="00694363"/>
    <w:rsid w:val="0069479A"/>
    <w:rsid w:val="0069514B"/>
    <w:rsid w:val="006A043A"/>
    <w:rsid w:val="006A3DFA"/>
    <w:rsid w:val="006A4400"/>
    <w:rsid w:val="006A4DFD"/>
    <w:rsid w:val="006A55FF"/>
    <w:rsid w:val="006A6205"/>
    <w:rsid w:val="006A6A65"/>
    <w:rsid w:val="006A6BC7"/>
    <w:rsid w:val="006A784B"/>
    <w:rsid w:val="006B2212"/>
    <w:rsid w:val="006B2B81"/>
    <w:rsid w:val="006B2DB4"/>
    <w:rsid w:val="006B3F04"/>
    <w:rsid w:val="006B3F39"/>
    <w:rsid w:val="006B65F7"/>
    <w:rsid w:val="006B6E12"/>
    <w:rsid w:val="006B721D"/>
    <w:rsid w:val="006B724B"/>
    <w:rsid w:val="006B741E"/>
    <w:rsid w:val="006B786E"/>
    <w:rsid w:val="006C12BA"/>
    <w:rsid w:val="006C1F91"/>
    <w:rsid w:val="006C2F08"/>
    <w:rsid w:val="006C2FE4"/>
    <w:rsid w:val="006C389B"/>
    <w:rsid w:val="006C40F5"/>
    <w:rsid w:val="006C4629"/>
    <w:rsid w:val="006C4A67"/>
    <w:rsid w:val="006C522F"/>
    <w:rsid w:val="006C55AF"/>
    <w:rsid w:val="006C5C71"/>
    <w:rsid w:val="006C711F"/>
    <w:rsid w:val="006C77FF"/>
    <w:rsid w:val="006D0105"/>
    <w:rsid w:val="006D10A1"/>
    <w:rsid w:val="006D125E"/>
    <w:rsid w:val="006D1458"/>
    <w:rsid w:val="006D2E73"/>
    <w:rsid w:val="006D2EA7"/>
    <w:rsid w:val="006D52F8"/>
    <w:rsid w:val="006D6098"/>
    <w:rsid w:val="006D6F46"/>
    <w:rsid w:val="006D710A"/>
    <w:rsid w:val="006D72CA"/>
    <w:rsid w:val="006D79A2"/>
    <w:rsid w:val="006D7D0F"/>
    <w:rsid w:val="006E0985"/>
    <w:rsid w:val="006E1443"/>
    <w:rsid w:val="006E296F"/>
    <w:rsid w:val="006E40E4"/>
    <w:rsid w:val="006E4A4C"/>
    <w:rsid w:val="006E4F03"/>
    <w:rsid w:val="006E604E"/>
    <w:rsid w:val="006E7155"/>
    <w:rsid w:val="006E72AC"/>
    <w:rsid w:val="006E7689"/>
    <w:rsid w:val="006E7869"/>
    <w:rsid w:val="006F13B7"/>
    <w:rsid w:val="006F213C"/>
    <w:rsid w:val="006F2753"/>
    <w:rsid w:val="006F2D1D"/>
    <w:rsid w:val="006F4657"/>
    <w:rsid w:val="006F490A"/>
    <w:rsid w:val="006F4EE3"/>
    <w:rsid w:val="006F564C"/>
    <w:rsid w:val="006F5791"/>
    <w:rsid w:val="006F5BEA"/>
    <w:rsid w:val="0070297E"/>
    <w:rsid w:val="007033F5"/>
    <w:rsid w:val="007049F4"/>
    <w:rsid w:val="00705391"/>
    <w:rsid w:val="00705F11"/>
    <w:rsid w:val="007068FA"/>
    <w:rsid w:val="007069E4"/>
    <w:rsid w:val="00706D07"/>
    <w:rsid w:val="00706E52"/>
    <w:rsid w:val="007070A3"/>
    <w:rsid w:val="007076CE"/>
    <w:rsid w:val="0071103C"/>
    <w:rsid w:val="00711263"/>
    <w:rsid w:val="00711AF9"/>
    <w:rsid w:val="00711CD2"/>
    <w:rsid w:val="00712C67"/>
    <w:rsid w:val="0071401B"/>
    <w:rsid w:val="007170D8"/>
    <w:rsid w:val="0071710B"/>
    <w:rsid w:val="0071778A"/>
    <w:rsid w:val="00717D69"/>
    <w:rsid w:val="007200C5"/>
    <w:rsid w:val="00720E27"/>
    <w:rsid w:val="00720FCA"/>
    <w:rsid w:val="007213D7"/>
    <w:rsid w:val="00724344"/>
    <w:rsid w:val="0072531E"/>
    <w:rsid w:val="007255DC"/>
    <w:rsid w:val="007258CA"/>
    <w:rsid w:val="00726053"/>
    <w:rsid w:val="007264BB"/>
    <w:rsid w:val="00727976"/>
    <w:rsid w:val="00727A9D"/>
    <w:rsid w:val="00730579"/>
    <w:rsid w:val="007306E2"/>
    <w:rsid w:val="00730A8A"/>
    <w:rsid w:val="0073110B"/>
    <w:rsid w:val="007323C1"/>
    <w:rsid w:val="00732B7D"/>
    <w:rsid w:val="007333CE"/>
    <w:rsid w:val="00734B00"/>
    <w:rsid w:val="00734DFA"/>
    <w:rsid w:val="00735350"/>
    <w:rsid w:val="00735C32"/>
    <w:rsid w:val="00735C76"/>
    <w:rsid w:val="00735E20"/>
    <w:rsid w:val="0074032E"/>
    <w:rsid w:val="007404B0"/>
    <w:rsid w:val="00740512"/>
    <w:rsid w:val="007406CF"/>
    <w:rsid w:val="007410DE"/>
    <w:rsid w:val="00741F54"/>
    <w:rsid w:val="00743791"/>
    <w:rsid w:val="00743A12"/>
    <w:rsid w:val="0074415A"/>
    <w:rsid w:val="00744309"/>
    <w:rsid w:val="00745064"/>
    <w:rsid w:val="00745070"/>
    <w:rsid w:val="00745526"/>
    <w:rsid w:val="0074632D"/>
    <w:rsid w:val="0074691D"/>
    <w:rsid w:val="00746C41"/>
    <w:rsid w:val="00747168"/>
    <w:rsid w:val="00751FDC"/>
    <w:rsid w:val="007538F1"/>
    <w:rsid w:val="00753CF3"/>
    <w:rsid w:val="00754E40"/>
    <w:rsid w:val="00755684"/>
    <w:rsid w:val="007562B5"/>
    <w:rsid w:val="0075695D"/>
    <w:rsid w:val="00756F01"/>
    <w:rsid w:val="007574FD"/>
    <w:rsid w:val="0075758A"/>
    <w:rsid w:val="00757DBB"/>
    <w:rsid w:val="00760038"/>
    <w:rsid w:val="0076079F"/>
    <w:rsid w:val="00761361"/>
    <w:rsid w:val="00761666"/>
    <w:rsid w:val="00761B64"/>
    <w:rsid w:val="00762116"/>
    <w:rsid w:val="00762951"/>
    <w:rsid w:val="00762DB7"/>
    <w:rsid w:val="0076327C"/>
    <w:rsid w:val="007665F8"/>
    <w:rsid w:val="007672F1"/>
    <w:rsid w:val="007674FA"/>
    <w:rsid w:val="007676FA"/>
    <w:rsid w:val="00767E7B"/>
    <w:rsid w:val="007704A5"/>
    <w:rsid w:val="0077180C"/>
    <w:rsid w:val="00771D75"/>
    <w:rsid w:val="0077245D"/>
    <w:rsid w:val="007727D6"/>
    <w:rsid w:val="00773ED1"/>
    <w:rsid w:val="007741D6"/>
    <w:rsid w:val="007748CF"/>
    <w:rsid w:val="0077546E"/>
    <w:rsid w:val="00776136"/>
    <w:rsid w:val="00776807"/>
    <w:rsid w:val="00776906"/>
    <w:rsid w:val="00776921"/>
    <w:rsid w:val="0077699F"/>
    <w:rsid w:val="007803EC"/>
    <w:rsid w:val="00781F53"/>
    <w:rsid w:val="00782208"/>
    <w:rsid w:val="0078238A"/>
    <w:rsid w:val="00782D1C"/>
    <w:rsid w:val="007832B3"/>
    <w:rsid w:val="00783978"/>
    <w:rsid w:val="00784539"/>
    <w:rsid w:val="00784C5A"/>
    <w:rsid w:val="007864B0"/>
    <w:rsid w:val="007926D5"/>
    <w:rsid w:val="00792819"/>
    <w:rsid w:val="00792FEC"/>
    <w:rsid w:val="007949B8"/>
    <w:rsid w:val="00794A92"/>
    <w:rsid w:val="007959F5"/>
    <w:rsid w:val="00796945"/>
    <w:rsid w:val="0079747D"/>
    <w:rsid w:val="007A0914"/>
    <w:rsid w:val="007A0CBD"/>
    <w:rsid w:val="007A10F8"/>
    <w:rsid w:val="007A1762"/>
    <w:rsid w:val="007A185B"/>
    <w:rsid w:val="007A259A"/>
    <w:rsid w:val="007A2A71"/>
    <w:rsid w:val="007A2C60"/>
    <w:rsid w:val="007A3468"/>
    <w:rsid w:val="007A4817"/>
    <w:rsid w:val="007A4D71"/>
    <w:rsid w:val="007A54D1"/>
    <w:rsid w:val="007A5950"/>
    <w:rsid w:val="007A6E03"/>
    <w:rsid w:val="007A6EC0"/>
    <w:rsid w:val="007B1B1E"/>
    <w:rsid w:val="007B24C8"/>
    <w:rsid w:val="007B251E"/>
    <w:rsid w:val="007B32B3"/>
    <w:rsid w:val="007B42CC"/>
    <w:rsid w:val="007B481A"/>
    <w:rsid w:val="007B5767"/>
    <w:rsid w:val="007B5A08"/>
    <w:rsid w:val="007B6150"/>
    <w:rsid w:val="007B6260"/>
    <w:rsid w:val="007B708E"/>
    <w:rsid w:val="007B7802"/>
    <w:rsid w:val="007C013E"/>
    <w:rsid w:val="007C13EA"/>
    <w:rsid w:val="007C154B"/>
    <w:rsid w:val="007C16E1"/>
    <w:rsid w:val="007C182B"/>
    <w:rsid w:val="007C18B0"/>
    <w:rsid w:val="007C18F3"/>
    <w:rsid w:val="007C1991"/>
    <w:rsid w:val="007C1C92"/>
    <w:rsid w:val="007C2FCB"/>
    <w:rsid w:val="007C481B"/>
    <w:rsid w:val="007C4A1E"/>
    <w:rsid w:val="007C4EE9"/>
    <w:rsid w:val="007C5506"/>
    <w:rsid w:val="007C59E9"/>
    <w:rsid w:val="007C6EC3"/>
    <w:rsid w:val="007C7019"/>
    <w:rsid w:val="007C73B6"/>
    <w:rsid w:val="007D07A7"/>
    <w:rsid w:val="007D203F"/>
    <w:rsid w:val="007D4B9D"/>
    <w:rsid w:val="007D54D3"/>
    <w:rsid w:val="007D6EF1"/>
    <w:rsid w:val="007D7435"/>
    <w:rsid w:val="007E01A7"/>
    <w:rsid w:val="007E07A0"/>
    <w:rsid w:val="007E187F"/>
    <w:rsid w:val="007E1DF8"/>
    <w:rsid w:val="007E1F9C"/>
    <w:rsid w:val="007E2A8F"/>
    <w:rsid w:val="007E2CCF"/>
    <w:rsid w:val="007E49F3"/>
    <w:rsid w:val="007E4D7A"/>
    <w:rsid w:val="007E4E48"/>
    <w:rsid w:val="007E5646"/>
    <w:rsid w:val="007E5F09"/>
    <w:rsid w:val="007E63BD"/>
    <w:rsid w:val="007E6448"/>
    <w:rsid w:val="007E652D"/>
    <w:rsid w:val="007E6F7E"/>
    <w:rsid w:val="007E79D0"/>
    <w:rsid w:val="007F0DF0"/>
    <w:rsid w:val="007F0E8A"/>
    <w:rsid w:val="007F194D"/>
    <w:rsid w:val="007F1E21"/>
    <w:rsid w:val="007F2897"/>
    <w:rsid w:val="007F29D2"/>
    <w:rsid w:val="007F3789"/>
    <w:rsid w:val="007F4372"/>
    <w:rsid w:val="007F4ED9"/>
    <w:rsid w:val="007F5014"/>
    <w:rsid w:val="007F5C97"/>
    <w:rsid w:val="007F681E"/>
    <w:rsid w:val="008004C0"/>
    <w:rsid w:val="008010F7"/>
    <w:rsid w:val="0080254D"/>
    <w:rsid w:val="008039DA"/>
    <w:rsid w:val="00804003"/>
    <w:rsid w:val="00804B88"/>
    <w:rsid w:val="008053F4"/>
    <w:rsid w:val="008055DF"/>
    <w:rsid w:val="0080673B"/>
    <w:rsid w:val="008078C9"/>
    <w:rsid w:val="00811410"/>
    <w:rsid w:val="0081183C"/>
    <w:rsid w:val="00811D69"/>
    <w:rsid w:val="008122E0"/>
    <w:rsid w:val="0081247E"/>
    <w:rsid w:val="00814294"/>
    <w:rsid w:val="00814558"/>
    <w:rsid w:val="008147B2"/>
    <w:rsid w:val="00814F04"/>
    <w:rsid w:val="00815F7C"/>
    <w:rsid w:val="00817173"/>
    <w:rsid w:val="00817328"/>
    <w:rsid w:val="0082002E"/>
    <w:rsid w:val="00820164"/>
    <w:rsid w:val="00820615"/>
    <w:rsid w:val="00820972"/>
    <w:rsid w:val="00821166"/>
    <w:rsid w:val="00821361"/>
    <w:rsid w:val="00822978"/>
    <w:rsid w:val="0082298B"/>
    <w:rsid w:val="008237BA"/>
    <w:rsid w:val="00823808"/>
    <w:rsid w:val="008245A5"/>
    <w:rsid w:val="008248D3"/>
    <w:rsid w:val="00824AB8"/>
    <w:rsid w:val="008251FF"/>
    <w:rsid w:val="00825E04"/>
    <w:rsid w:val="008261ED"/>
    <w:rsid w:val="00827E22"/>
    <w:rsid w:val="008300A3"/>
    <w:rsid w:val="0083021C"/>
    <w:rsid w:val="008305FE"/>
    <w:rsid w:val="00833E54"/>
    <w:rsid w:val="00834064"/>
    <w:rsid w:val="008357B0"/>
    <w:rsid w:val="008368F0"/>
    <w:rsid w:val="00837565"/>
    <w:rsid w:val="008410AA"/>
    <w:rsid w:val="00841197"/>
    <w:rsid w:val="0084130B"/>
    <w:rsid w:val="008413B6"/>
    <w:rsid w:val="0084151C"/>
    <w:rsid w:val="008427A8"/>
    <w:rsid w:val="00842ED2"/>
    <w:rsid w:val="00844030"/>
    <w:rsid w:val="00844174"/>
    <w:rsid w:val="00846A73"/>
    <w:rsid w:val="00846E5B"/>
    <w:rsid w:val="00847077"/>
    <w:rsid w:val="00847D9E"/>
    <w:rsid w:val="00850129"/>
    <w:rsid w:val="008504E0"/>
    <w:rsid w:val="008518B6"/>
    <w:rsid w:val="00851ADA"/>
    <w:rsid w:val="008529BB"/>
    <w:rsid w:val="00852D12"/>
    <w:rsid w:val="00853D4A"/>
    <w:rsid w:val="00856417"/>
    <w:rsid w:val="00856A2B"/>
    <w:rsid w:val="00856A54"/>
    <w:rsid w:val="008612E5"/>
    <w:rsid w:val="00861AAF"/>
    <w:rsid w:val="008622E4"/>
    <w:rsid w:val="00862980"/>
    <w:rsid w:val="00862F2F"/>
    <w:rsid w:val="008638E1"/>
    <w:rsid w:val="00863B8E"/>
    <w:rsid w:val="00863D7D"/>
    <w:rsid w:val="00863F5E"/>
    <w:rsid w:val="00864274"/>
    <w:rsid w:val="0086469A"/>
    <w:rsid w:val="0086489A"/>
    <w:rsid w:val="008652E6"/>
    <w:rsid w:val="008654DA"/>
    <w:rsid w:val="0086598F"/>
    <w:rsid w:val="00866B5C"/>
    <w:rsid w:val="00867C75"/>
    <w:rsid w:val="008722E5"/>
    <w:rsid w:val="0087481E"/>
    <w:rsid w:val="008754F8"/>
    <w:rsid w:val="00875904"/>
    <w:rsid w:val="0087659E"/>
    <w:rsid w:val="00876EC7"/>
    <w:rsid w:val="0087703A"/>
    <w:rsid w:val="0087737B"/>
    <w:rsid w:val="00880993"/>
    <w:rsid w:val="008812FE"/>
    <w:rsid w:val="008813CF"/>
    <w:rsid w:val="0088186D"/>
    <w:rsid w:val="00881D84"/>
    <w:rsid w:val="008820B9"/>
    <w:rsid w:val="008838AA"/>
    <w:rsid w:val="00883A14"/>
    <w:rsid w:val="00883CE3"/>
    <w:rsid w:val="008843FC"/>
    <w:rsid w:val="00884845"/>
    <w:rsid w:val="00887B46"/>
    <w:rsid w:val="00892330"/>
    <w:rsid w:val="0089248E"/>
    <w:rsid w:val="00893959"/>
    <w:rsid w:val="008940DA"/>
    <w:rsid w:val="008942A2"/>
    <w:rsid w:val="0089454A"/>
    <w:rsid w:val="0089487B"/>
    <w:rsid w:val="008952A4"/>
    <w:rsid w:val="00895530"/>
    <w:rsid w:val="008962BB"/>
    <w:rsid w:val="008969ED"/>
    <w:rsid w:val="00896ADD"/>
    <w:rsid w:val="00897876"/>
    <w:rsid w:val="008978EE"/>
    <w:rsid w:val="008A0892"/>
    <w:rsid w:val="008A0B4C"/>
    <w:rsid w:val="008A0B79"/>
    <w:rsid w:val="008A162D"/>
    <w:rsid w:val="008A2DED"/>
    <w:rsid w:val="008A348D"/>
    <w:rsid w:val="008A3C69"/>
    <w:rsid w:val="008A4984"/>
    <w:rsid w:val="008A4D9D"/>
    <w:rsid w:val="008A510C"/>
    <w:rsid w:val="008A51C2"/>
    <w:rsid w:val="008A52D1"/>
    <w:rsid w:val="008A7E64"/>
    <w:rsid w:val="008B0A69"/>
    <w:rsid w:val="008B1058"/>
    <w:rsid w:val="008B1243"/>
    <w:rsid w:val="008B1473"/>
    <w:rsid w:val="008B2A9D"/>
    <w:rsid w:val="008B2AD2"/>
    <w:rsid w:val="008B2DC6"/>
    <w:rsid w:val="008B3614"/>
    <w:rsid w:val="008B3702"/>
    <w:rsid w:val="008B3D22"/>
    <w:rsid w:val="008B3E5A"/>
    <w:rsid w:val="008B4C2E"/>
    <w:rsid w:val="008B5282"/>
    <w:rsid w:val="008B6142"/>
    <w:rsid w:val="008B6915"/>
    <w:rsid w:val="008B6F17"/>
    <w:rsid w:val="008B70C4"/>
    <w:rsid w:val="008C0AB2"/>
    <w:rsid w:val="008C0D5E"/>
    <w:rsid w:val="008C1654"/>
    <w:rsid w:val="008C40A1"/>
    <w:rsid w:val="008C417B"/>
    <w:rsid w:val="008C4376"/>
    <w:rsid w:val="008C43F6"/>
    <w:rsid w:val="008C4493"/>
    <w:rsid w:val="008C4BF1"/>
    <w:rsid w:val="008C4E87"/>
    <w:rsid w:val="008C5A85"/>
    <w:rsid w:val="008C5E47"/>
    <w:rsid w:val="008C63F6"/>
    <w:rsid w:val="008D13D2"/>
    <w:rsid w:val="008D14EC"/>
    <w:rsid w:val="008D23DC"/>
    <w:rsid w:val="008D258D"/>
    <w:rsid w:val="008D29E7"/>
    <w:rsid w:val="008D2CB9"/>
    <w:rsid w:val="008D3681"/>
    <w:rsid w:val="008D3CB5"/>
    <w:rsid w:val="008D4141"/>
    <w:rsid w:val="008D444E"/>
    <w:rsid w:val="008D53F9"/>
    <w:rsid w:val="008D5FB2"/>
    <w:rsid w:val="008D67CF"/>
    <w:rsid w:val="008D6DA5"/>
    <w:rsid w:val="008D7364"/>
    <w:rsid w:val="008D7FD8"/>
    <w:rsid w:val="008E0120"/>
    <w:rsid w:val="008E0A20"/>
    <w:rsid w:val="008E1B28"/>
    <w:rsid w:val="008E2425"/>
    <w:rsid w:val="008E3761"/>
    <w:rsid w:val="008E3B7E"/>
    <w:rsid w:val="008E5AFE"/>
    <w:rsid w:val="008E5D96"/>
    <w:rsid w:val="008E6C7A"/>
    <w:rsid w:val="008E6EB7"/>
    <w:rsid w:val="008E6EBC"/>
    <w:rsid w:val="008F133A"/>
    <w:rsid w:val="008F1CAD"/>
    <w:rsid w:val="008F2356"/>
    <w:rsid w:val="008F26C3"/>
    <w:rsid w:val="008F3DED"/>
    <w:rsid w:val="008F44F8"/>
    <w:rsid w:val="008F5493"/>
    <w:rsid w:val="008F5C2D"/>
    <w:rsid w:val="008F5CDD"/>
    <w:rsid w:val="0090054C"/>
    <w:rsid w:val="00901442"/>
    <w:rsid w:val="0090182D"/>
    <w:rsid w:val="009024E7"/>
    <w:rsid w:val="009038DB"/>
    <w:rsid w:val="009046B7"/>
    <w:rsid w:val="009050B4"/>
    <w:rsid w:val="0090530B"/>
    <w:rsid w:val="00905C97"/>
    <w:rsid w:val="00905F08"/>
    <w:rsid w:val="009061B7"/>
    <w:rsid w:val="00906787"/>
    <w:rsid w:val="009069DF"/>
    <w:rsid w:val="00907232"/>
    <w:rsid w:val="0090725E"/>
    <w:rsid w:val="009104AD"/>
    <w:rsid w:val="009139A5"/>
    <w:rsid w:val="00914C4F"/>
    <w:rsid w:val="00915CA3"/>
    <w:rsid w:val="00915D8B"/>
    <w:rsid w:val="0091622D"/>
    <w:rsid w:val="00916AD5"/>
    <w:rsid w:val="0091754F"/>
    <w:rsid w:val="0091771B"/>
    <w:rsid w:val="00920338"/>
    <w:rsid w:val="00920C59"/>
    <w:rsid w:val="0092486E"/>
    <w:rsid w:val="009252CD"/>
    <w:rsid w:val="009258AF"/>
    <w:rsid w:val="00926161"/>
    <w:rsid w:val="00926C68"/>
    <w:rsid w:val="009278E2"/>
    <w:rsid w:val="00927A8D"/>
    <w:rsid w:val="009308C5"/>
    <w:rsid w:val="00931339"/>
    <w:rsid w:val="0093145E"/>
    <w:rsid w:val="00931B9C"/>
    <w:rsid w:val="0093266B"/>
    <w:rsid w:val="00932D2D"/>
    <w:rsid w:val="00933636"/>
    <w:rsid w:val="00933DFC"/>
    <w:rsid w:val="0093462C"/>
    <w:rsid w:val="00935747"/>
    <w:rsid w:val="00937E23"/>
    <w:rsid w:val="009412CF"/>
    <w:rsid w:val="00941479"/>
    <w:rsid w:val="009416C9"/>
    <w:rsid w:val="009419BD"/>
    <w:rsid w:val="00942E55"/>
    <w:rsid w:val="0094318C"/>
    <w:rsid w:val="00943396"/>
    <w:rsid w:val="00943964"/>
    <w:rsid w:val="009439AE"/>
    <w:rsid w:val="00943A19"/>
    <w:rsid w:val="00945141"/>
    <w:rsid w:val="00945B7C"/>
    <w:rsid w:val="00946834"/>
    <w:rsid w:val="009470AE"/>
    <w:rsid w:val="00947E31"/>
    <w:rsid w:val="00947EB9"/>
    <w:rsid w:val="00950CD2"/>
    <w:rsid w:val="00951A52"/>
    <w:rsid w:val="0095215B"/>
    <w:rsid w:val="00953344"/>
    <w:rsid w:val="009539BC"/>
    <w:rsid w:val="00954DF2"/>
    <w:rsid w:val="00954E83"/>
    <w:rsid w:val="009557CE"/>
    <w:rsid w:val="00955C0B"/>
    <w:rsid w:val="00955D6D"/>
    <w:rsid w:val="00955F59"/>
    <w:rsid w:val="00956545"/>
    <w:rsid w:val="00956841"/>
    <w:rsid w:val="0095691C"/>
    <w:rsid w:val="0095705B"/>
    <w:rsid w:val="00957423"/>
    <w:rsid w:val="00957651"/>
    <w:rsid w:val="00960A98"/>
    <w:rsid w:val="00961099"/>
    <w:rsid w:val="009610AD"/>
    <w:rsid w:val="00961764"/>
    <w:rsid w:val="0096178E"/>
    <w:rsid w:val="00961B60"/>
    <w:rsid w:val="009623CA"/>
    <w:rsid w:val="009626DE"/>
    <w:rsid w:val="00962E42"/>
    <w:rsid w:val="0096323D"/>
    <w:rsid w:val="00964CF8"/>
    <w:rsid w:val="00965491"/>
    <w:rsid w:val="009660D2"/>
    <w:rsid w:val="0096651F"/>
    <w:rsid w:val="0096663F"/>
    <w:rsid w:val="0096689F"/>
    <w:rsid w:val="0096696E"/>
    <w:rsid w:val="00967858"/>
    <w:rsid w:val="00970191"/>
    <w:rsid w:val="00971690"/>
    <w:rsid w:val="00971968"/>
    <w:rsid w:val="00971C98"/>
    <w:rsid w:val="00971CA1"/>
    <w:rsid w:val="00971EF2"/>
    <w:rsid w:val="00971F62"/>
    <w:rsid w:val="00972225"/>
    <w:rsid w:val="009725BF"/>
    <w:rsid w:val="009728F6"/>
    <w:rsid w:val="00972F9D"/>
    <w:rsid w:val="00973AB0"/>
    <w:rsid w:val="0097453B"/>
    <w:rsid w:val="00974796"/>
    <w:rsid w:val="00974DEC"/>
    <w:rsid w:val="00975D25"/>
    <w:rsid w:val="00976437"/>
    <w:rsid w:val="009767E8"/>
    <w:rsid w:val="00977EC0"/>
    <w:rsid w:val="0098083B"/>
    <w:rsid w:val="009830ED"/>
    <w:rsid w:val="00983857"/>
    <w:rsid w:val="00984903"/>
    <w:rsid w:val="009852F4"/>
    <w:rsid w:val="00985548"/>
    <w:rsid w:val="0098593E"/>
    <w:rsid w:val="00985D07"/>
    <w:rsid w:val="0098670D"/>
    <w:rsid w:val="00986D26"/>
    <w:rsid w:val="00987ED5"/>
    <w:rsid w:val="009906A3"/>
    <w:rsid w:val="00992012"/>
    <w:rsid w:val="009928D8"/>
    <w:rsid w:val="009934D5"/>
    <w:rsid w:val="009939A3"/>
    <w:rsid w:val="009964F4"/>
    <w:rsid w:val="00997A9A"/>
    <w:rsid w:val="00997D22"/>
    <w:rsid w:val="009A08E0"/>
    <w:rsid w:val="009A0955"/>
    <w:rsid w:val="009A0B16"/>
    <w:rsid w:val="009A1E7B"/>
    <w:rsid w:val="009A206E"/>
    <w:rsid w:val="009A2F90"/>
    <w:rsid w:val="009A3B43"/>
    <w:rsid w:val="009A4370"/>
    <w:rsid w:val="009A4B15"/>
    <w:rsid w:val="009A4DE3"/>
    <w:rsid w:val="009A59BC"/>
    <w:rsid w:val="009A5FD4"/>
    <w:rsid w:val="009A66EE"/>
    <w:rsid w:val="009A694F"/>
    <w:rsid w:val="009B07B1"/>
    <w:rsid w:val="009B1E9E"/>
    <w:rsid w:val="009B25D3"/>
    <w:rsid w:val="009B2645"/>
    <w:rsid w:val="009B29A8"/>
    <w:rsid w:val="009B36FD"/>
    <w:rsid w:val="009B3DA7"/>
    <w:rsid w:val="009B3E6C"/>
    <w:rsid w:val="009B429F"/>
    <w:rsid w:val="009B432F"/>
    <w:rsid w:val="009B53E4"/>
    <w:rsid w:val="009B5A79"/>
    <w:rsid w:val="009B6917"/>
    <w:rsid w:val="009B6D15"/>
    <w:rsid w:val="009C0F0F"/>
    <w:rsid w:val="009C1003"/>
    <w:rsid w:val="009C3376"/>
    <w:rsid w:val="009C45EB"/>
    <w:rsid w:val="009C5139"/>
    <w:rsid w:val="009C5DDB"/>
    <w:rsid w:val="009C711C"/>
    <w:rsid w:val="009C7158"/>
    <w:rsid w:val="009C7C73"/>
    <w:rsid w:val="009D0597"/>
    <w:rsid w:val="009D0C1D"/>
    <w:rsid w:val="009D0D30"/>
    <w:rsid w:val="009D0D68"/>
    <w:rsid w:val="009D13A9"/>
    <w:rsid w:val="009D262A"/>
    <w:rsid w:val="009D2961"/>
    <w:rsid w:val="009D2C3C"/>
    <w:rsid w:val="009D2EB4"/>
    <w:rsid w:val="009D302A"/>
    <w:rsid w:val="009D309F"/>
    <w:rsid w:val="009D39E3"/>
    <w:rsid w:val="009D5ACF"/>
    <w:rsid w:val="009D5D06"/>
    <w:rsid w:val="009D5E8C"/>
    <w:rsid w:val="009D752D"/>
    <w:rsid w:val="009D7C2E"/>
    <w:rsid w:val="009E0331"/>
    <w:rsid w:val="009E06AB"/>
    <w:rsid w:val="009E11E2"/>
    <w:rsid w:val="009E1DE1"/>
    <w:rsid w:val="009E2684"/>
    <w:rsid w:val="009E28CC"/>
    <w:rsid w:val="009E3365"/>
    <w:rsid w:val="009E38E7"/>
    <w:rsid w:val="009E609B"/>
    <w:rsid w:val="009E6492"/>
    <w:rsid w:val="009E67C5"/>
    <w:rsid w:val="009E7C30"/>
    <w:rsid w:val="009F0985"/>
    <w:rsid w:val="009F128A"/>
    <w:rsid w:val="009F18AE"/>
    <w:rsid w:val="009F194D"/>
    <w:rsid w:val="009F1EEB"/>
    <w:rsid w:val="009F260C"/>
    <w:rsid w:val="009F372E"/>
    <w:rsid w:val="009F3FA7"/>
    <w:rsid w:val="009F4023"/>
    <w:rsid w:val="009F45A5"/>
    <w:rsid w:val="009F63BF"/>
    <w:rsid w:val="009F6B5A"/>
    <w:rsid w:val="009F6DB7"/>
    <w:rsid w:val="009F70BF"/>
    <w:rsid w:val="009F7131"/>
    <w:rsid w:val="00A018E2"/>
    <w:rsid w:val="00A01AC0"/>
    <w:rsid w:val="00A023EF"/>
    <w:rsid w:val="00A02851"/>
    <w:rsid w:val="00A0286D"/>
    <w:rsid w:val="00A0291E"/>
    <w:rsid w:val="00A044E0"/>
    <w:rsid w:val="00A046DF"/>
    <w:rsid w:val="00A048DD"/>
    <w:rsid w:val="00A051AD"/>
    <w:rsid w:val="00A05233"/>
    <w:rsid w:val="00A06A34"/>
    <w:rsid w:val="00A06A5A"/>
    <w:rsid w:val="00A0751E"/>
    <w:rsid w:val="00A07996"/>
    <w:rsid w:val="00A10DE6"/>
    <w:rsid w:val="00A10F72"/>
    <w:rsid w:val="00A13368"/>
    <w:rsid w:val="00A13D8B"/>
    <w:rsid w:val="00A143C1"/>
    <w:rsid w:val="00A14590"/>
    <w:rsid w:val="00A15907"/>
    <w:rsid w:val="00A159D9"/>
    <w:rsid w:val="00A15D8E"/>
    <w:rsid w:val="00A1602D"/>
    <w:rsid w:val="00A16B6B"/>
    <w:rsid w:val="00A16C9C"/>
    <w:rsid w:val="00A16DCB"/>
    <w:rsid w:val="00A178F0"/>
    <w:rsid w:val="00A17E6F"/>
    <w:rsid w:val="00A17E83"/>
    <w:rsid w:val="00A208FF"/>
    <w:rsid w:val="00A21924"/>
    <w:rsid w:val="00A21D0B"/>
    <w:rsid w:val="00A23349"/>
    <w:rsid w:val="00A238DA"/>
    <w:rsid w:val="00A24023"/>
    <w:rsid w:val="00A24349"/>
    <w:rsid w:val="00A24B02"/>
    <w:rsid w:val="00A264C3"/>
    <w:rsid w:val="00A30502"/>
    <w:rsid w:val="00A30528"/>
    <w:rsid w:val="00A3080A"/>
    <w:rsid w:val="00A31D21"/>
    <w:rsid w:val="00A31DC3"/>
    <w:rsid w:val="00A32A25"/>
    <w:rsid w:val="00A32AB2"/>
    <w:rsid w:val="00A33355"/>
    <w:rsid w:val="00A33379"/>
    <w:rsid w:val="00A3342F"/>
    <w:rsid w:val="00A34131"/>
    <w:rsid w:val="00A345FB"/>
    <w:rsid w:val="00A3703E"/>
    <w:rsid w:val="00A373A1"/>
    <w:rsid w:val="00A37A55"/>
    <w:rsid w:val="00A410CE"/>
    <w:rsid w:val="00A41495"/>
    <w:rsid w:val="00A41930"/>
    <w:rsid w:val="00A42643"/>
    <w:rsid w:val="00A431C3"/>
    <w:rsid w:val="00A432CF"/>
    <w:rsid w:val="00A4524F"/>
    <w:rsid w:val="00A45FDA"/>
    <w:rsid w:val="00A46444"/>
    <w:rsid w:val="00A46632"/>
    <w:rsid w:val="00A47D2D"/>
    <w:rsid w:val="00A50FB1"/>
    <w:rsid w:val="00A51276"/>
    <w:rsid w:val="00A51779"/>
    <w:rsid w:val="00A51C72"/>
    <w:rsid w:val="00A52DA0"/>
    <w:rsid w:val="00A54132"/>
    <w:rsid w:val="00A546B0"/>
    <w:rsid w:val="00A55565"/>
    <w:rsid w:val="00A558E2"/>
    <w:rsid w:val="00A55908"/>
    <w:rsid w:val="00A57371"/>
    <w:rsid w:val="00A57415"/>
    <w:rsid w:val="00A5799C"/>
    <w:rsid w:val="00A57FE5"/>
    <w:rsid w:val="00A605C1"/>
    <w:rsid w:val="00A61415"/>
    <w:rsid w:val="00A61A73"/>
    <w:rsid w:val="00A61AFC"/>
    <w:rsid w:val="00A62246"/>
    <w:rsid w:val="00A62514"/>
    <w:rsid w:val="00A62C4C"/>
    <w:rsid w:val="00A62EB1"/>
    <w:rsid w:val="00A62F21"/>
    <w:rsid w:val="00A63464"/>
    <w:rsid w:val="00A63FBF"/>
    <w:rsid w:val="00A64036"/>
    <w:rsid w:val="00A6511B"/>
    <w:rsid w:val="00A6694F"/>
    <w:rsid w:val="00A669CC"/>
    <w:rsid w:val="00A66B31"/>
    <w:rsid w:val="00A67C67"/>
    <w:rsid w:val="00A709C9"/>
    <w:rsid w:val="00A70E70"/>
    <w:rsid w:val="00A713BC"/>
    <w:rsid w:val="00A71469"/>
    <w:rsid w:val="00A71ADB"/>
    <w:rsid w:val="00A7215C"/>
    <w:rsid w:val="00A734B2"/>
    <w:rsid w:val="00A737BC"/>
    <w:rsid w:val="00A73D82"/>
    <w:rsid w:val="00A73E64"/>
    <w:rsid w:val="00A74D52"/>
    <w:rsid w:val="00A75333"/>
    <w:rsid w:val="00A76659"/>
    <w:rsid w:val="00A76738"/>
    <w:rsid w:val="00A771AC"/>
    <w:rsid w:val="00A7790D"/>
    <w:rsid w:val="00A80701"/>
    <w:rsid w:val="00A81E23"/>
    <w:rsid w:val="00A822A6"/>
    <w:rsid w:val="00A82A78"/>
    <w:rsid w:val="00A8322A"/>
    <w:rsid w:val="00A83494"/>
    <w:rsid w:val="00A834BD"/>
    <w:rsid w:val="00A85268"/>
    <w:rsid w:val="00A854D0"/>
    <w:rsid w:val="00A854FB"/>
    <w:rsid w:val="00A86710"/>
    <w:rsid w:val="00A86AD3"/>
    <w:rsid w:val="00A86EBB"/>
    <w:rsid w:val="00A87B95"/>
    <w:rsid w:val="00A90752"/>
    <w:rsid w:val="00A907D4"/>
    <w:rsid w:val="00A90F38"/>
    <w:rsid w:val="00A910EE"/>
    <w:rsid w:val="00A91129"/>
    <w:rsid w:val="00A91E9E"/>
    <w:rsid w:val="00A92278"/>
    <w:rsid w:val="00A92834"/>
    <w:rsid w:val="00A93613"/>
    <w:rsid w:val="00A93687"/>
    <w:rsid w:val="00A946D9"/>
    <w:rsid w:val="00A9487B"/>
    <w:rsid w:val="00A9531D"/>
    <w:rsid w:val="00A967FC"/>
    <w:rsid w:val="00A96B2E"/>
    <w:rsid w:val="00AA01AA"/>
    <w:rsid w:val="00AA2703"/>
    <w:rsid w:val="00AA3496"/>
    <w:rsid w:val="00AA40EB"/>
    <w:rsid w:val="00AA4E88"/>
    <w:rsid w:val="00AA6F04"/>
    <w:rsid w:val="00AA7A59"/>
    <w:rsid w:val="00AB09DB"/>
    <w:rsid w:val="00AB0A76"/>
    <w:rsid w:val="00AB0FDB"/>
    <w:rsid w:val="00AB2CD9"/>
    <w:rsid w:val="00AB3B4C"/>
    <w:rsid w:val="00AB43EC"/>
    <w:rsid w:val="00AB5D51"/>
    <w:rsid w:val="00AB751E"/>
    <w:rsid w:val="00AC07BC"/>
    <w:rsid w:val="00AC1B3B"/>
    <w:rsid w:val="00AC4145"/>
    <w:rsid w:val="00AC496C"/>
    <w:rsid w:val="00AC4E05"/>
    <w:rsid w:val="00AC5043"/>
    <w:rsid w:val="00AC5753"/>
    <w:rsid w:val="00AC62F4"/>
    <w:rsid w:val="00AC758D"/>
    <w:rsid w:val="00AC79C8"/>
    <w:rsid w:val="00AC7FF6"/>
    <w:rsid w:val="00AD0097"/>
    <w:rsid w:val="00AD0D57"/>
    <w:rsid w:val="00AD126A"/>
    <w:rsid w:val="00AD139B"/>
    <w:rsid w:val="00AD29BF"/>
    <w:rsid w:val="00AD2AE3"/>
    <w:rsid w:val="00AD3709"/>
    <w:rsid w:val="00AD4F9A"/>
    <w:rsid w:val="00AD5C94"/>
    <w:rsid w:val="00AD6B92"/>
    <w:rsid w:val="00AD6E28"/>
    <w:rsid w:val="00AD705E"/>
    <w:rsid w:val="00AE01C5"/>
    <w:rsid w:val="00AE1225"/>
    <w:rsid w:val="00AE158C"/>
    <w:rsid w:val="00AE1CA5"/>
    <w:rsid w:val="00AE224E"/>
    <w:rsid w:val="00AE230C"/>
    <w:rsid w:val="00AE2E93"/>
    <w:rsid w:val="00AE5E06"/>
    <w:rsid w:val="00AE610D"/>
    <w:rsid w:val="00AE7B4C"/>
    <w:rsid w:val="00AF0CE2"/>
    <w:rsid w:val="00AF1476"/>
    <w:rsid w:val="00AF251D"/>
    <w:rsid w:val="00AF25EF"/>
    <w:rsid w:val="00AF3411"/>
    <w:rsid w:val="00AF3D9D"/>
    <w:rsid w:val="00AF4658"/>
    <w:rsid w:val="00AF4BF3"/>
    <w:rsid w:val="00AF4C36"/>
    <w:rsid w:val="00AF53A5"/>
    <w:rsid w:val="00AF5990"/>
    <w:rsid w:val="00AF5E7D"/>
    <w:rsid w:val="00AF6331"/>
    <w:rsid w:val="00AF686F"/>
    <w:rsid w:val="00AF69D9"/>
    <w:rsid w:val="00AF6CF4"/>
    <w:rsid w:val="00B002BA"/>
    <w:rsid w:val="00B00700"/>
    <w:rsid w:val="00B00AAA"/>
    <w:rsid w:val="00B00CF4"/>
    <w:rsid w:val="00B0180B"/>
    <w:rsid w:val="00B0254D"/>
    <w:rsid w:val="00B029C4"/>
    <w:rsid w:val="00B02BCE"/>
    <w:rsid w:val="00B038E8"/>
    <w:rsid w:val="00B04F1A"/>
    <w:rsid w:val="00B055A6"/>
    <w:rsid w:val="00B059AC"/>
    <w:rsid w:val="00B05CA9"/>
    <w:rsid w:val="00B06378"/>
    <w:rsid w:val="00B06719"/>
    <w:rsid w:val="00B07566"/>
    <w:rsid w:val="00B0781E"/>
    <w:rsid w:val="00B07837"/>
    <w:rsid w:val="00B07A6F"/>
    <w:rsid w:val="00B07CF3"/>
    <w:rsid w:val="00B10408"/>
    <w:rsid w:val="00B115A0"/>
    <w:rsid w:val="00B11F07"/>
    <w:rsid w:val="00B12286"/>
    <w:rsid w:val="00B12BF1"/>
    <w:rsid w:val="00B138E8"/>
    <w:rsid w:val="00B15524"/>
    <w:rsid w:val="00B1559A"/>
    <w:rsid w:val="00B176FD"/>
    <w:rsid w:val="00B17A4C"/>
    <w:rsid w:val="00B2089B"/>
    <w:rsid w:val="00B21388"/>
    <w:rsid w:val="00B236A0"/>
    <w:rsid w:val="00B2412A"/>
    <w:rsid w:val="00B242ED"/>
    <w:rsid w:val="00B251F1"/>
    <w:rsid w:val="00B25659"/>
    <w:rsid w:val="00B267B6"/>
    <w:rsid w:val="00B268E9"/>
    <w:rsid w:val="00B311A3"/>
    <w:rsid w:val="00B32145"/>
    <w:rsid w:val="00B3339A"/>
    <w:rsid w:val="00B3363E"/>
    <w:rsid w:val="00B33981"/>
    <w:rsid w:val="00B34EB1"/>
    <w:rsid w:val="00B36DB8"/>
    <w:rsid w:val="00B37038"/>
    <w:rsid w:val="00B370EC"/>
    <w:rsid w:val="00B40187"/>
    <w:rsid w:val="00B4018E"/>
    <w:rsid w:val="00B406DD"/>
    <w:rsid w:val="00B40A9E"/>
    <w:rsid w:val="00B40CE9"/>
    <w:rsid w:val="00B40F2D"/>
    <w:rsid w:val="00B4152C"/>
    <w:rsid w:val="00B42312"/>
    <w:rsid w:val="00B425D6"/>
    <w:rsid w:val="00B432B6"/>
    <w:rsid w:val="00B43F93"/>
    <w:rsid w:val="00B44479"/>
    <w:rsid w:val="00B4489E"/>
    <w:rsid w:val="00B44FEF"/>
    <w:rsid w:val="00B45365"/>
    <w:rsid w:val="00B461A2"/>
    <w:rsid w:val="00B46310"/>
    <w:rsid w:val="00B46793"/>
    <w:rsid w:val="00B46CFF"/>
    <w:rsid w:val="00B47723"/>
    <w:rsid w:val="00B47A54"/>
    <w:rsid w:val="00B505C0"/>
    <w:rsid w:val="00B514D0"/>
    <w:rsid w:val="00B5231D"/>
    <w:rsid w:val="00B52353"/>
    <w:rsid w:val="00B52C6C"/>
    <w:rsid w:val="00B52F89"/>
    <w:rsid w:val="00B53E5D"/>
    <w:rsid w:val="00B55000"/>
    <w:rsid w:val="00B553B7"/>
    <w:rsid w:val="00B55E71"/>
    <w:rsid w:val="00B55F40"/>
    <w:rsid w:val="00B5638F"/>
    <w:rsid w:val="00B5640F"/>
    <w:rsid w:val="00B564F8"/>
    <w:rsid w:val="00B5739E"/>
    <w:rsid w:val="00B6020F"/>
    <w:rsid w:val="00B6085A"/>
    <w:rsid w:val="00B61791"/>
    <w:rsid w:val="00B62020"/>
    <w:rsid w:val="00B62A95"/>
    <w:rsid w:val="00B63550"/>
    <w:rsid w:val="00B63E60"/>
    <w:rsid w:val="00B648A3"/>
    <w:rsid w:val="00B65B1A"/>
    <w:rsid w:val="00B65D0C"/>
    <w:rsid w:val="00B667EE"/>
    <w:rsid w:val="00B66C91"/>
    <w:rsid w:val="00B67B6B"/>
    <w:rsid w:val="00B70F08"/>
    <w:rsid w:val="00B72C5E"/>
    <w:rsid w:val="00B7324D"/>
    <w:rsid w:val="00B74090"/>
    <w:rsid w:val="00B74BD5"/>
    <w:rsid w:val="00B7511E"/>
    <w:rsid w:val="00B751A5"/>
    <w:rsid w:val="00B754DD"/>
    <w:rsid w:val="00B75CDA"/>
    <w:rsid w:val="00B769D4"/>
    <w:rsid w:val="00B76F2A"/>
    <w:rsid w:val="00B7721D"/>
    <w:rsid w:val="00B803BD"/>
    <w:rsid w:val="00B80C7D"/>
    <w:rsid w:val="00B80DBD"/>
    <w:rsid w:val="00B80DCF"/>
    <w:rsid w:val="00B80FC1"/>
    <w:rsid w:val="00B8119B"/>
    <w:rsid w:val="00B811D8"/>
    <w:rsid w:val="00B8139F"/>
    <w:rsid w:val="00B8151B"/>
    <w:rsid w:val="00B8151E"/>
    <w:rsid w:val="00B817DF"/>
    <w:rsid w:val="00B81A22"/>
    <w:rsid w:val="00B81C94"/>
    <w:rsid w:val="00B823D9"/>
    <w:rsid w:val="00B834C9"/>
    <w:rsid w:val="00B835A7"/>
    <w:rsid w:val="00B83895"/>
    <w:rsid w:val="00B83A9A"/>
    <w:rsid w:val="00B84996"/>
    <w:rsid w:val="00B84F23"/>
    <w:rsid w:val="00B85268"/>
    <w:rsid w:val="00B852E6"/>
    <w:rsid w:val="00B86A09"/>
    <w:rsid w:val="00B87420"/>
    <w:rsid w:val="00B87AE4"/>
    <w:rsid w:val="00B87FC4"/>
    <w:rsid w:val="00B90240"/>
    <w:rsid w:val="00B903E6"/>
    <w:rsid w:val="00B905D5"/>
    <w:rsid w:val="00B90B6A"/>
    <w:rsid w:val="00B912FA"/>
    <w:rsid w:val="00B915E9"/>
    <w:rsid w:val="00B91BFA"/>
    <w:rsid w:val="00B925FE"/>
    <w:rsid w:val="00B92C78"/>
    <w:rsid w:val="00B92C9F"/>
    <w:rsid w:val="00B934E6"/>
    <w:rsid w:val="00B93E39"/>
    <w:rsid w:val="00B9705F"/>
    <w:rsid w:val="00B97FE3"/>
    <w:rsid w:val="00BA0082"/>
    <w:rsid w:val="00BA0145"/>
    <w:rsid w:val="00BA11D8"/>
    <w:rsid w:val="00BA186C"/>
    <w:rsid w:val="00BA1B7C"/>
    <w:rsid w:val="00BA2677"/>
    <w:rsid w:val="00BA381E"/>
    <w:rsid w:val="00BA423F"/>
    <w:rsid w:val="00BA4456"/>
    <w:rsid w:val="00BA5085"/>
    <w:rsid w:val="00BA5790"/>
    <w:rsid w:val="00BA5B33"/>
    <w:rsid w:val="00BA6532"/>
    <w:rsid w:val="00BB1018"/>
    <w:rsid w:val="00BB1DD0"/>
    <w:rsid w:val="00BB2183"/>
    <w:rsid w:val="00BB2257"/>
    <w:rsid w:val="00BB2326"/>
    <w:rsid w:val="00BB2407"/>
    <w:rsid w:val="00BB430D"/>
    <w:rsid w:val="00BB56AD"/>
    <w:rsid w:val="00BB749D"/>
    <w:rsid w:val="00BB76F6"/>
    <w:rsid w:val="00BB7B82"/>
    <w:rsid w:val="00BC165D"/>
    <w:rsid w:val="00BC2CBF"/>
    <w:rsid w:val="00BC304F"/>
    <w:rsid w:val="00BC34D9"/>
    <w:rsid w:val="00BC3CCE"/>
    <w:rsid w:val="00BC4920"/>
    <w:rsid w:val="00BC61A8"/>
    <w:rsid w:val="00BC620A"/>
    <w:rsid w:val="00BC64A5"/>
    <w:rsid w:val="00BC7B25"/>
    <w:rsid w:val="00BD03B9"/>
    <w:rsid w:val="00BD0581"/>
    <w:rsid w:val="00BD1DB3"/>
    <w:rsid w:val="00BD208F"/>
    <w:rsid w:val="00BD2488"/>
    <w:rsid w:val="00BD2FF2"/>
    <w:rsid w:val="00BD33A7"/>
    <w:rsid w:val="00BD36E0"/>
    <w:rsid w:val="00BD3D49"/>
    <w:rsid w:val="00BD4065"/>
    <w:rsid w:val="00BD4151"/>
    <w:rsid w:val="00BD4CCE"/>
    <w:rsid w:val="00BD5258"/>
    <w:rsid w:val="00BD69D3"/>
    <w:rsid w:val="00BD6FC0"/>
    <w:rsid w:val="00BD7812"/>
    <w:rsid w:val="00BE01E9"/>
    <w:rsid w:val="00BE0316"/>
    <w:rsid w:val="00BE153A"/>
    <w:rsid w:val="00BE17AC"/>
    <w:rsid w:val="00BE1A52"/>
    <w:rsid w:val="00BE3287"/>
    <w:rsid w:val="00BE3480"/>
    <w:rsid w:val="00BE4770"/>
    <w:rsid w:val="00BE47D4"/>
    <w:rsid w:val="00BE4AB5"/>
    <w:rsid w:val="00BE4C89"/>
    <w:rsid w:val="00BE6C78"/>
    <w:rsid w:val="00BE76C3"/>
    <w:rsid w:val="00BE7766"/>
    <w:rsid w:val="00BE7FCA"/>
    <w:rsid w:val="00BF0828"/>
    <w:rsid w:val="00BF0B28"/>
    <w:rsid w:val="00BF0BE9"/>
    <w:rsid w:val="00BF19CC"/>
    <w:rsid w:val="00BF1F53"/>
    <w:rsid w:val="00BF2979"/>
    <w:rsid w:val="00BF3E87"/>
    <w:rsid w:val="00BF4014"/>
    <w:rsid w:val="00BF43E6"/>
    <w:rsid w:val="00BF56A9"/>
    <w:rsid w:val="00BF5758"/>
    <w:rsid w:val="00BF6CCC"/>
    <w:rsid w:val="00BF6F68"/>
    <w:rsid w:val="00BF73C0"/>
    <w:rsid w:val="00BF7FCA"/>
    <w:rsid w:val="00C00039"/>
    <w:rsid w:val="00C008FB"/>
    <w:rsid w:val="00C01395"/>
    <w:rsid w:val="00C02D37"/>
    <w:rsid w:val="00C038CB"/>
    <w:rsid w:val="00C065F4"/>
    <w:rsid w:val="00C075CD"/>
    <w:rsid w:val="00C07780"/>
    <w:rsid w:val="00C07FD8"/>
    <w:rsid w:val="00C1088F"/>
    <w:rsid w:val="00C10C20"/>
    <w:rsid w:val="00C10D75"/>
    <w:rsid w:val="00C11E28"/>
    <w:rsid w:val="00C11E33"/>
    <w:rsid w:val="00C11ED7"/>
    <w:rsid w:val="00C121D9"/>
    <w:rsid w:val="00C129B1"/>
    <w:rsid w:val="00C132BE"/>
    <w:rsid w:val="00C1429F"/>
    <w:rsid w:val="00C14F2F"/>
    <w:rsid w:val="00C14F7A"/>
    <w:rsid w:val="00C15317"/>
    <w:rsid w:val="00C213EE"/>
    <w:rsid w:val="00C214C9"/>
    <w:rsid w:val="00C21E55"/>
    <w:rsid w:val="00C222A5"/>
    <w:rsid w:val="00C22649"/>
    <w:rsid w:val="00C228C2"/>
    <w:rsid w:val="00C22917"/>
    <w:rsid w:val="00C23279"/>
    <w:rsid w:val="00C232D1"/>
    <w:rsid w:val="00C24456"/>
    <w:rsid w:val="00C2531E"/>
    <w:rsid w:val="00C25458"/>
    <w:rsid w:val="00C26D0D"/>
    <w:rsid w:val="00C27118"/>
    <w:rsid w:val="00C27BB8"/>
    <w:rsid w:val="00C27EE8"/>
    <w:rsid w:val="00C3018B"/>
    <w:rsid w:val="00C3073F"/>
    <w:rsid w:val="00C309E6"/>
    <w:rsid w:val="00C30D62"/>
    <w:rsid w:val="00C313C9"/>
    <w:rsid w:val="00C3144B"/>
    <w:rsid w:val="00C327F6"/>
    <w:rsid w:val="00C32EA8"/>
    <w:rsid w:val="00C344B5"/>
    <w:rsid w:val="00C34DF6"/>
    <w:rsid w:val="00C354C0"/>
    <w:rsid w:val="00C36E0A"/>
    <w:rsid w:val="00C37799"/>
    <w:rsid w:val="00C3785A"/>
    <w:rsid w:val="00C40470"/>
    <w:rsid w:val="00C406EF"/>
    <w:rsid w:val="00C407FB"/>
    <w:rsid w:val="00C40DAB"/>
    <w:rsid w:val="00C41217"/>
    <w:rsid w:val="00C41636"/>
    <w:rsid w:val="00C41A8A"/>
    <w:rsid w:val="00C42E78"/>
    <w:rsid w:val="00C4365F"/>
    <w:rsid w:val="00C441DD"/>
    <w:rsid w:val="00C44964"/>
    <w:rsid w:val="00C44DD1"/>
    <w:rsid w:val="00C44DF4"/>
    <w:rsid w:val="00C44F77"/>
    <w:rsid w:val="00C45FD4"/>
    <w:rsid w:val="00C46C79"/>
    <w:rsid w:val="00C47C15"/>
    <w:rsid w:val="00C50777"/>
    <w:rsid w:val="00C50DFF"/>
    <w:rsid w:val="00C50E9A"/>
    <w:rsid w:val="00C53097"/>
    <w:rsid w:val="00C54023"/>
    <w:rsid w:val="00C54772"/>
    <w:rsid w:val="00C54E01"/>
    <w:rsid w:val="00C5508C"/>
    <w:rsid w:val="00C55223"/>
    <w:rsid w:val="00C55D5D"/>
    <w:rsid w:val="00C573BE"/>
    <w:rsid w:val="00C57E26"/>
    <w:rsid w:val="00C60022"/>
    <w:rsid w:val="00C6056E"/>
    <w:rsid w:val="00C60F7E"/>
    <w:rsid w:val="00C63D57"/>
    <w:rsid w:val="00C6484A"/>
    <w:rsid w:val="00C64BF6"/>
    <w:rsid w:val="00C651E6"/>
    <w:rsid w:val="00C65694"/>
    <w:rsid w:val="00C65D06"/>
    <w:rsid w:val="00C664BA"/>
    <w:rsid w:val="00C6693C"/>
    <w:rsid w:val="00C672A1"/>
    <w:rsid w:val="00C67441"/>
    <w:rsid w:val="00C67A85"/>
    <w:rsid w:val="00C67E09"/>
    <w:rsid w:val="00C67E95"/>
    <w:rsid w:val="00C7027A"/>
    <w:rsid w:val="00C71842"/>
    <w:rsid w:val="00C728C2"/>
    <w:rsid w:val="00C72FC5"/>
    <w:rsid w:val="00C73804"/>
    <w:rsid w:val="00C73839"/>
    <w:rsid w:val="00C74FFB"/>
    <w:rsid w:val="00C76F8B"/>
    <w:rsid w:val="00C77C2F"/>
    <w:rsid w:val="00C807B1"/>
    <w:rsid w:val="00C8106A"/>
    <w:rsid w:val="00C823A4"/>
    <w:rsid w:val="00C8306A"/>
    <w:rsid w:val="00C8396F"/>
    <w:rsid w:val="00C84354"/>
    <w:rsid w:val="00C84642"/>
    <w:rsid w:val="00C871A2"/>
    <w:rsid w:val="00C901EC"/>
    <w:rsid w:val="00C911A7"/>
    <w:rsid w:val="00C917BD"/>
    <w:rsid w:val="00C91F83"/>
    <w:rsid w:val="00C923D9"/>
    <w:rsid w:val="00C929DC"/>
    <w:rsid w:val="00C93318"/>
    <w:rsid w:val="00C934CF"/>
    <w:rsid w:val="00C94A4E"/>
    <w:rsid w:val="00C94C07"/>
    <w:rsid w:val="00C95076"/>
    <w:rsid w:val="00C95422"/>
    <w:rsid w:val="00C956E8"/>
    <w:rsid w:val="00C96920"/>
    <w:rsid w:val="00C9713A"/>
    <w:rsid w:val="00C97767"/>
    <w:rsid w:val="00CA0DEC"/>
    <w:rsid w:val="00CA3748"/>
    <w:rsid w:val="00CA46AD"/>
    <w:rsid w:val="00CA471B"/>
    <w:rsid w:val="00CA5AD9"/>
    <w:rsid w:val="00CA5C78"/>
    <w:rsid w:val="00CA5CAC"/>
    <w:rsid w:val="00CA63CE"/>
    <w:rsid w:val="00CA7570"/>
    <w:rsid w:val="00CB150E"/>
    <w:rsid w:val="00CB190C"/>
    <w:rsid w:val="00CB1CCF"/>
    <w:rsid w:val="00CB2AB0"/>
    <w:rsid w:val="00CB2C78"/>
    <w:rsid w:val="00CB3C9F"/>
    <w:rsid w:val="00CB40B6"/>
    <w:rsid w:val="00CB4E63"/>
    <w:rsid w:val="00CB4F16"/>
    <w:rsid w:val="00CB4F61"/>
    <w:rsid w:val="00CB4FE9"/>
    <w:rsid w:val="00CB552D"/>
    <w:rsid w:val="00CB63CE"/>
    <w:rsid w:val="00CB6D5E"/>
    <w:rsid w:val="00CB72B6"/>
    <w:rsid w:val="00CC0474"/>
    <w:rsid w:val="00CC0640"/>
    <w:rsid w:val="00CC1973"/>
    <w:rsid w:val="00CC2EC9"/>
    <w:rsid w:val="00CC3B15"/>
    <w:rsid w:val="00CC3EA5"/>
    <w:rsid w:val="00CC474A"/>
    <w:rsid w:val="00CC5240"/>
    <w:rsid w:val="00CC6B10"/>
    <w:rsid w:val="00CD078E"/>
    <w:rsid w:val="00CD08A0"/>
    <w:rsid w:val="00CD0CCF"/>
    <w:rsid w:val="00CD1B7A"/>
    <w:rsid w:val="00CD26D2"/>
    <w:rsid w:val="00CD27CF"/>
    <w:rsid w:val="00CD3F4A"/>
    <w:rsid w:val="00CD496E"/>
    <w:rsid w:val="00CD4D3E"/>
    <w:rsid w:val="00CD516E"/>
    <w:rsid w:val="00CD7A03"/>
    <w:rsid w:val="00CD7FE3"/>
    <w:rsid w:val="00CE0BCC"/>
    <w:rsid w:val="00CE1912"/>
    <w:rsid w:val="00CE1DB3"/>
    <w:rsid w:val="00CE217F"/>
    <w:rsid w:val="00CE2AE7"/>
    <w:rsid w:val="00CE2BA0"/>
    <w:rsid w:val="00CE385E"/>
    <w:rsid w:val="00CE538B"/>
    <w:rsid w:val="00CE5F75"/>
    <w:rsid w:val="00CE6214"/>
    <w:rsid w:val="00CE6499"/>
    <w:rsid w:val="00CE68E8"/>
    <w:rsid w:val="00CE719A"/>
    <w:rsid w:val="00CF0084"/>
    <w:rsid w:val="00CF01F2"/>
    <w:rsid w:val="00CF1159"/>
    <w:rsid w:val="00CF151C"/>
    <w:rsid w:val="00CF16D0"/>
    <w:rsid w:val="00CF23C2"/>
    <w:rsid w:val="00CF28C6"/>
    <w:rsid w:val="00CF4F82"/>
    <w:rsid w:val="00CF6012"/>
    <w:rsid w:val="00CF62BD"/>
    <w:rsid w:val="00CF6919"/>
    <w:rsid w:val="00CF7338"/>
    <w:rsid w:val="00D006F1"/>
    <w:rsid w:val="00D0070F"/>
    <w:rsid w:val="00D00E53"/>
    <w:rsid w:val="00D01AE0"/>
    <w:rsid w:val="00D02668"/>
    <w:rsid w:val="00D03A87"/>
    <w:rsid w:val="00D04CC6"/>
    <w:rsid w:val="00D04D22"/>
    <w:rsid w:val="00D04F2F"/>
    <w:rsid w:val="00D04F54"/>
    <w:rsid w:val="00D06181"/>
    <w:rsid w:val="00D06A54"/>
    <w:rsid w:val="00D071C0"/>
    <w:rsid w:val="00D07949"/>
    <w:rsid w:val="00D07C5C"/>
    <w:rsid w:val="00D10A6B"/>
    <w:rsid w:val="00D10F94"/>
    <w:rsid w:val="00D1560B"/>
    <w:rsid w:val="00D1570A"/>
    <w:rsid w:val="00D15D89"/>
    <w:rsid w:val="00D16240"/>
    <w:rsid w:val="00D1649D"/>
    <w:rsid w:val="00D17734"/>
    <w:rsid w:val="00D177A4"/>
    <w:rsid w:val="00D17CD5"/>
    <w:rsid w:val="00D20ABC"/>
    <w:rsid w:val="00D20CAC"/>
    <w:rsid w:val="00D20F95"/>
    <w:rsid w:val="00D218E5"/>
    <w:rsid w:val="00D21EA1"/>
    <w:rsid w:val="00D22406"/>
    <w:rsid w:val="00D23EFC"/>
    <w:rsid w:val="00D2483A"/>
    <w:rsid w:val="00D25EB0"/>
    <w:rsid w:val="00D276BD"/>
    <w:rsid w:val="00D30E77"/>
    <w:rsid w:val="00D32448"/>
    <w:rsid w:val="00D33027"/>
    <w:rsid w:val="00D33086"/>
    <w:rsid w:val="00D33748"/>
    <w:rsid w:val="00D339EF"/>
    <w:rsid w:val="00D340B6"/>
    <w:rsid w:val="00D346DD"/>
    <w:rsid w:val="00D3486A"/>
    <w:rsid w:val="00D34D47"/>
    <w:rsid w:val="00D35268"/>
    <w:rsid w:val="00D3656F"/>
    <w:rsid w:val="00D36D83"/>
    <w:rsid w:val="00D3762B"/>
    <w:rsid w:val="00D37E30"/>
    <w:rsid w:val="00D41489"/>
    <w:rsid w:val="00D41631"/>
    <w:rsid w:val="00D42992"/>
    <w:rsid w:val="00D430D9"/>
    <w:rsid w:val="00D43730"/>
    <w:rsid w:val="00D4636B"/>
    <w:rsid w:val="00D46AB6"/>
    <w:rsid w:val="00D4759D"/>
    <w:rsid w:val="00D4787C"/>
    <w:rsid w:val="00D50573"/>
    <w:rsid w:val="00D507B9"/>
    <w:rsid w:val="00D52228"/>
    <w:rsid w:val="00D52946"/>
    <w:rsid w:val="00D52FDD"/>
    <w:rsid w:val="00D532DA"/>
    <w:rsid w:val="00D53502"/>
    <w:rsid w:val="00D53ED6"/>
    <w:rsid w:val="00D53F22"/>
    <w:rsid w:val="00D53F66"/>
    <w:rsid w:val="00D54367"/>
    <w:rsid w:val="00D54524"/>
    <w:rsid w:val="00D54CC3"/>
    <w:rsid w:val="00D54D21"/>
    <w:rsid w:val="00D5565A"/>
    <w:rsid w:val="00D55F80"/>
    <w:rsid w:val="00D56091"/>
    <w:rsid w:val="00D560AA"/>
    <w:rsid w:val="00D56154"/>
    <w:rsid w:val="00D56A7D"/>
    <w:rsid w:val="00D56FE8"/>
    <w:rsid w:val="00D57327"/>
    <w:rsid w:val="00D57369"/>
    <w:rsid w:val="00D576ED"/>
    <w:rsid w:val="00D57A2C"/>
    <w:rsid w:val="00D60DDA"/>
    <w:rsid w:val="00D6192F"/>
    <w:rsid w:val="00D61E90"/>
    <w:rsid w:val="00D62644"/>
    <w:rsid w:val="00D62D31"/>
    <w:rsid w:val="00D63400"/>
    <w:rsid w:val="00D642DF"/>
    <w:rsid w:val="00D6450D"/>
    <w:rsid w:val="00D65770"/>
    <w:rsid w:val="00D67880"/>
    <w:rsid w:val="00D679F5"/>
    <w:rsid w:val="00D71659"/>
    <w:rsid w:val="00D72664"/>
    <w:rsid w:val="00D74B39"/>
    <w:rsid w:val="00D753C1"/>
    <w:rsid w:val="00D75457"/>
    <w:rsid w:val="00D76406"/>
    <w:rsid w:val="00D77E82"/>
    <w:rsid w:val="00D81202"/>
    <w:rsid w:val="00D814E5"/>
    <w:rsid w:val="00D81FE7"/>
    <w:rsid w:val="00D82F40"/>
    <w:rsid w:val="00D832FC"/>
    <w:rsid w:val="00D834AC"/>
    <w:rsid w:val="00D83CB9"/>
    <w:rsid w:val="00D83CD1"/>
    <w:rsid w:val="00D84B5F"/>
    <w:rsid w:val="00D85E39"/>
    <w:rsid w:val="00D85FEB"/>
    <w:rsid w:val="00D86C12"/>
    <w:rsid w:val="00D86EBA"/>
    <w:rsid w:val="00D87441"/>
    <w:rsid w:val="00D875A6"/>
    <w:rsid w:val="00D8785D"/>
    <w:rsid w:val="00D87BB3"/>
    <w:rsid w:val="00D904D3"/>
    <w:rsid w:val="00D91803"/>
    <w:rsid w:val="00D918AE"/>
    <w:rsid w:val="00D9296F"/>
    <w:rsid w:val="00D92B4E"/>
    <w:rsid w:val="00D92E47"/>
    <w:rsid w:val="00D94622"/>
    <w:rsid w:val="00D9475D"/>
    <w:rsid w:val="00D96085"/>
    <w:rsid w:val="00D97332"/>
    <w:rsid w:val="00D977E6"/>
    <w:rsid w:val="00D979F9"/>
    <w:rsid w:val="00DA336D"/>
    <w:rsid w:val="00DA3490"/>
    <w:rsid w:val="00DA40A1"/>
    <w:rsid w:val="00DA4119"/>
    <w:rsid w:val="00DA45D6"/>
    <w:rsid w:val="00DA4C6A"/>
    <w:rsid w:val="00DA5530"/>
    <w:rsid w:val="00DA5D49"/>
    <w:rsid w:val="00DA5F5C"/>
    <w:rsid w:val="00DA6819"/>
    <w:rsid w:val="00DA69B6"/>
    <w:rsid w:val="00DA76F1"/>
    <w:rsid w:val="00DA7C96"/>
    <w:rsid w:val="00DA7D64"/>
    <w:rsid w:val="00DB02A2"/>
    <w:rsid w:val="00DB0815"/>
    <w:rsid w:val="00DB0829"/>
    <w:rsid w:val="00DB1372"/>
    <w:rsid w:val="00DB2002"/>
    <w:rsid w:val="00DB20F4"/>
    <w:rsid w:val="00DB230F"/>
    <w:rsid w:val="00DB25EA"/>
    <w:rsid w:val="00DB2B98"/>
    <w:rsid w:val="00DB30B3"/>
    <w:rsid w:val="00DB31F7"/>
    <w:rsid w:val="00DB3966"/>
    <w:rsid w:val="00DB39C2"/>
    <w:rsid w:val="00DB4A27"/>
    <w:rsid w:val="00DB58B2"/>
    <w:rsid w:val="00DB5CEC"/>
    <w:rsid w:val="00DB6483"/>
    <w:rsid w:val="00DB66D6"/>
    <w:rsid w:val="00DB6C01"/>
    <w:rsid w:val="00DB6E37"/>
    <w:rsid w:val="00DB7DA5"/>
    <w:rsid w:val="00DB7DFC"/>
    <w:rsid w:val="00DC0942"/>
    <w:rsid w:val="00DC0A63"/>
    <w:rsid w:val="00DC0B3E"/>
    <w:rsid w:val="00DC1120"/>
    <w:rsid w:val="00DC12E5"/>
    <w:rsid w:val="00DC180C"/>
    <w:rsid w:val="00DC1D1C"/>
    <w:rsid w:val="00DC1FAC"/>
    <w:rsid w:val="00DC2620"/>
    <w:rsid w:val="00DC2D3D"/>
    <w:rsid w:val="00DC3BF7"/>
    <w:rsid w:val="00DC4C1C"/>
    <w:rsid w:val="00DC5843"/>
    <w:rsid w:val="00DC6015"/>
    <w:rsid w:val="00DC64B9"/>
    <w:rsid w:val="00DC6B0B"/>
    <w:rsid w:val="00DC7262"/>
    <w:rsid w:val="00DC7329"/>
    <w:rsid w:val="00DC751E"/>
    <w:rsid w:val="00DC771E"/>
    <w:rsid w:val="00DD015C"/>
    <w:rsid w:val="00DD16A3"/>
    <w:rsid w:val="00DD1940"/>
    <w:rsid w:val="00DD424D"/>
    <w:rsid w:val="00DD47C7"/>
    <w:rsid w:val="00DD7A10"/>
    <w:rsid w:val="00DE320D"/>
    <w:rsid w:val="00DE4149"/>
    <w:rsid w:val="00DE48DC"/>
    <w:rsid w:val="00DE4CA6"/>
    <w:rsid w:val="00DE7150"/>
    <w:rsid w:val="00DE71F7"/>
    <w:rsid w:val="00DE7BDA"/>
    <w:rsid w:val="00DF0B95"/>
    <w:rsid w:val="00DF1F53"/>
    <w:rsid w:val="00DF21FE"/>
    <w:rsid w:val="00DF2E4F"/>
    <w:rsid w:val="00DF2EC9"/>
    <w:rsid w:val="00DF37E8"/>
    <w:rsid w:val="00DF3C00"/>
    <w:rsid w:val="00DF407D"/>
    <w:rsid w:val="00DF41BE"/>
    <w:rsid w:val="00DF4522"/>
    <w:rsid w:val="00DF55EB"/>
    <w:rsid w:val="00DF5A2A"/>
    <w:rsid w:val="00DF6269"/>
    <w:rsid w:val="00DF68A9"/>
    <w:rsid w:val="00DF755B"/>
    <w:rsid w:val="00DF7C79"/>
    <w:rsid w:val="00DF7D23"/>
    <w:rsid w:val="00E00AB5"/>
    <w:rsid w:val="00E01A34"/>
    <w:rsid w:val="00E029CF"/>
    <w:rsid w:val="00E03384"/>
    <w:rsid w:val="00E04507"/>
    <w:rsid w:val="00E04FE7"/>
    <w:rsid w:val="00E065AE"/>
    <w:rsid w:val="00E07492"/>
    <w:rsid w:val="00E12209"/>
    <w:rsid w:val="00E14C02"/>
    <w:rsid w:val="00E14D1F"/>
    <w:rsid w:val="00E164BB"/>
    <w:rsid w:val="00E16F47"/>
    <w:rsid w:val="00E171D8"/>
    <w:rsid w:val="00E17644"/>
    <w:rsid w:val="00E20CD6"/>
    <w:rsid w:val="00E21A42"/>
    <w:rsid w:val="00E22EB2"/>
    <w:rsid w:val="00E23D88"/>
    <w:rsid w:val="00E23F37"/>
    <w:rsid w:val="00E23FF2"/>
    <w:rsid w:val="00E243EF"/>
    <w:rsid w:val="00E2458F"/>
    <w:rsid w:val="00E24667"/>
    <w:rsid w:val="00E249E6"/>
    <w:rsid w:val="00E25283"/>
    <w:rsid w:val="00E260CB"/>
    <w:rsid w:val="00E26306"/>
    <w:rsid w:val="00E26795"/>
    <w:rsid w:val="00E26F38"/>
    <w:rsid w:val="00E277BA"/>
    <w:rsid w:val="00E277CD"/>
    <w:rsid w:val="00E30233"/>
    <w:rsid w:val="00E3023B"/>
    <w:rsid w:val="00E30309"/>
    <w:rsid w:val="00E305D8"/>
    <w:rsid w:val="00E31273"/>
    <w:rsid w:val="00E32A5B"/>
    <w:rsid w:val="00E3355B"/>
    <w:rsid w:val="00E33830"/>
    <w:rsid w:val="00E3459C"/>
    <w:rsid w:val="00E34632"/>
    <w:rsid w:val="00E346C6"/>
    <w:rsid w:val="00E35F1F"/>
    <w:rsid w:val="00E375D7"/>
    <w:rsid w:val="00E4076C"/>
    <w:rsid w:val="00E41189"/>
    <w:rsid w:val="00E42204"/>
    <w:rsid w:val="00E4234D"/>
    <w:rsid w:val="00E43C6F"/>
    <w:rsid w:val="00E43E66"/>
    <w:rsid w:val="00E4435C"/>
    <w:rsid w:val="00E454DA"/>
    <w:rsid w:val="00E45CBA"/>
    <w:rsid w:val="00E45D55"/>
    <w:rsid w:val="00E46227"/>
    <w:rsid w:val="00E4647B"/>
    <w:rsid w:val="00E46CDC"/>
    <w:rsid w:val="00E476A0"/>
    <w:rsid w:val="00E4773A"/>
    <w:rsid w:val="00E509A0"/>
    <w:rsid w:val="00E5149D"/>
    <w:rsid w:val="00E515BC"/>
    <w:rsid w:val="00E5235C"/>
    <w:rsid w:val="00E53CD5"/>
    <w:rsid w:val="00E53EBC"/>
    <w:rsid w:val="00E541D4"/>
    <w:rsid w:val="00E550CF"/>
    <w:rsid w:val="00E55EEA"/>
    <w:rsid w:val="00E5685F"/>
    <w:rsid w:val="00E56995"/>
    <w:rsid w:val="00E57C84"/>
    <w:rsid w:val="00E60F3F"/>
    <w:rsid w:val="00E6124B"/>
    <w:rsid w:val="00E61AA4"/>
    <w:rsid w:val="00E61B25"/>
    <w:rsid w:val="00E635C6"/>
    <w:rsid w:val="00E653FC"/>
    <w:rsid w:val="00E65676"/>
    <w:rsid w:val="00E66881"/>
    <w:rsid w:val="00E67009"/>
    <w:rsid w:val="00E67075"/>
    <w:rsid w:val="00E6714F"/>
    <w:rsid w:val="00E67379"/>
    <w:rsid w:val="00E67D67"/>
    <w:rsid w:val="00E702AF"/>
    <w:rsid w:val="00E705D1"/>
    <w:rsid w:val="00E71373"/>
    <w:rsid w:val="00E729B7"/>
    <w:rsid w:val="00E72F31"/>
    <w:rsid w:val="00E736E9"/>
    <w:rsid w:val="00E743EC"/>
    <w:rsid w:val="00E74FE0"/>
    <w:rsid w:val="00E755D3"/>
    <w:rsid w:val="00E75C90"/>
    <w:rsid w:val="00E75C95"/>
    <w:rsid w:val="00E773D6"/>
    <w:rsid w:val="00E80460"/>
    <w:rsid w:val="00E809FB"/>
    <w:rsid w:val="00E80DD4"/>
    <w:rsid w:val="00E81B78"/>
    <w:rsid w:val="00E81FCB"/>
    <w:rsid w:val="00E82728"/>
    <w:rsid w:val="00E82915"/>
    <w:rsid w:val="00E8356D"/>
    <w:rsid w:val="00E83752"/>
    <w:rsid w:val="00E83C37"/>
    <w:rsid w:val="00E84909"/>
    <w:rsid w:val="00E851B3"/>
    <w:rsid w:val="00E85E19"/>
    <w:rsid w:val="00E86550"/>
    <w:rsid w:val="00E86AAA"/>
    <w:rsid w:val="00E86B30"/>
    <w:rsid w:val="00E86F82"/>
    <w:rsid w:val="00E872F5"/>
    <w:rsid w:val="00E90774"/>
    <w:rsid w:val="00E90999"/>
    <w:rsid w:val="00E91FD4"/>
    <w:rsid w:val="00E92112"/>
    <w:rsid w:val="00E92782"/>
    <w:rsid w:val="00E93AAB"/>
    <w:rsid w:val="00E9592B"/>
    <w:rsid w:val="00E95C04"/>
    <w:rsid w:val="00E95D67"/>
    <w:rsid w:val="00E9632C"/>
    <w:rsid w:val="00E96C0D"/>
    <w:rsid w:val="00E975B0"/>
    <w:rsid w:val="00E975B9"/>
    <w:rsid w:val="00E976B1"/>
    <w:rsid w:val="00EA0355"/>
    <w:rsid w:val="00EA213C"/>
    <w:rsid w:val="00EA31E0"/>
    <w:rsid w:val="00EA3396"/>
    <w:rsid w:val="00EA3B84"/>
    <w:rsid w:val="00EA501D"/>
    <w:rsid w:val="00EA5156"/>
    <w:rsid w:val="00EA5365"/>
    <w:rsid w:val="00EA5469"/>
    <w:rsid w:val="00EA5C3C"/>
    <w:rsid w:val="00EA5FB7"/>
    <w:rsid w:val="00EA6216"/>
    <w:rsid w:val="00EA6FF5"/>
    <w:rsid w:val="00EB058C"/>
    <w:rsid w:val="00EB0B0D"/>
    <w:rsid w:val="00EB147D"/>
    <w:rsid w:val="00EB14B1"/>
    <w:rsid w:val="00EB1672"/>
    <w:rsid w:val="00EB2D80"/>
    <w:rsid w:val="00EB3549"/>
    <w:rsid w:val="00EB4659"/>
    <w:rsid w:val="00EB48DD"/>
    <w:rsid w:val="00EB5367"/>
    <w:rsid w:val="00EB5BF6"/>
    <w:rsid w:val="00EB63F1"/>
    <w:rsid w:val="00EB740B"/>
    <w:rsid w:val="00EB7996"/>
    <w:rsid w:val="00EB7CDC"/>
    <w:rsid w:val="00EB7D83"/>
    <w:rsid w:val="00EC0426"/>
    <w:rsid w:val="00EC10A0"/>
    <w:rsid w:val="00EC14C1"/>
    <w:rsid w:val="00EC2029"/>
    <w:rsid w:val="00EC27D4"/>
    <w:rsid w:val="00EC2C94"/>
    <w:rsid w:val="00EC3369"/>
    <w:rsid w:val="00EC3A77"/>
    <w:rsid w:val="00EC4B51"/>
    <w:rsid w:val="00EC4D61"/>
    <w:rsid w:val="00EC6644"/>
    <w:rsid w:val="00EC7778"/>
    <w:rsid w:val="00EC7B28"/>
    <w:rsid w:val="00ED08E2"/>
    <w:rsid w:val="00ED09B0"/>
    <w:rsid w:val="00ED15E4"/>
    <w:rsid w:val="00ED3894"/>
    <w:rsid w:val="00ED40AD"/>
    <w:rsid w:val="00ED41DB"/>
    <w:rsid w:val="00ED4907"/>
    <w:rsid w:val="00ED4909"/>
    <w:rsid w:val="00ED6498"/>
    <w:rsid w:val="00EE0B1C"/>
    <w:rsid w:val="00EE2EB8"/>
    <w:rsid w:val="00EE3F97"/>
    <w:rsid w:val="00EE4BF0"/>
    <w:rsid w:val="00EE4DE3"/>
    <w:rsid w:val="00EE584F"/>
    <w:rsid w:val="00EE699A"/>
    <w:rsid w:val="00EE7704"/>
    <w:rsid w:val="00EE78E8"/>
    <w:rsid w:val="00EE7921"/>
    <w:rsid w:val="00EF0C4B"/>
    <w:rsid w:val="00EF104B"/>
    <w:rsid w:val="00EF2419"/>
    <w:rsid w:val="00EF3B89"/>
    <w:rsid w:val="00EF4057"/>
    <w:rsid w:val="00EF45E0"/>
    <w:rsid w:val="00EF58A9"/>
    <w:rsid w:val="00EF5E62"/>
    <w:rsid w:val="00EF7917"/>
    <w:rsid w:val="00EF79E1"/>
    <w:rsid w:val="00EF7DA5"/>
    <w:rsid w:val="00F00193"/>
    <w:rsid w:val="00F01DF2"/>
    <w:rsid w:val="00F02C21"/>
    <w:rsid w:val="00F02F05"/>
    <w:rsid w:val="00F03B6D"/>
    <w:rsid w:val="00F0528D"/>
    <w:rsid w:val="00F057B8"/>
    <w:rsid w:val="00F06009"/>
    <w:rsid w:val="00F06D37"/>
    <w:rsid w:val="00F06DA3"/>
    <w:rsid w:val="00F070E2"/>
    <w:rsid w:val="00F07684"/>
    <w:rsid w:val="00F100BA"/>
    <w:rsid w:val="00F113FE"/>
    <w:rsid w:val="00F1178C"/>
    <w:rsid w:val="00F125EA"/>
    <w:rsid w:val="00F127F8"/>
    <w:rsid w:val="00F12E26"/>
    <w:rsid w:val="00F12E36"/>
    <w:rsid w:val="00F15153"/>
    <w:rsid w:val="00F15489"/>
    <w:rsid w:val="00F15618"/>
    <w:rsid w:val="00F1578E"/>
    <w:rsid w:val="00F159E2"/>
    <w:rsid w:val="00F1618F"/>
    <w:rsid w:val="00F16901"/>
    <w:rsid w:val="00F16A81"/>
    <w:rsid w:val="00F17DC3"/>
    <w:rsid w:val="00F210BB"/>
    <w:rsid w:val="00F21C97"/>
    <w:rsid w:val="00F21FF7"/>
    <w:rsid w:val="00F22095"/>
    <w:rsid w:val="00F23773"/>
    <w:rsid w:val="00F24B4D"/>
    <w:rsid w:val="00F24D84"/>
    <w:rsid w:val="00F265F3"/>
    <w:rsid w:val="00F26DA9"/>
    <w:rsid w:val="00F27588"/>
    <w:rsid w:val="00F27FCD"/>
    <w:rsid w:val="00F300F5"/>
    <w:rsid w:val="00F302F0"/>
    <w:rsid w:val="00F3034C"/>
    <w:rsid w:val="00F30DA9"/>
    <w:rsid w:val="00F31A07"/>
    <w:rsid w:val="00F324D5"/>
    <w:rsid w:val="00F337C3"/>
    <w:rsid w:val="00F338FA"/>
    <w:rsid w:val="00F33F5E"/>
    <w:rsid w:val="00F34952"/>
    <w:rsid w:val="00F42DC4"/>
    <w:rsid w:val="00F42FBA"/>
    <w:rsid w:val="00F43752"/>
    <w:rsid w:val="00F45223"/>
    <w:rsid w:val="00F459AC"/>
    <w:rsid w:val="00F460B7"/>
    <w:rsid w:val="00F468E8"/>
    <w:rsid w:val="00F46DB7"/>
    <w:rsid w:val="00F4715C"/>
    <w:rsid w:val="00F47571"/>
    <w:rsid w:val="00F475AD"/>
    <w:rsid w:val="00F51BD4"/>
    <w:rsid w:val="00F51E68"/>
    <w:rsid w:val="00F5283D"/>
    <w:rsid w:val="00F52C23"/>
    <w:rsid w:val="00F5339B"/>
    <w:rsid w:val="00F53439"/>
    <w:rsid w:val="00F56EB5"/>
    <w:rsid w:val="00F575DD"/>
    <w:rsid w:val="00F60047"/>
    <w:rsid w:val="00F60DF1"/>
    <w:rsid w:val="00F62655"/>
    <w:rsid w:val="00F62821"/>
    <w:rsid w:val="00F64239"/>
    <w:rsid w:val="00F64592"/>
    <w:rsid w:val="00F64F39"/>
    <w:rsid w:val="00F65236"/>
    <w:rsid w:val="00F65A08"/>
    <w:rsid w:val="00F65EBB"/>
    <w:rsid w:val="00F65F5F"/>
    <w:rsid w:val="00F65FA6"/>
    <w:rsid w:val="00F66C49"/>
    <w:rsid w:val="00F66D84"/>
    <w:rsid w:val="00F67282"/>
    <w:rsid w:val="00F67AE7"/>
    <w:rsid w:val="00F67BEB"/>
    <w:rsid w:val="00F67D08"/>
    <w:rsid w:val="00F70792"/>
    <w:rsid w:val="00F718D6"/>
    <w:rsid w:val="00F73017"/>
    <w:rsid w:val="00F73429"/>
    <w:rsid w:val="00F75666"/>
    <w:rsid w:val="00F75676"/>
    <w:rsid w:val="00F768D3"/>
    <w:rsid w:val="00F76DB9"/>
    <w:rsid w:val="00F7755E"/>
    <w:rsid w:val="00F776EE"/>
    <w:rsid w:val="00F77BD4"/>
    <w:rsid w:val="00F806FB"/>
    <w:rsid w:val="00F80C69"/>
    <w:rsid w:val="00F80FDB"/>
    <w:rsid w:val="00F811CE"/>
    <w:rsid w:val="00F81397"/>
    <w:rsid w:val="00F81DE2"/>
    <w:rsid w:val="00F824CE"/>
    <w:rsid w:val="00F82BDB"/>
    <w:rsid w:val="00F82C05"/>
    <w:rsid w:val="00F83A3E"/>
    <w:rsid w:val="00F83BB4"/>
    <w:rsid w:val="00F84173"/>
    <w:rsid w:val="00F858CA"/>
    <w:rsid w:val="00F859FD"/>
    <w:rsid w:val="00F85B31"/>
    <w:rsid w:val="00F8603F"/>
    <w:rsid w:val="00F86159"/>
    <w:rsid w:val="00F86958"/>
    <w:rsid w:val="00F86EF0"/>
    <w:rsid w:val="00F908EB"/>
    <w:rsid w:val="00F913ED"/>
    <w:rsid w:val="00F91B5A"/>
    <w:rsid w:val="00F92186"/>
    <w:rsid w:val="00F9236F"/>
    <w:rsid w:val="00F92608"/>
    <w:rsid w:val="00F92693"/>
    <w:rsid w:val="00F9304D"/>
    <w:rsid w:val="00F9373B"/>
    <w:rsid w:val="00F942DD"/>
    <w:rsid w:val="00F946A0"/>
    <w:rsid w:val="00F94AFF"/>
    <w:rsid w:val="00F95404"/>
    <w:rsid w:val="00F9602B"/>
    <w:rsid w:val="00F96A47"/>
    <w:rsid w:val="00F96CEE"/>
    <w:rsid w:val="00F96D93"/>
    <w:rsid w:val="00FA28A9"/>
    <w:rsid w:val="00FA2F7A"/>
    <w:rsid w:val="00FA2FC3"/>
    <w:rsid w:val="00FA3441"/>
    <w:rsid w:val="00FA4242"/>
    <w:rsid w:val="00FA4A5E"/>
    <w:rsid w:val="00FA4FFE"/>
    <w:rsid w:val="00FA5638"/>
    <w:rsid w:val="00FA59DA"/>
    <w:rsid w:val="00FA6023"/>
    <w:rsid w:val="00FA6CD8"/>
    <w:rsid w:val="00FA6CED"/>
    <w:rsid w:val="00FA6FC3"/>
    <w:rsid w:val="00FA7EEF"/>
    <w:rsid w:val="00FB06B3"/>
    <w:rsid w:val="00FB09AE"/>
    <w:rsid w:val="00FB2049"/>
    <w:rsid w:val="00FB2142"/>
    <w:rsid w:val="00FB48D4"/>
    <w:rsid w:val="00FB4AEA"/>
    <w:rsid w:val="00FB4CF4"/>
    <w:rsid w:val="00FB4D47"/>
    <w:rsid w:val="00FB4D5C"/>
    <w:rsid w:val="00FB51F5"/>
    <w:rsid w:val="00FB5B35"/>
    <w:rsid w:val="00FB5C53"/>
    <w:rsid w:val="00FB5DEB"/>
    <w:rsid w:val="00FB65B0"/>
    <w:rsid w:val="00FB698A"/>
    <w:rsid w:val="00FB6E8B"/>
    <w:rsid w:val="00FB7A40"/>
    <w:rsid w:val="00FB7D05"/>
    <w:rsid w:val="00FC024C"/>
    <w:rsid w:val="00FC03E0"/>
    <w:rsid w:val="00FC0501"/>
    <w:rsid w:val="00FC21F7"/>
    <w:rsid w:val="00FC2861"/>
    <w:rsid w:val="00FC407E"/>
    <w:rsid w:val="00FC40C2"/>
    <w:rsid w:val="00FC415C"/>
    <w:rsid w:val="00FC44A0"/>
    <w:rsid w:val="00FC4844"/>
    <w:rsid w:val="00FC5349"/>
    <w:rsid w:val="00FC5529"/>
    <w:rsid w:val="00FC5C0E"/>
    <w:rsid w:val="00FC5CFF"/>
    <w:rsid w:val="00FC6EA0"/>
    <w:rsid w:val="00FC781C"/>
    <w:rsid w:val="00FC7BAB"/>
    <w:rsid w:val="00FD1390"/>
    <w:rsid w:val="00FD153E"/>
    <w:rsid w:val="00FD2004"/>
    <w:rsid w:val="00FD2D93"/>
    <w:rsid w:val="00FD3274"/>
    <w:rsid w:val="00FD3605"/>
    <w:rsid w:val="00FD3D2E"/>
    <w:rsid w:val="00FD4729"/>
    <w:rsid w:val="00FD4E22"/>
    <w:rsid w:val="00FD53F4"/>
    <w:rsid w:val="00FD6EC5"/>
    <w:rsid w:val="00FD7272"/>
    <w:rsid w:val="00FD7914"/>
    <w:rsid w:val="00FE3080"/>
    <w:rsid w:val="00FE30B9"/>
    <w:rsid w:val="00FE399F"/>
    <w:rsid w:val="00FE44BA"/>
    <w:rsid w:val="00FE4A5E"/>
    <w:rsid w:val="00FE5C20"/>
    <w:rsid w:val="00FE70E5"/>
    <w:rsid w:val="00FF0042"/>
    <w:rsid w:val="00FF1D11"/>
    <w:rsid w:val="00FF228C"/>
    <w:rsid w:val="00FF2316"/>
    <w:rsid w:val="00FF2E03"/>
    <w:rsid w:val="00FF31EE"/>
    <w:rsid w:val="00FF46FA"/>
    <w:rsid w:val="00FF6656"/>
    <w:rsid w:val="00FF7845"/>
    <w:rsid w:val="00FF7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20EEA0"/>
  <w15:chartTrackingRefBased/>
  <w15:docId w15:val="{F7954D9A-DBB7-42FF-A2BD-A0E989DA6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5BF"/>
    <w:pPr>
      <w:widowControl w:val="0"/>
      <w:autoSpaceDE w:val="0"/>
      <w:autoSpaceDN w:val="0"/>
      <w:adjustRightInd w:val="0"/>
      <w:spacing w:after="0" w:line="480" w:lineRule="auto"/>
    </w:pPr>
    <w:rPr>
      <w:rFonts w:ascii="Times New Roman" w:hAnsi="Times New Roman" w:cs="Times New Roman"/>
      <w:sz w:val="20"/>
      <w:szCs w:val="20"/>
    </w:rPr>
  </w:style>
  <w:style w:type="paragraph" w:styleId="Heading1">
    <w:name w:val="heading 1"/>
    <w:basedOn w:val="Normal"/>
    <w:next w:val="Normal"/>
    <w:link w:val="Heading1Char"/>
    <w:uiPriority w:val="9"/>
    <w:qFormat/>
    <w:rsid w:val="009D0597"/>
    <w:pPr>
      <w:keepNext/>
      <w:keepLines/>
      <w:spacing w:before="240"/>
      <w:outlineLvl w:val="0"/>
    </w:pPr>
    <w:rPr>
      <w:rFonts w:eastAsiaTheme="majorEastAsia" w:cstheme="majorBidi"/>
      <w:b/>
      <w:sz w:val="24"/>
      <w:szCs w:val="24"/>
    </w:rPr>
  </w:style>
  <w:style w:type="paragraph" w:styleId="Heading2">
    <w:name w:val="heading 2"/>
    <w:basedOn w:val="Normal"/>
    <w:next w:val="Normal"/>
    <w:link w:val="Heading2Char"/>
    <w:uiPriority w:val="9"/>
    <w:unhideWhenUsed/>
    <w:qFormat/>
    <w:rsid w:val="008E3B7E"/>
    <w:pPr>
      <w:outlineLvl w:val="1"/>
    </w:pPr>
    <w:rPr>
      <w:sz w:val="24"/>
      <w:szCs w:val="24"/>
      <w:lang w:eastAsia="ja-JP"/>
    </w:rPr>
  </w:style>
  <w:style w:type="paragraph" w:styleId="Heading4">
    <w:name w:val="heading 4"/>
    <w:basedOn w:val="Normal"/>
    <w:next w:val="Normal"/>
    <w:link w:val="Heading4Char"/>
    <w:uiPriority w:val="9"/>
    <w:semiHidden/>
    <w:unhideWhenUsed/>
    <w:qFormat/>
    <w:rsid w:val="00B852E6"/>
    <w:pPr>
      <w:keepNext/>
      <w:ind w:leftChars="400" w:left="40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597"/>
    <w:rPr>
      <w:rFonts w:ascii="Times New Roman" w:eastAsiaTheme="majorEastAsia" w:hAnsi="Times New Roman" w:cstheme="majorBidi"/>
      <w:b/>
      <w:noProof/>
      <w:sz w:val="24"/>
      <w:szCs w:val="24"/>
    </w:rPr>
  </w:style>
  <w:style w:type="character" w:customStyle="1" w:styleId="Heading2Char">
    <w:name w:val="Heading 2 Char"/>
    <w:basedOn w:val="DefaultParagraphFont"/>
    <w:link w:val="Heading2"/>
    <w:uiPriority w:val="9"/>
    <w:rsid w:val="008E3B7E"/>
    <w:rPr>
      <w:rFonts w:ascii="Times New Roman" w:hAnsi="Times New Roman" w:cs="Times New Roman"/>
      <w:sz w:val="24"/>
      <w:szCs w:val="24"/>
      <w:lang w:eastAsia="ja-JP"/>
    </w:rPr>
  </w:style>
  <w:style w:type="paragraph" w:styleId="ListParagraph">
    <w:name w:val="List Paragraph"/>
    <w:basedOn w:val="Normal"/>
    <w:uiPriority w:val="34"/>
    <w:qFormat/>
    <w:rsid w:val="000A568A"/>
    <w:pPr>
      <w:ind w:left="720"/>
      <w:contextualSpacing/>
    </w:pPr>
  </w:style>
  <w:style w:type="character" w:styleId="Hyperlink">
    <w:name w:val="Hyperlink"/>
    <w:basedOn w:val="DefaultParagraphFont"/>
    <w:uiPriority w:val="99"/>
    <w:unhideWhenUsed/>
    <w:rsid w:val="000A568A"/>
    <w:rPr>
      <w:color w:val="0000FF"/>
      <w:u w:val="single"/>
    </w:rPr>
  </w:style>
  <w:style w:type="paragraph" w:styleId="Revision">
    <w:name w:val="Revision"/>
    <w:hidden/>
    <w:uiPriority w:val="99"/>
    <w:semiHidden/>
    <w:rsid w:val="000A568A"/>
    <w:pPr>
      <w:spacing w:after="0" w:line="240" w:lineRule="auto"/>
    </w:pPr>
  </w:style>
  <w:style w:type="paragraph" w:styleId="Caption">
    <w:name w:val="caption"/>
    <w:basedOn w:val="Normal"/>
    <w:next w:val="Normal"/>
    <w:uiPriority w:val="35"/>
    <w:unhideWhenUsed/>
    <w:qFormat/>
    <w:rsid w:val="000A568A"/>
    <w:pPr>
      <w:spacing w:after="200" w:line="240" w:lineRule="auto"/>
    </w:pPr>
    <w:rPr>
      <w:i/>
      <w:iCs/>
      <w:color w:val="44546A" w:themeColor="text2"/>
      <w:sz w:val="18"/>
      <w:szCs w:val="18"/>
    </w:rPr>
  </w:style>
  <w:style w:type="paragraph" w:styleId="TOCHeading">
    <w:name w:val="TOC Heading"/>
    <w:basedOn w:val="Heading1"/>
    <w:next w:val="Normal"/>
    <w:uiPriority w:val="39"/>
    <w:unhideWhenUsed/>
    <w:qFormat/>
    <w:rsid w:val="000A568A"/>
    <w:pPr>
      <w:outlineLvl w:val="9"/>
    </w:pPr>
    <w:rPr>
      <w:rFonts w:asciiTheme="majorHAnsi" w:hAnsiTheme="majorHAnsi"/>
      <w:color w:val="2F5496" w:themeColor="accent1" w:themeShade="BF"/>
      <w:sz w:val="32"/>
    </w:rPr>
  </w:style>
  <w:style w:type="paragraph" w:styleId="TOC2">
    <w:name w:val="toc 2"/>
    <w:basedOn w:val="Normal"/>
    <w:next w:val="Normal"/>
    <w:autoRedefine/>
    <w:uiPriority w:val="39"/>
    <w:unhideWhenUsed/>
    <w:rsid w:val="000A568A"/>
    <w:pPr>
      <w:spacing w:after="100"/>
      <w:ind w:left="220"/>
    </w:pPr>
  </w:style>
  <w:style w:type="paragraph" w:styleId="TOC1">
    <w:name w:val="toc 1"/>
    <w:basedOn w:val="Normal"/>
    <w:next w:val="Normal"/>
    <w:autoRedefine/>
    <w:uiPriority w:val="39"/>
    <w:unhideWhenUsed/>
    <w:rsid w:val="000A568A"/>
    <w:pPr>
      <w:tabs>
        <w:tab w:val="right" w:leader="dot" w:pos="9394"/>
      </w:tabs>
      <w:spacing w:after="100"/>
    </w:pPr>
    <w:rPr>
      <w:b/>
      <w:bCs/>
    </w:rPr>
  </w:style>
  <w:style w:type="paragraph" w:styleId="TOC3">
    <w:name w:val="toc 3"/>
    <w:basedOn w:val="Normal"/>
    <w:next w:val="Normal"/>
    <w:autoRedefine/>
    <w:uiPriority w:val="39"/>
    <w:unhideWhenUsed/>
    <w:rsid w:val="000A568A"/>
    <w:pPr>
      <w:spacing w:after="100"/>
      <w:ind w:left="440"/>
    </w:pPr>
  </w:style>
  <w:style w:type="paragraph" w:styleId="TableofFigures">
    <w:name w:val="table of figures"/>
    <w:basedOn w:val="Normal"/>
    <w:next w:val="Normal"/>
    <w:uiPriority w:val="99"/>
    <w:unhideWhenUsed/>
    <w:rsid w:val="000A568A"/>
  </w:style>
  <w:style w:type="paragraph" w:styleId="Header">
    <w:name w:val="header"/>
    <w:basedOn w:val="Normal"/>
    <w:link w:val="HeaderChar"/>
    <w:uiPriority w:val="99"/>
    <w:unhideWhenUsed/>
    <w:rsid w:val="000A568A"/>
    <w:pPr>
      <w:tabs>
        <w:tab w:val="center" w:pos="4680"/>
        <w:tab w:val="right" w:pos="9360"/>
      </w:tabs>
      <w:spacing w:line="240" w:lineRule="auto"/>
    </w:pPr>
  </w:style>
  <w:style w:type="character" w:customStyle="1" w:styleId="HeaderChar">
    <w:name w:val="Header Char"/>
    <w:basedOn w:val="DefaultParagraphFont"/>
    <w:link w:val="Header"/>
    <w:uiPriority w:val="99"/>
    <w:rsid w:val="000A568A"/>
    <w:rPr>
      <w:rFonts w:eastAsiaTheme="minorEastAsia"/>
    </w:rPr>
  </w:style>
  <w:style w:type="paragraph" w:styleId="Footer">
    <w:name w:val="footer"/>
    <w:basedOn w:val="Normal"/>
    <w:link w:val="FooterChar"/>
    <w:uiPriority w:val="99"/>
    <w:unhideWhenUsed/>
    <w:rsid w:val="000A568A"/>
    <w:pPr>
      <w:tabs>
        <w:tab w:val="center" w:pos="4680"/>
        <w:tab w:val="right" w:pos="9360"/>
      </w:tabs>
      <w:spacing w:line="240" w:lineRule="auto"/>
    </w:pPr>
  </w:style>
  <w:style w:type="character" w:customStyle="1" w:styleId="FooterChar">
    <w:name w:val="Footer Char"/>
    <w:basedOn w:val="DefaultParagraphFont"/>
    <w:link w:val="Footer"/>
    <w:uiPriority w:val="99"/>
    <w:rsid w:val="000A568A"/>
    <w:rPr>
      <w:rFonts w:eastAsiaTheme="minorEastAsia"/>
    </w:rPr>
  </w:style>
  <w:style w:type="character" w:styleId="CommentReference">
    <w:name w:val="annotation reference"/>
    <w:basedOn w:val="DefaultParagraphFont"/>
    <w:uiPriority w:val="99"/>
    <w:semiHidden/>
    <w:unhideWhenUsed/>
    <w:rsid w:val="000A568A"/>
    <w:rPr>
      <w:sz w:val="16"/>
      <w:szCs w:val="16"/>
    </w:rPr>
  </w:style>
  <w:style w:type="paragraph" w:styleId="CommentText">
    <w:name w:val="annotation text"/>
    <w:basedOn w:val="Normal"/>
    <w:link w:val="CommentTextChar"/>
    <w:uiPriority w:val="99"/>
    <w:unhideWhenUsed/>
    <w:rsid w:val="000A568A"/>
    <w:pPr>
      <w:spacing w:line="240" w:lineRule="auto"/>
    </w:pPr>
  </w:style>
  <w:style w:type="character" w:customStyle="1" w:styleId="CommentTextChar">
    <w:name w:val="Comment Text Char"/>
    <w:basedOn w:val="DefaultParagraphFont"/>
    <w:link w:val="CommentText"/>
    <w:uiPriority w:val="99"/>
    <w:rsid w:val="000A568A"/>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0A568A"/>
    <w:rPr>
      <w:b/>
      <w:bCs/>
    </w:rPr>
  </w:style>
  <w:style w:type="character" w:customStyle="1" w:styleId="CommentSubjectChar">
    <w:name w:val="Comment Subject Char"/>
    <w:basedOn w:val="CommentTextChar"/>
    <w:link w:val="CommentSubject"/>
    <w:uiPriority w:val="99"/>
    <w:semiHidden/>
    <w:rsid w:val="000A568A"/>
    <w:rPr>
      <w:rFonts w:eastAsiaTheme="minorEastAsia"/>
      <w:b/>
      <w:bCs/>
      <w:sz w:val="20"/>
      <w:szCs w:val="20"/>
    </w:rPr>
  </w:style>
  <w:style w:type="table" w:styleId="TableGrid">
    <w:name w:val="Table Grid"/>
    <w:basedOn w:val="TableNormal"/>
    <w:uiPriority w:val="39"/>
    <w:rsid w:val="000A56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A568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0A568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A568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A568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rmalWeb">
    <w:name w:val="Normal (Web)"/>
    <w:basedOn w:val="Normal"/>
    <w:uiPriority w:val="99"/>
    <w:semiHidden/>
    <w:unhideWhenUsed/>
    <w:rsid w:val="000A568A"/>
    <w:pPr>
      <w:spacing w:before="100" w:beforeAutospacing="1" w:after="100" w:afterAutospacing="1" w:line="240" w:lineRule="auto"/>
    </w:pPr>
    <w:rPr>
      <w:rFonts w:eastAsia="Times New Roman"/>
    </w:rPr>
  </w:style>
  <w:style w:type="paragraph" w:styleId="Bibliography">
    <w:name w:val="Bibliography"/>
    <w:basedOn w:val="Normal"/>
    <w:next w:val="Normal"/>
    <w:uiPriority w:val="37"/>
    <w:unhideWhenUsed/>
    <w:rsid w:val="000A568A"/>
  </w:style>
  <w:style w:type="character" w:styleId="Strong">
    <w:name w:val="Strong"/>
    <w:basedOn w:val="DefaultParagraphFont"/>
    <w:uiPriority w:val="22"/>
    <w:qFormat/>
    <w:rsid w:val="000A568A"/>
    <w:rPr>
      <w:b/>
      <w:bCs/>
    </w:rPr>
  </w:style>
  <w:style w:type="character" w:styleId="FollowedHyperlink">
    <w:name w:val="FollowedHyperlink"/>
    <w:basedOn w:val="DefaultParagraphFont"/>
    <w:uiPriority w:val="99"/>
    <w:semiHidden/>
    <w:unhideWhenUsed/>
    <w:rsid w:val="000A568A"/>
    <w:rPr>
      <w:color w:val="954F72"/>
      <w:u w:val="single"/>
    </w:rPr>
  </w:style>
  <w:style w:type="paragraph" w:customStyle="1" w:styleId="msonormal0">
    <w:name w:val="msonormal"/>
    <w:basedOn w:val="Normal"/>
    <w:rsid w:val="000A568A"/>
    <w:pPr>
      <w:spacing w:before="100" w:beforeAutospacing="1" w:after="100" w:afterAutospacing="1" w:line="240" w:lineRule="auto"/>
    </w:pPr>
    <w:rPr>
      <w:rFonts w:eastAsia="Times New Roman"/>
    </w:rPr>
  </w:style>
  <w:style w:type="paragraph" w:customStyle="1" w:styleId="font5">
    <w:name w:val="font5"/>
    <w:basedOn w:val="Normal"/>
    <w:rsid w:val="000A568A"/>
    <w:pPr>
      <w:spacing w:before="100" w:beforeAutospacing="1" w:after="100" w:afterAutospacing="1" w:line="240" w:lineRule="auto"/>
    </w:pPr>
    <w:rPr>
      <w:rFonts w:ascii="Arial" w:eastAsia="Times New Roman" w:hAnsi="Arial" w:cs="Arial"/>
    </w:rPr>
  </w:style>
  <w:style w:type="paragraph" w:customStyle="1" w:styleId="font6">
    <w:name w:val="font6"/>
    <w:basedOn w:val="Normal"/>
    <w:rsid w:val="000A568A"/>
    <w:pPr>
      <w:spacing w:before="100" w:beforeAutospacing="1" w:after="100" w:afterAutospacing="1" w:line="240" w:lineRule="auto"/>
    </w:pPr>
    <w:rPr>
      <w:rFonts w:ascii="Arial" w:eastAsia="Times New Roman" w:hAnsi="Arial" w:cs="Arial"/>
      <w:b/>
      <w:bCs/>
    </w:rPr>
  </w:style>
  <w:style w:type="paragraph" w:customStyle="1" w:styleId="xl65">
    <w:name w:val="xl65"/>
    <w:basedOn w:val="Normal"/>
    <w:rsid w:val="000A568A"/>
    <w:pPr>
      <w:spacing w:before="100" w:beforeAutospacing="1" w:after="100" w:afterAutospacing="1" w:line="240" w:lineRule="auto"/>
      <w:jc w:val="center"/>
    </w:pPr>
    <w:rPr>
      <w:rFonts w:eastAsia="Times New Roman"/>
    </w:rPr>
  </w:style>
  <w:style w:type="paragraph" w:customStyle="1" w:styleId="xl66">
    <w:name w:val="xl66"/>
    <w:basedOn w:val="Normal"/>
    <w:rsid w:val="000A568A"/>
    <w:pPr>
      <w:spacing w:before="100" w:beforeAutospacing="1" w:after="100" w:afterAutospacing="1" w:line="240" w:lineRule="auto"/>
    </w:pPr>
    <w:rPr>
      <w:rFonts w:eastAsia="Times New Roman"/>
    </w:rPr>
  </w:style>
  <w:style w:type="paragraph" w:customStyle="1" w:styleId="xl67">
    <w:name w:val="xl67"/>
    <w:basedOn w:val="Normal"/>
    <w:rsid w:val="000A568A"/>
    <w:pPr>
      <w:spacing w:before="100" w:beforeAutospacing="1" w:after="100" w:afterAutospacing="1" w:line="240" w:lineRule="auto"/>
      <w:jc w:val="center"/>
      <w:textAlignment w:val="center"/>
    </w:pPr>
    <w:rPr>
      <w:rFonts w:ascii="Arial" w:eastAsia="Times New Roman" w:hAnsi="Arial" w:cs="Arial"/>
    </w:rPr>
  </w:style>
  <w:style w:type="paragraph" w:customStyle="1" w:styleId="xl68">
    <w:name w:val="xl68"/>
    <w:basedOn w:val="Normal"/>
    <w:rsid w:val="000A568A"/>
    <w:pPr>
      <w:pBdr>
        <w:top w:val="single" w:sz="4" w:space="0" w:color="auto"/>
      </w:pBdr>
      <w:spacing w:before="100" w:beforeAutospacing="1" w:after="100" w:afterAutospacing="1" w:line="240" w:lineRule="auto"/>
      <w:textAlignment w:val="center"/>
    </w:pPr>
    <w:rPr>
      <w:rFonts w:ascii="Arial" w:eastAsia="Times New Roman" w:hAnsi="Arial" w:cs="Arial"/>
    </w:rPr>
  </w:style>
  <w:style w:type="paragraph" w:customStyle="1" w:styleId="xl69">
    <w:name w:val="xl69"/>
    <w:basedOn w:val="Normal"/>
    <w:rsid w:val="000A568A"/>
    <w:pPr>
      <w:pBdr>
        <w:bottom w:val="single" w:sz="4" w:space="0" w:color="auto"/>
      </w:pBdr>
      <w:spacing w:before="100" w:beforeAutospacing="1" w:after="100" w:afterAutospacing="1" w:line="240" w:lineRule="auto"/>
      <w:textAlignment w:val="center"/>
    </w:pPr>
    <w:rPr>
      <w:rFonts w:ascii="Arial" w:eastAsia="Times New Roman" w:hAnsi="Arial" w:cs="Arial"/>
    </w:rPr>
  </w:style>
  <w:style w:type="paragraph" w:customStyle="1" w:styleId="xl70">
    <w:name w:val="xl70"/>
    <w:basedOn w:val="Normal"/>
    <w:rsid w:val="000A568A"/>
    <w:pPr>
      <w:spacing w:before="100" w:beforeAutospacing="1" w:after="100" w:afterAutospacing="1" w:line="240" w:lineRule="auto"/>
      <w:jc w:val="center"/>
    </w:pPr>
    <w:rPr>
      <w:rFonts w:ascii="Arial" w:eastAsia="Times New Roman" w:hAnsi="Arial" w:cs="Arial"/>
    </w:rPr>
  </w:style>
  <w:style w:type="paragraph" w:customStyle="1" w:styleId="xl71">
    <w:name w:val="xl71"/>
    <w:basedOn w:val="Normal"/>
    <w:rsid w:val="000A568A"/>
    <w:pPr>
      <w:spacing w:before="100" w:beforeAutospacing="1" w:after="100" w:afterAutospacing="1" w:line="240" w:lineRule="auto"/>
    </w:pPr>
    <w:rPr>
      <w:rFonts w:ascii="Arial" w:eastAsia="Times New Roman" w:hAnsi="Arial" w:cs="Arial"/>
    </w:rPr>
  </w:style>
  <w:style w:type="paragraph" w:customStyle="1" w:styleId="xl72">
    <w:name w:val="xl72"/>
    <w:basedOn w:val="Normal"/>
    <w:rsid w:val="000A568A"/>
    <w:pPr>
      <w:spacing w:before="100" w:beforeAutospacing="1" w:after="100" w:afterAutospacing="1" w:line="240" w:lineRule="auto"/>
      <w:jc w:val="center"/>
      <w:textAlignment w:val="center"/>
    </w:pPr>
    <w:rPr>
      <w:rFonts w:ascii="Arial" w:eastAsia="Times New Roman" w:hAnsi="Arial" w:cs="Arial"/>
    </w:rPr>
  </w:style>
  <w:style w:type="paragraph" w:customStyle="1" w:styleId="xl73">
    <w:name w:val="xl73"/>
    <w:basedOn w:val="Normal"/>
    <w:rsid w:val="000A568A"/>
    <w:pPr>
      <w:pBdr>
        <w:top w:val="single" w:sz="4" w:space="0" w:color="auto"/>
        <w:bottom w:val="single" w:sz="4" w:space="0" w:color="auto"/>
      </w:pBdr>
      <w:spacing w:before="100" w:beforeAutospacing="1" w:after="100" w:afterAutospacing="1" w:line="240" w:lineRule="auto"/>
    </w:pPr>
    <w:rPr>
      <w:rFonts w:ascii="Arial" w:eastAsia="Times New Roman" w:hAnsi="Arial" w:cs="Arial"/>
    </w:rPr>
  </w:style>
  <w:style w:type="paragraph" w:customStyle="1" w:styleId="xl74">
    <w:name w:val="xl74"/>
    <w:basedOn w:val="Normal"/>
    <w:rsid w:val="000A568A"/>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rPr>
  </w:style>
  <w:style w:type="paragraph" w:customStyle="1" w:styleId="xl75">
    <w:name w:val="xl75"/>
    <w:basedOn w:val="Normal"/>
    <w:rsid w:val="000A568A"/>
    <w:pPr>
      <w:pBdr>
        <w:top w:val="single" w:sz="4" w:space="0" w:color="auto"/>
        <w:bottom w:val="single" w:sz="4" w:space="0" w:color="auto"/>
      </w:pBdr>
      <w:spacing w:before="100" w:beforeAutospacing="1" w:after="100" w:afterAutospacing="1" w:line="240" w:lineRule="auto"/>
      <w:jc w:val="center"/>
    </w:pPr>
    <w:rPr>
      <w:rFonts w:ascii="Arial" w:eastAsia="Times New Roman" w:hAnsi="Arial" w:cs="Arial"/>
    </w:rPr>
  </w:style>
  <w:style w:type="paragraph" w:customStyle="1" w:styleId="xl76">
    <w:name w:val="xl76"/>
    <w:basedOn w:val="Normal"/>
    <w:rsid w:val="000A568A"/>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rPr>
  </w:style>
  <w:style w:type="paragraph" w:customStyle="1" w:styleId="xl77">
    <w:name w:val="xl77"/>
    <w:basedOn w:val="Normal"/>
    <w:rsid w:val="000A568A"/>
    <w:pPr>
      <w:spacing w:before="100" w:beforeAutospacing="1" w:after="100" w:afterAutospacing="1" w:line="240" w:lineRule="auto"/>
      <w:textAlignment w:val="center"/>
    </w:pPr>
    <w:rPr>
      <w:rFonts w:ascii="Arial" w:eastAsia="Times New Roman" w:hAnsi="Arial" w:cs="Arial"/>
    </w:rPr>
  </w:style>
  <w:style w:type="paragraph" w:customStyle="1" w:styleId="xl78">
    <w:name w:val="xl78"/>
    <w:basedOn w:val="Normal"/>
    <w:rsid w:val="000A568A"/>
    <w:pPr>
      <w:spacing w:before="100" w:beforeAutospacing="1" w:after="100" w:afterAutospacing="1" w:line="240" w:lineRule="auto"/>
      <w:jc w:val="center"/>
    </w:pPr>
    <w:rPr>
      <w:rFonts w:ascii="Arial" w:eastAsia="Times New Roman" w:hAnsi="Arial" w:cs="Arial"/>
    </w:rPr>
  </w:style>
  <w:style w:type="paragraph" w:customStyle="1" w:styleId="xl79">
    <w:name w:val="xl79"/>
    <w:basedOn w:val="Normal"/>
    <w:rsid w:val="000A568A"/>
    <w:pPr>
      <w:spacing w:before="100" w:beforeAutospacing="1" w:after="100" w:afterAutospacing="1" w:line="240" w:lineRule="auto"/>
      <w:jc w:val="center"/>
      <w:textAlignment w:val="center"/>
    </w:pPr>
    <w:rPr>
      <w:rFonts w:ascii="Arial" w:eastAsia="Times New Roman" w:hAnsi="Arial" w:cs="Arial"/>
    </w:rPr>
  </w:style>
  <w:style w:type="paragraph" w:customStyle="1" w:styleId="xl80">
    <w:name w:val="xl80"/>
    <w:basedOn w:val="Normal"/>
    <w:rsid w:val="000A568A"/>
    <w:pPr>
      <w:pBdr>
        <w:top w:val="single" w:sz="4" w:space="0" w:color="auto"/>
      </w:pBdr>
      <w:spacing w:before="100" w:beforeAutospacing="1" w:after="100" w:afterAutospacing="1" w:line="240" w:lineRule="auto"/>
      <w:jc w:val="center"/>
    </w:pPr>
    <w:rPr>
      <w:rFonts w:ascii="Arial" w:eastAsia="Times New Roman" w:hAnsi="Arial" w:cs="Arial"/>
    </w:rPr>
  </w:style>
  <w:style w:type="paragraph" w:customStyle="1" w:styleId="xl81">
    <w:name w:val="xl81"/>
    <w:basedOn w:val="Normal"/>
    <w:rsid w:val="000A568A"/>
    <w:pPr>
      <w:pBdr>
        <w:bottom w:val="single" w:sz="4" w:space="0" w:color="auto"/>
      </w:pBdr>
      <w:spacing w:before="100" w:beforeAutospacing="1" w:after="100" w:afterAutospacing="1" w:line="240" w:lineRule="auto"/>
      <w:jc w:val="center"/>
    </w:pPr>
    <w:rPr>
      <w:rFonts w:ascii="Arial" w:eastAsia="Times New Roman" w:hAnsi="Arial" w:cs="Arial"/>
    </w:rPr>
  </w:style>
  <w:style w:type="paragraph" w:customStyle="1" w:styleId="xl82">
    <w:name w:val="xl82"/>
    <w:basedOn w:val="Normal"/>
    <w:rsid w:val="000A568A"/>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rPr>
  </w:style>
  <w:style w:type="character" w:styleId="UnresolvedMention">
    <w:name w:val="Unresolved Mention"/>
    <w:basedOn w:val="DefaultParagraphFont"/>
    <w:uiPriority w:val="99"/>
    <w:semiHidden/>
    <w:unhideWhenUsed/>
    <w:rsid w:val="000A568A"/>
    <w:rPr>
      <w:color w:val="605E5C"/>
      <w:shd w:val="clear" w:color="auto" w:fill="E1DFDD"/>
    </w:rPr>
  </w:style>
  <w:style w:type="character" w:styleId="LineNumber">
    <w:name w:val="line number"/>
    <w:basedOn w:val="DefaultParagraphFont"/>
    <w:uiPriority w:val="99"/>
    <w:semiHidden/>
    <w:unhideWhenUsed/>
    <w:rsid w:val="000A568A"/>
  </w:style>
  <w:style w:type="paragraph" w:styleId="FootnoteText">
    <w:name w:val="footnote text"/>
    <w:basedOn w:val="Normal"/>
    <w:link w:val="FootnoteTextChar"/>
    <w:uiPriority w:val="99"/>
    <w:semiHidden/>
    <w:unhideWhenUsed/>
    <w:rsid w:val="00A734B2"/>
    <w:pPr>
      <w:spacing w:line="240" w:lineRule="auto"/>
    </w:pPr>
  </w:style>
  <w:style w:type="character" w:customStyle="1" w:styleId="FootnoteTextChar">
    <w:name w:val="Footnote Text Char"/>
    <w:basedOn w:val="DefaultParagraphFont"/>
    <w:link w:val="FootnoteText"/>
    <w:uiPriority w:val="99"/>
    <w:semiHidden/>
    <w:rsid w:val="00A734B2"/>
    <w:rPr>
      <w:sz w:val="20"/>
      <w:szCs w:val="20"/>
    </w:rPr>
  </w:style>
  <w:style w:type="character" w:styleId="FootnoteReference">
    <w:name w:val="footnote reference"/>
    <w:basedOn w:val="DefaultParagraphFont"/>
    <w:uiPriority w:val="99"/>
    <w:semiHidden/>
    <w:unhideWhenUsed/>
    <w:rsid w:val="00A734B2"/>
    <w:rPr>
      <w:vertAlign w:val="superscript"/>
    </w:rPr>
  </w:style>
  <w:style w:type="character" w:customStyle="1" w:styleId="Heading4Char">
    <w:name w:val="Heading 4 Char"/>
    <w:basedOn w:val="DefaultParagraphFont"/>
    <w:link w:val="Heading4"/>
    <w:uiPriority w:val="9"/>
    <w:semiHidden/>
    <w:rsid w:val="00B852E6"/>
    <w:rPr>
      <w:rFonts w:ascii="Times New Roman" w:hAnsi="Times New Roman" w:cs="Times New Roman"/>
      <w:b/>
      <w:bCs/>
      <w:sz w:val="20"/>
      <w:szCs w:val="20"/>
    </w:rPr>
  </w:style>
  <w:style w:type="character" w:styleId="PlaceholderText">
    <w:name w:val="Placeholder Text"/>
    <w:basedOn w:val="DefaultParagraphFont"/>
    <w:uiPriority w:val="99"/>
    <w:semiHidden/>
    <w:rsid w:val="004864B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615961">
      <w:bodyDiv w:val="1"/>
      <w:marLeft w:val="0"/>
      <w:marRight w:val="0"/>
      <w:marTop w:val="0"/>
      <w:marBottom w:val="0"/>
      <w:divBdr>
        <w:top w:val="none" w:sz="0" w:space="0" w:color="auto"/>
        <w:left w:val="none" w:sz="0" w:space="0" w:color="auto"/>
        <w:bottom w:val="none" w:sz="0" w:space="0" w:color="auto"/>
        <w:right w:val="none" w:sz="0" w:space="0" w:color="auto"/>
      </w:divBdr>
    </w:div>
    <w:div w:id="118884887">
      <w:bodyDiv w:val="1"/>
      <w:marLeft w:val="0"/>
      <w:marRight w:val="0"/>
      <w:marTop w:val="0"/>
      <w:marBottom w:val="0"/>
      <w:divBdr>
        <w:top w:val="none" w:sz="0" w:space="0" w:color="auto"/>
        <w:left w:val="none" w:sz="0" w:space="0" w:color="auto"/>
        <w:bottom w:val="none" w:sz="0" w:space="0" w:color="auto"/>
        <w:right w:val="none" w:sz="0" w:space="0" w:color="auto"/>
      </w:divBdr>
      <w:divsChild>
        <w:div w:id="2047364302">
          <w:marLeft w:val="0"/>
          <w:marRight w:val="0"/>
          <w:marTop w:val="0"/>
          <w:marBottom w:val="0"/>
          <w:divBdr>
            <w:top w:val="none" w:sz="0" w:space="0" w:color="auto"/>
            <w:left w:val="none" w:sz="0" w:space="0" w:color="auto"/>
            <w:bottom w:val="none" w:sz="0" w:space="0" w:color="auto"/>
            <w:right w:val="none" w:sz="0" w:space="0" w:color="auto"/>
          </w:divBdr>
          <w:divsChild>
            <w:div w:id="2099671141">
              <w:marLeft w:val="0"/>
              <w:marRight w:val="0"/>
              <w:marTop w:val="0"/>
              <w:marBottom w:val="0"/>
              <w:divBdr>
                <w:top w:val="none" w:sz="0" w:space="0" w:color="auto"/>
                <w:left w:val="none" w:sz="0" w:space="0" w:color="auto"/>
                <w:bottom w:val="none" w:sz="0" w:space="0" w:color="auto"/>
                <w:right w:val="none" w:sz="0" w:space="0" w:color="auto"/>
              </w:divBdr>
              <w:divsChild>
                <w:div w:id="10311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59538">
      <w:bodyDiv w:val="1"/>
      <w:marLeft w:val="0"/>
      <w:marRight w:val="0"/>
      <w:marTop w:val="0"/>
      <w:marBottom w:val="0"/>
      <w:divBdr>
        <w:top w:val="none" w:sz="0" w:space="0" w:color="auto"/>
        <w:left w:val="none" w:sz="0" w:space="0" w:color="auto"/>
        <w:bottom w:val="none" w:sz="0" w:space="0" w:color="auto"/>
        <w:right w:val="none" w:sz="0" w:space="0" w:color="auto"/>
      </w:divBdr>
    </w:div>
    <w:div w:id="205264140">
      <w:bodyDiv w:val="1"/>
      <w:marLeft w:val="0"/>
      <w:marRight w:val="0"/>
      <w:marTop w:val="0"/>
      <w:marBottom w:val="0"/>
      <w:divBdr>
        <w:top w:val="none" w:sz="0" w:space="0" w:color="auto"/>
        <w:left w:val="none" w:sz="0" w:space="0" w:color="auto"/>
        <w:bottom w:val="none" w:sz="0" w:space="0" w:color="auto"/>
        <w:right w:val="none" w:sz="0" w:space="0" w:color="auto"/>
      </w:divBdr>
      <w:divsChild>
        <w:div w:id="993683911">
          <w:marLeft w:val="480"/>
          <w:marRight w:val="0"/>
          <w:marTop w:val="0"/>
          <w:marBottom w:val="0"/>
          <w:divBdr>
            <w:top w:val="none" w:sz="0" w:space="0" w:color="auto"/>
            <w:left w:val="none" w:sz="0" w:space="0" w:color="auto"/>
            <w:bottom w:val="none" w:sz="0" w:space="0" w:color="auto"/>
            <w:right w:val="none" w:sz="0" w:space="0" w:color="auto"/>
          </w:divBdr>
        </w:div>
        <w:div w:id="392893902">
          <w:marLeft w:val="480"/>
          <w:marRight w:val="0"/>
          <w:marTop w:val="0"/>
          <w:marBottom w:val="0"/>
          <w:divBdr>
            <w:top w:val="none" w:sz="0" w:space="0" w:color="auto"/>
            <w:left w:val="none" w:sz="0" w:space="0" w:color="auto"/>
            <w:bottom w:val="none" w:sz="0" w:space="0" w:color="auto"/>
            <w:right w:val="none" w:sz="0" w:space="0" w:color="auto"/>
          </w:divBdr>
        </w:div>
        <w:div w:id="219677669">
          <w:marLeft w:val="480"/>
          <w:marRight w:val="0"/>
          <w:marTop w:val="0"/>
          <w:marBottom w:val="0"/>
          <w:divBdr>
            <w:top w:val="none" w:sz="0" w:space="0" w:color="auto"/>
            <w:left w:val="none" w:sz="0" w:space="0" w:color="auto"/>
            <w:bottom w:val="none" w:sz="0" w:space="0" w:color="auto"/>
            <w:right w:val="none" w:sz="0" w:space="0" w:color="auto"/>
          </w:divBdr>
        </w:div>
        <w:div w:id="13775657">
          <w:marLeft w:val="480"/>
          <w:marRight w:val="0"/>
          <w:marTop w:val="0"/>
          <w:marBottom w:val="0"/>
          <w:divBdr>
            <w:top w:val="none" w:sz="0" w:space="0" w:color="auto"/>
            <w:left w:val="none" w:sz="0" w:space="0" w:color="auto"/>
            <w:bottom w:val="none" w:sz="0" w:space="0" w:color="auto"/>
            <w:right w:val="none" w:sz="0" w:space="0" w:color="auto"/>
          </w:divBdr>
        </w:div>
        <w:div w:id="1140918791">
          <w:marLeft w:val="480"/>
          <w:marRight w:val="0"/>
          <w:marTop w:val="0"/>
          <w:marBottom w:val="0"/>
          <w:divBdr>
            <w:top w:val="none" w:sz="0" w:space="0" w:color="auto"/>
            <w:left w:val="none" w:sz="0" w:space="0" w:color="auto"/>
            <w:bottom w:val="none" w:sz="0" w:space="0" w:color="auto"/>
            <w:right w:val="none" w:sz="0" w:space="0" w:color="auto"/>
          </w:divBdr>
        </w:div>
        <w:div w:id="1093010890">
          <w:marLeft w:val="480"/>
          <w:marRight w:val="0"/>
          <w:marTop w:val="0"/>
          <w:marBottom w:val="0"/>
          <w:divBdr>
            <w:top w:val="none" w:sz="0" w:space="0" w:color="auto"/>
            <w:left w:val="none" w:sz="0" w:space="0" w:color="auto"/>
            <w:bottom w:val="none" w:sz="0" w:space="0" w:color="auto"/>
            <w:right w:val="none" w:sz="0" w:space="0" w:color="auto"/>
          </w:divBdr>
        </w:div>
        <w:div w:id="561017737">
          <w:marLeft w:val="480"/>
          <w:marRight w:val="0"/>
          <w:marTop w:val="0"/>
          <w:marBottom w:val="0"/>
          <w:divBdr>
            <w:top w:val="none" w:sz="0" w:space="0" w:color="auto"/>
            <w:left w:val="none" w:sz="0" w:space="0" w:color="auto"/>
            <w:bottom w:val="none" w:sz="0" w:space="0" w:color="auto"/>
            <w:right w:val="none" w:sz="0" w:space="0" w:color="auto"/>
          </w:divBdr>
        </w:div>
        <w:div w:id="1835146182">
          <w:marLeft w:val="480"/>
          <w:marRight w:val="0"/>
          <w:marTop w:val="0"/>
          <w:marBottom w:val="0"/>
          <w:divBdr>
            <w:top w:val="none" w:sz="0" w:space="0" w:color="auto"/>
            <w:left w:val="none" w:sz="0" w:space="0" w:color="auto"/>
            <w:bottom w:val="none" w:sz="0" w:space="0" w:color="auto"/>
            <w:right w:val="none" w:sz="0" w:space="0" w:color="auto"/>
          </w:divBdr>
        </w:div>
        <w:div w:id="436482631">
          <w:marLeft w:val="480"/>
          <w:marRight w:val="0"/>
          <w:marTop w:val="0"/>
          <w:marBottom w:val="0"/>
          <w:divBdr>
            <w:top w:val="none" w:sz="0" w:space="0" w:color="auto"/>
            <w:left w:val="none" w:sz="0" w:space="0" w:color="auto"/>
            <w:bottom w:val="none" w:sz="0" w:space="0" w:color="auto"/>
            <w:right w:val="none" w:sz="0" w:space="0" w:color="auto"/>
          </w:divBdr>
        </w:div>
        <w:div w:id="1681734477">
          <w:marLeft w:val="480"/>
          <w:marRight w:val="0"/>
          <w:marTop w:val="0"/>
          <w:marBottom w:val="0"/>
          <w:divBdr>
            <w:top w:val="none" w:sz="0" w:space="0" w:color="auto"/>
            <w:left w:val="none" w:sz="0" w:space="0" w:color="auto"/>
            <w:bottom w:val="none" w:sz="0" w:space="0" w:color="auto"/>
            <w:right w:val="none" w:sz="0" w:space="0" w:color="auto"/>
          </w:divBdr>
        </w:div>
        <w:div w:id="501774285">
          <w:marLeft w:val="480"/>
          <w:marRight w:val="0"/>
          <w:marTop w:val="0"/>
          <w:marBottom w:val="0"/>
          <w:divBdr>
            <w:top w:val="none" w:sz="0" w:space="0" w:color="auto"/>
            <w:left w:val="none" w:sz="0" w:space="0" w:color="auto"/>
            <w:bottom w:val="none" w:sz="0" w:space="0" w:color="auto"/>
            <w:right w:val="none" w:sz="0" w:space="0" w:color="auto"/>
          </w:divBdr>
        </w:div>
        <w:div w:id="500242151">
          <w:marLeft w:val="480"/>
          <w:marRight w:val="0"/>
          <w:marTop w:val="0"/>
          <w:marBottom w:val="0"/>
          <w:divBdr>
            <w:top w:val="none" w:sz="0" w:space="0" w:color="auto"/>
            <w:left w:val="none" w:sz="0" w:space="0" w:color="auto"/>
            <w:bottom w:val="none" w:sz="0" w:space="0" w:color="auto"/>
            <w:right w:val="none" w:sz="0" w:space="0" w:color="auto"/>
          </w:divBdr>
        </w:div>
        <w:div w:id="832184332">
          <w:marLeft w:val="480"/>
          <w:marRight w:val="0"/>
          <w:marTop w:val="0"/>
          <w:marBottom w:val="0"/>
          <w:divBdr>
            <w:top w:val="none" w:sz="0" w:space="0" w:color="auto"/>
            <w:left w:val="none" w:sz="0" w:space="0" w:color="auto"/>
            <w:bottom w:val="none" w:sz="0" w:space="0" w:color="auto"/>
            <w:right w:val="none" w:sz="0" w:space="0" w:color="auto"/>
          </w:divBdr>
        </w:div>
        <w:div w:id="2035881898">
          <w:marLeft w:val="480"/>
          <w:marRight w:val="0"/>
          <w:marTop w:val="0"/>
          <w:marBottom w:val="0"/>
          <w:divBdr>
            <w:top w:val="none" w:sz="0" w:space="0" w:color="auto"/>
            <w:left w:val="none" w:sz="0" w:space="0" w:color="auto"/>
            <w:bottom w:val="none" w:sz="0" w:space="0" w:color="auto"/>
            <w:right w:val="none" w:sz="0" w:space="0" w:color="auto"/>
          </w:divBdr>
        </w:div>
        <w:div w:id="1781685442">
          <w:marLeft w:val="480"/>
          <w:marRight w:val="0"/>
          <w:marTop w:val="0"/>
          <w:marBottom w:val="0"/>
          <w:divBdr>
            <w:top w:val="none" w:sz="0" w:space="0" w:color="auto"/>
            <w:left w:val="none" w:sz="0" w:space="0" w:color="auto"/>
            <w:bottom w:val="none" w:sz="0" w:space="0" w:color="auto"/>
            <w:right w:val="none" w:sz="0" w:space="0" w:color="auto"/>
          </w:divBdr>
        </w:div>
        <w:div w:id="698119525">
          <w:marLeft w:val="480"/>
          <w:marRight w:val="0"/>
          <w:marTop w:val="0"/>
          <w:marBottom w:val="0"/>
          <w:divBdr>
            <w:top w:val="none" w:sz="0" w:space="0" w:color="auto"/>
            <w:left w:val="none" w:sz="0" w:space="0" w:color="auto"/>
            <w:bottom w:val="none" w:sz="0" w:space="0" w:color="auto"/>
            <w:right w:val="none" w:sz="0" w:space="0" w:color="auto"/>
          </w:divBdr>
        </w:div>
        <w:div w:id="1059128152">
          <w:marLeft w:val="480"/>
          <w:marRight w:val="0"/>
          <w:marTop w:val="0"/>
          <w:marBottom w:val="0"/>
          <w:divBdr>
            <w:top w:val="none" w:sz="0" w:space="0" w:color="auto"/>
            <w:left w:val="none" w:sz="0" w:space="0" w:color="auto"/>
            <w:bottom w:val="none" w:sz="0" w:space="0" w:color="auto"/>
            <w:right w:val="none" w:sz="0" w:space="0" w:color="auto"/>
          </w:divBdr>
        </w:div>
        <w:div w:id="1561480921">
          <w:marLeft w:val="480"/>
          <w:marRight w:val="0"/>
          <w:marTop w:val="0"/>
          <w:marBottom w:val="0"/>
          <w:divBdr>
            <w:top w:val="none" w:sz="0" w:space="0" w:color="auto"/>
            <w:left w:val="none" w:sz="0" w:space="0" w:color="auto"/>
            <w:bottom w:val="none" w:sz="0" w:space="0" w:color="auto"/>
            <w:right w:val="none" w:sz="0" w:space="0" w:color="auto"/>
          </w:divBdr>
        </w:div>
        <w:div w:id="2005274947">
          <w:marLeft w:val="480"/>
          <w:marRight w:val="0"/>
          <w:marTop w:val="0"/>
          <w:marBottom w:val="0"/>
          <w:divBdr>
            <w:top w:val="none" w:sz="0" w:space="0" w:color="auto"/>
            <w:left w:val="none" w:sz="0" w:space="0" w:color="auto"/>
            <w:bottom w:val="none" w:sz="0" w:space="0" w:color="auto"/>
            <w:right w:val="none" w:sz="0" w:space="0" w:color="auto"/>
          </w:divBdr>
        </w:div>
        <w:div w:id="1276904251">
          <w:marLeft w:val="480"/>
          <w:marRight w:val="0"/>
          <w:marTop w:val="0"/>
          <w:marBottom w:val="0"/>
          <w:divBdr>
            <w:top w:val="none" w:sz="0" w:space="0" w:color="auto"/>
            <w:left w:val="none" w:sz="0" w:space="0" w:color="auto"/>
            <w:bottom w:val="none" w:sz="0" w:space="0" w:color="auto"/>
            <w:right w:val="none" w:sz="0" w:space="0" w:color="auto"/>
          </w:divBdr>
        </w:div>
        <w:div w:id="1883901890">
          <w:marLeft w:val="480"/>
          <w:marRight w:val="0"/>
          <w:marTop w:val="0"/>
          <w:marBottom w:val="0"/>
          <w:divBdr>
            <w:top w:val="none" w:sz="0" w:space="0" w:color="auto"/>
            <w:left w:val="none" w:sz="0" w:space="0" w:color="auto"/>
            <w:bottom w:val="none" w:sz="0" w:space="0" w:color="auto"/>
            <w:right w:val="none" w:sz="0" w:space="0" w:color="auto"/>
          </w:divBdr>
        </w:div>
      </w:divsChild>
    </w:div>
    <w:div w:id="214434755">
      <w:bodyDiv w:val="1"/>
      <w:marLeft w:val="0"/>
      <w:marRight w:val="0"/>
      <w:marTop w:val="0"/>
      <w:marBottom w:val="0"/>
      <w:divBdr>
        <w:top w:val="none" w:sz="0" w:space="0" w:color="auto"/>
        <w:left w:val="none" w:sz="0" w:space="0" w:color="auto"/>
        <w:bottom w:val="none" w:sz="0" w:space="0" w:color="auto"/>
        <w:right w:val="none" w:sz="0" w:space="0" w:color="auto"/>
      </w:divBdr>
    </w:div>
    <w:div w:id="262541903">
      <w:bodyDiv w:val="1"/>
      <w:marLeft w:val="0"/>
      <w:marRight w:val="0"/>
      <w:marTop w:val="0"/>
      <w:marBottom w:val="0"/>
      <w:divBdr>
        <w:top w:val="none" w:sz="0" w:space="0" w:color="auto"/>
        <w:left w:val="none" w:sz="0" w:space="0" w:color="auto"/>
        <w:bottom w:val="none" w:sz="0" w:space="0" w:color="auto"/>
        <w:right w:val="none" w:sz="0" w:space="0" w:color="auto"/>
      </w:divBdr>
      <w:divsChild>
        <w:div w:id="333381892">
          <w:marLeft w:val="0"/>
          <w:marRight w:val="0"/>
          <w:marTop w:val="0"/>
          <w:marBottom w:val="0"/>
          <w:divBdr>
            <w:top w:val="none" w:sz="0" w:space="0" w:color="auto"/>
            <w:left w:val="none" w:sz="0" w:space="0" w:color="auto"/>
            <w:bottom w:val="none" w:sz="0" w:space="0" w:color="auto"/>
            <w:right w:val="none" w:sz="0" w:space="0" w:color="auto"/>
          </w:divBdr>
          <w:divsChild>
            <w:div w:id="22367495">
              <w:marLeft w:val="0"/>
              <w:marRight w:val="0"/>
              <w:marTop w:val="0"/>
              <w:marBottom w:val="0"/>
              <w:divBdr>
                <w:top w:val="none" w:sz="0" w:space="0" w:color="auto"/>
                <w:left w:val="none" w:sz="0" w:space="0" w:color="auto"/>
                <w:bottom w:val="none" w:sz="0" w:space="0" w:color="auto"/>
                <w:right w:val="none" w:sz="0" w:space="0" w:color="auto"/>
              </w:divBdr>
              <w:divsChild>
                <w:div w:id="144287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676601">
      <w:bodyDiv w:val="1"/>
      <w:marLeft w:val="0"/>
      <w:marRight w:val="0"/>
      <w:marTop w:val="0"/>
      <w:marBottom w:val="0"/>
      <w:divBdr>
        <w:top w:val="none" w:sz="0" w:space="0" w:color="auto"/>
        <w:left w:val="none" w:sz="0" w:space="0" w:color="auto"/>
        <w:bottom w:val="none" w:sz="0" w:space="0" w:color="auto"/>
        <w:right w:val="none" w:sz="0" w:space="0" w:color="auto"/>
      </w:divBdr>
      <w:divsChild>
        <w:div w:id="786505324">
          <w:marLeft w:val="480"/>
          <w:marRight w:val="0"/>
          <w:marTop w:val="0"/>
          <w:marBottom w:val="0"/>
          <w:divBdr>
            <w:top w:val="none" w:sz="0" w:space="0" w:color="auto"/>
            <w:left w:val="none" w:sz="0" w:space="0" w:color="auto"/>
            <w:bottom w:val="none" w:sz="0" w:space="0" w:color="auto"/>
            <w:right w:val="none" w:sz="0" w:space="0" w:color="auto"/>
          </w:divBdr>
        </w:div>
        <w:div w:id="374474754">
          <w:marLeft w:val="480"/>
          <w:marRight w:val="0"/>
          <w:marTop w:val="0"/>
          <w:marBottom w:val="0"/>
          <w:divBdr>
            <w:top w:val="none" w:sz="0" w:space="0" w:color="auto"/>
            <w:left w:val="none" w:sz="0" w:space="0" w:color="auto"/>
            <w:bottom w:val="none" w:sz="0" w:space="0" w:color="auto"/>
            <w:right w:val="none" w:sz="0" w:space="0" w:color="auto"/>
          </w:divBdr>
        </w:div>
        <w:div w:id="1342587244">
          <w:marLeft w:val="480"/>
          <w:marRight w:val="0"/>
          <w:marTop w:val="0"/>
          <w:marBottom w:val="0"/>
          <w:divBdr>
            <w:top w:val="none" w:sz="0" w:space="0" w:color="auto"/>
            <w:left w:val="none" w:sz="0" w:space="0" w:color="auto"/>
            <w:bottom w:val="none" w:sz="0" w:space="0" w:color="auto"/>
            <w:right w:val="none" w:sz="0" w:space="0" w:color="auto"/>
          </w:divBdr>
        </w:div>
        <w:div w:id="1624655923">
          <w:marLeft w:val="480"/>
          <w:marRight w:val="0"/>
          <w:marTop w:val="0"/>
          <w:marBottom w:val="0"/>
          <w:divBdr>
            <w:top w:val="none" w:sz="0" w:space="0" w:color="auto"/>
            <w:left w:val="none" w:sz="0" w:space="0" w:color="auto"/>
            <w:bottom w:val="none" w:sz="0" w:space="0" w:color="auto"/>
            <w:right w:val="none" w:sz="0" w:space="0" w:color="auto"/>
          </w:divBdr>
        </w:div>
        <w:div w:id="2016574255">
          <w:marLeft w:val="480"/>
          <w:marRight w:val="0"/>
          <w:marTop w:val="0"/>
          <w:marBottom w:val="0"/>
          <w:divBdr>
            <w:top w:val="none" w:sz="0" w:space="0" w:color="auto"/>
            <w:left w:val="none" w:sz="0" w:space="0" w:color="auto"/>
            <w:bottom w:val="none" w:sz="0" w:space="0" w:color="auto"/>
            <w:right w:val="none" w:sz="0" w:space="0" w:color="auto"/>
          </w:divBdr>
        </w:div>
        <w:div w:id="1766532091">
          <w:marLeft w:val="480"/>
          <w:marRight w:val="0"/>
          <w:marTop w:val="0"/>
          <w:marBottom w:val="0"/>
          <w:divBdr>
            <w:top w:val="none" w:sz="0" w:space="0" w:color="auto"/>
            <w:left w:val="none" w:sz="0" w:space="0" w:color="auto"/>
            <w:bottom w:val="none" w:sz="0" w:space="0" w:color="auto"/>
            <w:right w:val="none" w:sz="0" w:space="0" w:color="auto"/>
          </w:divBdr>
        </w:div>
        <w:div w:id="1743212674">
          <w:marLeft w:val="480"/>
          <w:marRight w:val="0"/>
          <w:marTop w:val="0"/>
          <w:marBottom w:val="0"/>
          <w:divBdr>
            <w:top w:val="none" w:sz="0" w:space="0" w:color="auto"/>
            <w:left w:val="none" w:sz="0" w:space="0" w:color="auto"/>
            <w:bottom w:val="none" w:sz="0" w:space="0" w:color="auto"/>
            <w:right w:val="none" w:sz="0" w:space="0" w:color="auto"/>
          </w:divBdr>
        </w:div>
        <w:div w:id="434447019">
          <w:marLeft w:val="480"/>
          <w:marRight w:val="0"/>
          <w:marTop w:val="0"/>
          <w:marBottom w:val="0"/>
          <w:divBdr>
            <w:top w:val="none" w:sz="0" w:space="0" w:color="auto"/>
            <w:left w:val="none" w:sz="0" w:space="0" w:color="auto"/>
            <w:bottom w:val="none" w:sz="0" w:space="0" w:color="auto"/>
            <w:right w:val="none" w:sz="0" w:space="0" w:color="auto"/>
          </w:divBdr>
        </w:div>
        <w:div w:id="123037808">
          <w:marLeft w:val="480"/>
          <w:marRight w:val="0"/>
          <w:marTop w:val="0"/>
          <w:marBottom w:val="0"/>
          <w:divBdr>
            <w:top w:val="none" w:sz="0" w:space="0" w:color="auto"/>
            <w:left w:val="none" w:sz="0" w:space="0" w:color="auto"/>
            <w:bottom w:val="none" w:sz="0" w:space="0" w:color="auto"/>
            <w:right w:val="none" w:sz="0" w:space="0" w:color="auto"/>
          </w:divBdr>
        </w:div>
        <w:div w:id="1017853214">
          <w:marLeft w:val="480"/>
          <w:marRight w:val="0"/>
          <w:marTop w:val="0"/>
          <w:marBottom w:val="0"/>
          <w:divBdr>
            <w:top w:val="none" w:sz="0" w:space="0" w:color="auto"/>
            <w:left w:val="none" w:sz="0" w:space="0" w:color="auto"/>
            <w:bottom w:val="none" w:sz="0" w:space="0" w:color="auto"/>
            <w:right w:val="none" w:sz="0" w:space="0" w:color="auto"/>
          </w:divBdr>
        </w:div>
        <w:div w:id="1337339767">
          <w:marLeft w:val="480"/>
          <w:marRight w:val="0"/>
          <w:marTop w:val="0"/>
          <w:marBottom w:val="0"/>
          <w:divBdr>
            <w:top w:val="none" w:sz="0" w:space="0" w:color="auto"/>
            <w:left w:val="none" w:sz="0" w:space="0" w:color="auto"/>
            <w:bottom w:val="none" w:sz="0" w:space="0" w:color="auto"/>
            <w:right w:val="none" w:sz="0" w:space="0" w:color="auto"/>
          </w:divBdr>
        </w:div>
        <w:div w:id="1847406339">
          <w:marLeft w:val="480"/>
          <w:marRight w:val="0"/>
          <w:marTop w:val="0"/>
          <w:marBottom w:val="0"/>
          <w:divBdr>
            <w:top w:val="none" w:sz="0" w:space="0" w:color="auto"/>
            <w:left w:val="none" w:sz="0" w:space="0" w:color="auto"/>
            <w:bottom w:val="none" w:sz="0" w:space="0" w:color="auto"/>
            <w:right w:val="none" w:sz="0" w:space="0" w:color="auto"/>
          </w:divBdr>
        </w:div>
        <w:div w:id="416295345">
          <w:marLeft w:val="480"/>
          <w:marRight w:val="0"/>
          <w:marTop w:val="0"/>
          <w:marBottom w:val="0"/>
          <w:divBdr>
            <w:top w:val="none" w:sz="0" w:space="0" w:color="auto"/>
            <w:left w:val="none" w:sz="0" w:space="0" w:color="auto"/>
            <w:bottom w:val="none" w:sz="0" w:space="0" w:color="auto"/>
            <w:right w:val="none" w:sz="0" w:space="0" w:color="auto"/>
          </w:divBdr>
        </w:div>
        <w:div w:id="265382639">
          <w:marLeft w:val="480"/>
          <w:marRight w:val="0"/>
          <w:marTop w:val="0"/>
          <w:marBottom w:val="0"/>
          <w:divBdr>
            <w:top w:val="none" w:sz="0" w:space="0" w:color="auto"/>
            <w:left w:val="none" w:sz="0" w:space="0" w:color="auto"/>
            <w:bottom w:val="none" w:sz="0" w:space="0" w:color="auto"/>
            <w:right w:val="none" w:sz="0" w:space="0" w:color="auto"/>
          </w:divBdr>
        </w:div>
        <w:div w:id="39090928">
          <w:marLeft w:val="480"/>
          <w:marRight w:val="0"/>
          <w:marTop w:val="0"/>
          <w:marBottom w:val="0"/>
          <w:divBdr>
            <w:top w:val="none" w:sz="0" w:space="0" w:color="auto"/>
            <w:left w:val="none" w:sz="0" w:space="0" w:color="auto"/>
            <w:bottom w:val="none" w:sz="0" w:space="0" w:color="auto"/>
            <w:right w:val="none" w:sz="0" w:space="0" w:color="auto"/>
          </w:divBdr>
        </w:div>
        <w:div w:id="87770834">
          <w:marLeft w:val="480"/>
          <w:marRight w:val="0"/>
          <w:marTop w:val="0"/>
          <w:marBottom w:val="0"/>
          <w:divBdr>
            <w:top w:val="none" w:sz="0" w:space="0" w:color="auto"/>
            <w:left w:val="none" w:sz="0" w:space="0" w:color="auto"/>
            <w:bottom w:val="none" w:sz="0" w:space="0" w:color="auto"/>
            <w:right w:val="none" w:sz="0" w:space="0" w:color="auto"/>
          </w:divBdr>
        </w:div>
        <w:div w:id="132451592">
          <w:marLeft w:val="480"/>
          <w:marRight w:val="0"/>
          <w:marTop w:val="0"/>
          <w:marBottom w:val="0"/>
          <w:divBdr>
            <w:top w:val="none" w:sz="0" w:space="0" w:color="auto"/>
            <w:left w:val="none" w:sz="0" w:space="0" w:color="auto"/>
            <w:bottom w:val="none" w:sz="0" w:space="0" w:color="auto"/>
            <w:right w:val="none" w:sz="0" w:space="0" w:color="auto"/>
          </w:divBdr>
        </w:div>
        <w:div w:id="1805614440">
          <w:marLeft w:val="480"/>
          <w:marRight w:val="0"/>
          <w:marTop w:val="0"/>
          <w:marBottom w:val="0"/>
          <w:divBdr>
            <w:top w:val="none" w:sz="0" w:space="0" w:color="auto"/>
            <w:left w:val="none" w:sz="0" w:space="0" w:color="auto"/>
            <w:bottom w:val="none" w:sz="0" w:space="0" w:color="auto"/>
            <w:right w:val="none" w:sz="0" w:space="0" w:color="auto"/>
          </w:divBdr>
        </w:div>
        <w:div w:id="827091353">
          <w:marLeft w:val="480"/>
          <w:marRight w:val="0"/>
          <w:marTop w:val="0"/>
          <w:marBottom w:val="0"/>
          <w:divBdr>
            <w:top w:val="none" w:sz="0" w:space="0" w:color="auto"/>
            <w:left w:val="none" w:sz="0" w:space="0" w:color="auto"/>
            <w:bottom w:val="none" w:sz="0" w:space="0" w:color="auto"/>
            <w:right w:val="none" w:sz="0" w:space="0" w:color="auto"/>
          </w:divBdr>
        </w:div>
        <w:div w:id="1063135435">
          <w:marLeft w:val="480"/>
          <w:marRight w:val="0"/>
          <w:marTop w:val="0"/>
          <w:marBottom w:val="0"/>
          <w:divBdr>
            <w:top w:val="none" w:sz="0" w:space="0" w:color="auto"/>
            <w:left w:val="none" w:sz="0" w:space="0" w:color="auto"/>
            <w:bottom w:val="none" w:sz="0" w:space="0" w:color="auto"/>
            <w:right w:val="none" w:sz="0" w:space="0" w:color="auto"/>
          </w:divBdr>
        </w:div>
      </w:divsChild>
    </w:div>
    <w:div w:id="374351013">
      <w:bodyDiv w:val="1"/>
      <w:marLeft w:val="0"/>
      <w:marRight w:val="0"/>
      <w:marTop w:val="0"/>
      <w:marBottom w:val="0"/>
      <w:divBdr>
        <w:top w:val="none" w:sz="0" w:space="0" w:color="auto"/>
        <w:left w:val="none" w:sz="0" w:space="0" w:color="auto"/>
        <w:bottom w:val="none" w:sz="0" w:space="0" w:color="auto"/>
        <w:right w:val="none" w:sz="0" w:space="0" w:color="auto"/>
      </w:divBdr>
      <w:divsChild>
        <w:div w:id="1767648317">
          <w:marLeft w:val="480"/>
          <w:marRight w:val="0"/>
          <w:marTop w:val="0"/>
          <w:marBottom w:val="0"/>
          <w:divBdr>
            <w:top w:val="none" w:sz="0" w:space="0" w:color="auto"/>
            <w:left w:val="none" w:sz="0" w:space="0" w:color="auto"/>
            <w:bottom w:val="none" w:sz="0" w:space="0" w:color="auto"/>
            <w:right w:val="none" w:sz="0" w:space="0" w:color="auto"/>
          </w:divBdr>
        </w:div>
        <w:div w:id="978222052">
          <w:marLeft w:val="480"/>
          <w:marRight w:val="0"/>
          <w:marTop w:val="0"/>
          <w:marBottom w:val="0"/>
          <w:divBdr>
            <w:top w:val="none" w:sz="0" w:space="0" w:color="auto"/>
            <w:left w:val="none" w:sz="0" w:space="0" w:color="auto"/>
            <w:bottom w:val="none" w:sz="0" w:space="0" w:color="auto"/>
            <w:right w:val="none" w:sz="0" w:space="0" w:color="auto"/>
          </w:divBdr>
        </w:div>
        <w:div w:id="325934843">
          <w:marLeft w:val="480"/>
          <w:marRight w:val="0"/>
          <w:marTop w:val="0"/>
          <w:marBottom w:val="0"/>
          <w:divBdr>
            <w:top w:val="none" w:sz="0" w:space="0" w:color="auto"/>
            <w:left w:val="none" w:sz="0" w:space="0" w:color="auto"/>
            <w:bottom w:val="none" w:sz="0" w:space="0" w:color="auto"/>
            <w:right w:val="none" w:sz="0" w:space="0" w:color="auto"/>
          </w:divBdr>
        </w:div>
        <w:div w:id="1500269278">
          <w:marLeft w:val="480"/>
          <w:marRight w:val="0"/>
          <w:marTop w:val="0"/>
          <w:marBottom w:val="0"/>
          <w:divBdr>
            <w:top w:val="none" w:sz="0" w:space="0" w:color="auto"/>
            <w:left w:val="none" w:sz="0" w:space="0" w:color="auto"/>
            <w:bottom w:val="none" w:sz="0" w:space="0" w:color="auto"/>
            <w:right w:val="none" w:sz="0" w:space="0" w:color="auto"/>
          </w:divBdr>
        </w:div>
        <w:div w:id="911278268">
          <w:marLeft w:val="480"/>
          <w:marRight w:val="0"/>
          <w:marTop w:val="0"/>
          <w:marBottom w:val="0"/>
          <w:divBdr>
            <w:top w:val="none" w:sz="0" w:space="0" w:color="auto"/>
            <w:left w:val="none" w:sz="0" w:space="0" w:color="auto"/>
            <w:bottom w:val="none" w:sz="0" w:space="0" w:color="auto"/>
            <w:right w:val="none" w:sz="0" w:space="0" w:color="auto"/>
          </w:divBdr>
        </w:div>
        <w:div w:id="1137138376">
          <w:marLeft w:val="480"/>
          <w:marRight w:val="0"/>
          <w:marTop w:val="0"/>
          <w:marBottom w:val="0"/>
          <w:divBdr>
            <w:top w:val="none" w:sz="0" w:space="0" w:color="auto"/>
            <w:left w:val="none" w:sz="0" w:space="0" w:color="auto"/>
            <w:bottom w:val="none" w:sz="0" w:space="0" w:color="auto"/>
            <w:right w:val="none" w:sz="0" w:space="0" w:color="auto"/>
          </w:divBdr>
        </w:div>
        <w:div w:id="1354844360">
          <w:marLeft w:val="480"/>
          <w:marRight w:val="0"/>
          <w:marTop w:val="0"/>
          <w:marBottom w:val="0"/>
          <w:divBdr>
            <w:top w:val="none" w:sz="0" w:space="0" w:color="auto"/>
            <w:left w:val="none" w:sz="0" w:space="0" w:color="auto"/>
            <w:bottom w:val="none" w:sz="0" w:space="0" w:color="auto"/>
            <w:right w:val="none" w:sz="0" w:space="0" w:color="auto"/>
          </w:divBdr>
        </w:div>
        <w:div w:id="1011839548">
          <w:marLeft w:val="480"/>
          <w:marRight w:val="0"/>
          <w:marTop w:val="0"/>
          <w:marBottom w:val="0"/>
          <w:divBdr>
            <w:top w:val="none" w:sz="0" w:space="0" w:color="auto"/>
            <w:left w:val="none" w:sz="0" w:space="0" w:color="auto"/>
            <w:bottom w:val="none" w:sz="0" w:space="0" w:color="auto"/>
            <w:right w:val="none" w:sz="0" w:space="0" w:color="auto"/>
          </w:divBdr>
        </w:div>
        <w:div w:id="14501611">
          <w:marLeft w:val="480"/>
          <w:marRight w:val="0"/>
          <w:marTop w:val="0"/>
          <w:marBottom w:val="0"/>
          <w:divBdr>
            <w:top w:val="none" w:sz="0" w:space="0" w:color="auto"/>
            <w:left w:val="none" w:sz="0" w:space="0" w:color="auto"/>
            <w:bottom w:val="none" w:sz="0" w:space="0" w:color="auto"/>
            <w:right w:val="none" w:sz="0" w:space="0" w:color="auto"/>
          </w:divBdr>
        </w:div>
        <w:div w:id="1117913448">
          <w:marLeft w:val="480"/>
          <w:marRight w:val="0"/>
          <w:marTop w:val="0"/>
          <w:marBottom w:val="0"/>
          <w:divBdr>
            <w:top w:val="none" w:sz="0" w:space="0" w:color="auto"/>
            <w:left w:val="none" w:sz="0" w:space="0" w:color="auto"/>
            <w:bottom w:val="none" w:sz="0" w:space="0" w:color="auto"/>
            <w:right w:val="none" w:sz="0" w:space="0" w:color="auto"/>
          </w:divBdr>
        </w:div>
        <w:div w:id="2013950823">
          <w:marLeft w:val="480"/>
          <w:marRight w:val="0"/>
          <w:marTop w:val="0"/>
          <w:marBottom w:val="0"/>
          <w:divBdr>
            <w:top w:val="none" w:sz="0" w:space="0" w:color="auto"/>
            <w:left w:val="none" w:sz="0" w:space="0" w:color="auto"/>
            <w:bottom w:val="none" w:sz="0" w:space="0" w:color="auto"/>
            <w:right w:val="none" w:sz="0" w:space="0" w:color="auto"/>
          </w:divBdr>
        </w:div>
        <w:div w:id="1707177155">
          <w:marLeft w:val="480"/>
          <w:marRight w:val="0"/>
          <w:marTop w:val="0"/>
          <w:marBottom w:val="0"/>
          <w:divBdr>
            <w:top w:val="none" w:sz="0" w:space="0" w:color="auto"/>
            <w:left w:val="none" w:sz="0" w:space="0" w:color="auto"/>
            <w:bottom w:val="none" w:sz="0" w:space="0" w:color="auto"/>
            <w:right w:val="none" w:sz="0" w:space="0" w:color="auto"/>
          </w:divBdr>
        </w:div>
      </w:divsChild>
    </w:div>
    <w:div w:id="449666900">
      <w:bodyDiv w:val="1"/>
      <w:marLeft w:val="0"/>
      <w:marRight w:val="0"/>
      <w:marTop w:val="0"/>
      <w:marBottom w:val="0"/>
      <w:divBdr>
        <w:top w:val="none" w:sz="0" w:space="0" w:color="auto"/>
        <w:left w:val="none" w:sz="0" w:space="0" w:color="auto"/>
        <w:bottom w:val="none" w:sz="0" w:space="0" w:color="auto"/>
        <w:right w:val="none" w:sz="0" w:space="0" w:color="auto"/>
      </w:divBdr>
    </w:div>
    <w:div w:id="483860969">
      <w:bodyDiv w:val="1"/>
      <w:marLeft w:val="0"/>
      <w:marRight w:val="0"/>
      <w:marTop w:val="0"/>
      <w:marBottom w:val="0"/>
      <w:divBdr>
        <w:top w:val="none" w:sz="0" w:space="0" w:color="auto"/>
        <w:left w:val="none" w:sz="0" w:space="0" w:color="auto"/>
        <w:bottom w:val="none" w:sz="0" w:space="0" w:color="auto"/>
        <w:right w:val="none" w:sz="0" w:space="0" w:color="auto"/>
      </w:divBdr>
      <w:divsChild>
        <w:div w:id="976029426">
          <w:marLeft w:val="480"/>
          <w:marRight w:val="0"/>
          <w:marTop w:val="0"/>
          <w:marBottom w:val="0"/>
          <w:divBdr>
            <w:top w:val="none" w:sz="0" w:space="0" w:color="auto"/>
            <w:left w:val="none" w:sz="0" w:space="0" w:color="auto"/>
            <w:bottom w:val="none" w:sz="0" w:space="0" w:color="auto"/>
            <w:right w:val="none" w:sz="0" w:space="0" w:color="auto"/>
          </w:divBdr>
        </w:div>
        <w:div w:id="2094810389">
          <w:marLeft w:val="480"/>
          <w:marRight w:val="0"/>
          <w:marTop w:val="0"/>
          <w:marBottom w:val="0"/>
          <w:divBdr>
            <w:top w:val="none" w:sz="0" w:space="0" w:color="auto"/>
            <w:left w:val="none" w:sz="0" w:space="0" w:color="auto"/>
            <w:bottom w:val="none" w:sz="0" w:space="0" w:color="auto"/>
            <w:right w:val="none" w:sz="0" w:space="0" w:color="auto"/>
          </w:divBdr>
        </w:div>
        <w:div w:id="1162433930">
          <w:marLeft w:val="480"/>
          <w:marRight w:val="0"/>
          <w:marTop w:val="0"/>
          <w:marBottom w:val="0"/>
          <w:divBdr>
            <w:top w:val="none" w:sz="0" w:space="0" w:color="auto"/>
            <w:left w:val="none" w:sz="0" w:space="0" w:color="auto"/>
            <w:bottom w:val="none" w:sz="0" w:space="0" w:color="auto"/>
            <w:right w:val="none" w:sz="0" w:space="0" w:color="auto"/>
          </w:divBdr>
        </w:div>
        <w:div w:id="632369165">
          <w:marLeft w:val="480"/>
          <w:marRight w:val="0"/>
          <w:marTop w:val="0"/>
          <w:marBottom w:val="0"/>
          <w:divBdr>
            <w:top w:val="none" w:sz="0" w:space="0" w:color="auto"/>
            <w:left w:val="none" w:sz="0" w:space="0" w:color="auto"/>
            <w:bottom w:val="none" w:sz="0" w:space="0" w:color="auto"/>
            <w:right w:val="none" w:sz="0" w:space="0" w:color="auto"/>
          </w:divBdr>
        </w:div>
        <w:div w:id="72894128">
          <w:marLeft w:val="480"/>
          <w:marRight w:val="0"/>
          <w:marTop w:val="0"/>
          <w:marBottom w:val="0"/>
          <w:divBdr>
            <w:top w:val="none" w:sz="0" w:space="0" w:color="auto"/>
            <w:left w:val="none" w:sz="0" w:space="0" w:color="auto"/>
            <w:bottom w:val="none" w:sz="0" w:space="0" w:color="auto"/>
            <w:right w:val="none" w:sz="0" w:space="0" w:color="auto"/>
          </w:divBdr>
        </w:div>
        <w:div w:id="1692991920">
          <w:marLeft w:val="480"/>
          <w:marRight w:val="0"/>
          <w:marTop w:val="0"/>
          <w:marBottom w:val="0"/>
          <w:divBdr>
            <w:top w:val="none" w:sz="0" w:space="0" w:color="auto"/>
            <w:left w:val="none" w:sz="0" w:space="0" w:color="auto"/>
            <w:bottom w:val="none" w:sz="0" w:space="0" w:color="auto"/>
            <w:right w:val="none" w:sz="0" w:space="0" w:color="auto"/>
          </w:divBdr>
        </w:div>
        <w:div w:id="995231035">
          <w:marLeft w:val="480"/>
          <w:marRight w:val="0"/>
          <w:marTop w:val="0"/>
          <w:marBottom w:val="0"/>
          <w:divBdr>
            <w:top w:val="none" w:sz="0" w:space="0" w:color="auto"/>
            <w:left w:val="none" w:sz="0" w:space="0" w:color="auto"/>
            <w:bottom w:val="none" w:sz="0" w:space="0" w:color="auto"/>
            <w:right w:val="none" w:sz="0" w:space="0" w:color="auto"/>
          </w:divBdr>
        </w:div>
        <w:div w:id="952245147">
          <w:marLeft w:val="480"/>
          <w:marRight w:val="0"/>
          <w:marTop w:val="0"/>
          <w:marBottom w:val="0"/>
          <w:divBdr>
            <w:top w:val="none" w:sz="0" w:space="0" w:color="auto"/>
            <w:left w:val="none" w:sz="0" w:space="0" w:color="auto"/>
            <w:bottom w:val="none" w:sz="0" w:space="0" w:color="auto"/>
            <w:right w:val="none" w:sz="0" w:space="0" w:color="auto"/>
          </w:divBdr>
        </w:div>
        <w:div w:id="499152547">
          <w:marLeft w:val="480"/>
          <w:marRight w:val="0"/>
          <w:marTop w:val="0"/>
          <w:marBottom w:val="0"/>
          <w:divBdr>
            <w:top w:val="none" w:sz="0" w:space="0" w:color="auto"/>
            <w:left w:val="none" w:sz="0" w:space="0" w:color="auto"/>
            <w:bottom w:val="none" w:sz="0" w:space="0" w:color="auto"/>
            <w:right w:val="none" w:sz="0" w:space="0" w:color="auto"/>
          </w:divBdr>
        </w:div>
        <w:div w:id="79521373">
          <w:marLeft w:val="480"/>
          <w:marRight w:val="0"/>
          <w:marTop w:val="0"/>
          <w:marBottom w:val="0"/>
          <w:divBdr>
            <w:top w:val="none" w:sz="0" w:space="0" w:color="auto"/>
            <w:left w:val="none" w:sz="0" w:space="0" w:color="auto"/>
            <w:bottom w:val="none" w:sz="0" w:space="0" w:color="auto"/>
            <w:right w:val="none" w:sz="0" w:space="0" w:color="auto"/>
          </w:divBdr>
        </w:div>
        <w:div w:id="441808248">
          <w:marLeft w:val="480"/>
          <w:marRight w:val="0"/>
          <w:marTop w:val="0"/>
          <w:marBottom w:val="0"/>
          <w:divBdr>
            <w:top w:val="none" w:sz="0" w:space="0" w:color="auto"/>
            <w:left w:val="none" w:sz="0" w:space="0" w:color="auto"/>
            <w:bottom w:val="none" w:sz="0" w:space="0" w:color="auto"/>
            <w:right w:val="none" w:sz="0" w:space="0" w:color="auto"/>
          </w:divBdr>
        </w:div>
        <w:div w:id="700936978">
          <w:marLeft w:val="480"/>
          <w:marRight w:val="0"/>
          <w:marTop w:val="0"/>
          <w:marBottom w:val="0"/>
          <w:divBdr>
            <w:top w:val="none" w:sz="0" w:space="0" w:color="auto"/>
            <w:left w:val="none" w:sz="0" w:space="0" w:color="auto"/>
            <w:bottom w:val="none" w:sz="0" w:space="0" w:color="auto"/>
            <w:right w:val="none" w:sz="0" w:space="0" w:color="auto"/>
          </w:divBdr>
        </w:div>
        <w:div w:id="792791391">
          <w:marLeft w:val="480"/>
          <w:marRight w:val="0"/>
          <w:marTop w:val="0"/>
          <w:marBottom w:val="0"/>
          <w:divBdr>
            <w:top w:val="none" w:sz="0" w:space="0" w:color="auto"/>
            <w:left w:val="none" w:sz="0" w:space="0" w:color="auto"/>
            <w:bottom w:val="none" w:sz="0" w:space="0" w:color="auto"/>
            <w:right w:val="none" w:sz="0" w:space="0" w:color="auto"/>
          </w:divBdr>
        </w:div>
      </w:divsChild>
    </w:div>
    <w:div w:id="580870490">
      <w:bodyDiv w:val="1"/>
      <w:marLeft w:val="0"/>
      <w:marRight w:val="0"/>
      <w:marTop w:val="0"/>
      <w:marBottom w:val="0"/>
      <w:divBdr>
        <w:top w:val="none" w:sz="0" w:space="0" w:color="auto"/>
        <w:left w:val="none" w:sz="0" w:space="0" w:color="auto"/>
        <w:bottom w:val="none" w:sz="0" w:space="0" w:color="auto"/>
        <w:right w:val="none" w:sz="0" w:space="0" w:color="auto"/>
      </w:divBdr>
      <w:divsChild>
        <w:div w:id="519122209">
          <w:marLeft w:val="480"/>
          <w:marRight w:val="0"/>
          <w:marTop w:val="0"/>
          <w:marBottom w:val="0"/>
          <w:divBdr>
            <w:top w:val="none" w:sz="0" w:space="0" w:color="auto"/>
            <w:left w:val="none" w:sz="0" w:space="0" w:color="auto"/>
            <w:bottom w:val="none" w:sz="0" w:space="0" w:color="auto"/>
            <w:right w:val="none" w:sz="0" w:space="0" w:color="auto"/>
          </w:divBdr>
        </w:div>
        <w:div w:id="1794522898">
          <w:marLeft w:val="480"/>
          <w:marRight w:val="0"/>
          <w:marTop w:val="0"/>
          <w:marBottom w:val="0"/>
          <w:divBdr>
            <w:top w:val="none" w:sz="0" w:space="0" w:color="auto"/>
            <w:left w:val="none" w:sz="0" w:space="0" w:color="auto"/>
            <w:bottom w:val="none" w:sz="0" w:space="0" w:color="auto"/>
            <w:right w:val="none" w:sz="0" w:space="0" w:color="auto"/>
          </w:divBdr>
        </w:div>
        <w:div w:id="988943271">
          <w:marLeft w:val="480"/>
          <w:marRight w:val="0"/>
          <w:marTop w:val="0"/>
          <w:marBottom w:val="0"/>
          <w:divBdr>
            <w:top w:val="none" w:sz="0" w:space="0" w:color="auto"/>
            <w:left w:val="none" w:sz="0" w:space="0" w:color="auto"/>
            <w:bottom w:val="none" w:sz="0" w:space="0" w:color="auto"/>
            <w:right w:val="none" w:sz="0" w:space="0" w:color="auto"/>
          </w:divBdr>
        </w:div>
        <w:div w:id="2093351042">
          <w:marLeft w:val="480"/>
          <w:marRight w:val="0"/>
          <w:marTop w:val="0"/>
          <w:marBottom w:val="0"/>
          <w:divBdr>
            <w:top w:val="none" w:sz="0" w:space="0" w:color="auto"/>
            <w:left w:val="none" w:sz="0" w:space="0" w:color="auto"/>
            <w:bottom w:val="none" w:sz="0" w:space="0" w:color="auto"/>
            <w:right w:val="none" w:sz="0" w:space="0" w:color="auto"/>
          </w:divBdr>
        </w:div>
        <w:div w:id="153837359">
          <w:marLeft w:val="480"/>
          <w:marRight w:val="0"/>
          <w:marTop w:val="0"/>
          <w:marBottom w:val="0"/>
          <w:divBdr>
            <w:top w:val="none" w:sz="0" w:space="0" w:color="auto"/>
            <w:left w:val="none" w:sz="0" w:space="0" w:color="auto"/>
            <w:bottom w:val="none" w:sz="0" w:space="0" w:color="auto"/>
            <w:right w:val="none" w:sz="0" w:space="0" w:color="auto"/>
          </w:divBdr>
        </w:div>
        <w:div w:id="815604845">
          <w:marLeft w:val="480"/>
          <w:marRight w:val="0"/>
          <w:marTop w:val="0"/>
          <w:marBottom w:val="0"/>
          <w:divBdr>
            <w:top w:val="none" w:sz="0" w:space="0" w:color="auto"/>
            <w:left w:val="none" w:sz="0" w:space="0" w:color="auto"/>
            <w:bottom w:val="none" w:sz="0" w:space="0" w:color="auto"/>
            <w:right w:val="none" w:sz="0" w:space="0" w:color="auto"/>
          </w:divBdr>
        </w:div>
        <w:div w:id="2140032831">
          <w:marLeft w:val="480"/>
          <w:marRight w:val="0"/>
          <w:marTop w:val="0"/>
          <w:marBottom w:val="0"/>
          <w:divBdr>
            <w:top w:val="none" w:sz="0" w:space="0" w:color="auto"/>
            <w:left w:val="none" w:sz="0" w:space="0" w:color="auto"/>
            <w:bottom w:val="none" w:sz="0" w:space="0" w:color="auto"/>
            <w:right w:val="none" w:sz="0" w:space="0" w:color="auto"/>
          </w:divBdr>
        </w:div>
        <w:div w:id="894390299">
          <w:marLeft w:val="480"/>
          <w:marRight w:val="0"/>
          <w:marTop w:val="0"/>
          <w:marBottom w:val="0"/>
          <w:divBdr>
            <w:top w:val="none" w:sz="0" w:space="0" w:color="auto"/>
            <w:left w:val="none" w:sz="0" w:space="0" w:color="auto"/>
            <w:bottom w:val="none" w:sz="0" w:space="0" w:color="auto"/>
            <w:right w:val="none" w:sz="0" w:space="0" w:color="auto"/>
          </w:divBdr>
        </w:div>
        <w:div w:id="1158811212">
          <w:marLeft w:val="480"/>
          <w:marRight w:val="0"/>
          <w:marTop w:val="0"/>
          <w:marBottom w:val="0"/>
          <w:divBdr>
            <w:top w:val="none" w:sz="0" w:space="0" w:color="auto"/>
            <w:left w:val="none" w:sz="0" w:space="0" w:color="auto"/>
            <w:bottom w:val="none" w:sz="0" w:space="0" w:color="auto"/>
            <w:right w:val="none" w:sz="0" w:space="0" w:color="auto"/>
          </w:divBdr>
        </w:div>
        <w:div w:id="54164900">
          <w:marLeft w:val="480"/>
          <w:marRight w:val="0"/>
          <w:marTop w:val="0"/>
          <w:marBottom w:val="0"/>
          <w:divBdr>
            <w:top w:val="none" w:sz="0" w:space="0" w:color="auto"/>
            <w:left w:val="none" w:sz="0" w:space="0" w:color="auto"/>
            <w:bottom w:val="none" w:sz="0" w:space="0" w:color="auto"/>
            <w:right w:val="none" w:sz="0" w:space="0" w:color="auto"/>
          </w:divBdr>
        </w:div>
        <w:div w:id="741871539">
          <w:marLeft w:val="480"/>
          <w:marRight w:val="0"/>
          <w:marTop w:val="0"/>
          <w:marBottom w:val="0"/>
          <w:divBdr>
            <w:top w:val="none" w:sz="0" w:space="0" w:color="auto"/>
            <w:left w:val="none" w:sz="0" w:space="0" w:color="auto"/>
            <w:bottom w:val="none" w:sz="0" w:space="0" w:color="auto"/>
            <w:right w:val="none" w:sz="0" w:space="0" w:color="auto"/>
          </w:divBdr>
        </w:div>
        <w:div w:id="1511484819">
          <w:marLeft w:val="480"/>
          <w:marRight w:val="0"/>
          <w:marTop w:val="0"/>
          <w:marBottom w:val="0"/>
          <w:divBdr>
            <w:top w:val="none" w:sz="0" w:space="0" w:color="auto"/>
            <w:left w:val="none" w:sz="0" w:space="0" w:color="auto"/>
            <w:bottom w:val="none" w:sz="0" w:space="0" w:color="auto"/>
            <w:right w:val="none" w:sz="0" w:space="0" w:color="auto"/>
          </w:divBdr>
        </w:div>
        <w:div w:id="975795146">
          <w:marLeft w:val="480"/>
          <w:marRight w:val="0"/>
          <w:marTop w:val="0"/>
          <w:marBottom w:val="0"/>
          <w:divBdr>
            <w:top w:val="none" w:sz="0" w:space="0" w:color="auto"/>
            <w:left w:val="none" w:sz="0" w:space="0" w:color="auto"/>
            <w:bottom w:val="none" w:sz="0" w:space="0" w:color="auto"/>
            <w:right w:val="none" w:sz="0" w:space="0" w:color="auto"/>
          </w:divBdr>
        </w:div>
        <w:div w:id="1156873445">
          <w:marLeft w:val="480"/>
          <w:marRight w:val="0"/>
          <w:marTop w:val="0"/>
          <w:marBottom w:val="0"/>
          <w:divBdr>
            <w:top w:val="none" w:sz="0" w:space="0" w:color="auto"/>
            <w:left w:val="none" w:sz="0" w:space="0" w:color="auto"/>
            <w:bottom w:val="none" w:sz="0" w:space="0" w:color="auto"/>
            <w:right w:val="none" w:sz="0" w:space="0" w:color="auto"/>
          </w:divBdr>
        </w:div>
        <w:div w:id="2067097828">
          <w:marLeft w:val="480"/>
          <w:marRight w:val="0"/>
          <w:marTop w:val="0"/>
          <w:marBottom w:val="0"/>
          <w:divBdr>
            <w:top w:val="none" w:sz="0" w:space="0" w:color="auto"/>
            <w:left w:val="none" w:sz="0" w:space="0" w:color="auto"/>
            <w:bottom w:val="none" w:sz="0" w:space="0" w:color="auto"/>
            <w:right w:val="none" w:sz="0" w:space="0" w:color="auto"/>
          </w:divBdr>
        </w:div>
        <w:div w:id="494417051">
          <w:marLeft w:val="480"/>
          <w:marRight w:val="0"/>
          <w:marTop w:val="0"/>
          <w:marBottom w:val="0"/>
          <w:divBdr>
            <w:top w:val="none" w:sz="0" w:space="0" w:color="auto"/>
            <w:left w:val="none" w:sz="0" w:space="0" w:color="auto"/>
            <w:bottom w:val="none" w:sz="0" w:space="0" w:color="auto"/>
            <w:right w:val="none" w:sz="0" w:space="0" w:color="auto"/>
          </w:divBdr>
        </w:div>
        <w:div w:id="783765940">
          <w:marLeft w:val="480"/>
          <w:marRight w:val="0"/>
          <w:marTop w:val="0"/>
          <w:marBottom w:val="0"/>
          <w:divBdr>
            <w:top w:val="none" w:sz="0" w:space="0" w:color="auto"/>
            <w:left w:val="none" w:sz="0" w:space="0" w:color="auto"/>
            <w:bottom w:val="none" w:sz="0" w:space="0" w:color="auto"/>
            <w:right w:val="none" w:sz="0" w:space="0" w:color="auto"/>
          </w:divBdr>
        </w:div>
        <w:div w:id="212430497">
          <w:marLeft w:val="480"/>
          <w:marRight w:val="0"/>
          <w:marTop w:val="0"/>
          <w:marBottom w:val="0"/>
          <w:divBdr>
            <w:top w:val="none" w:sz="0" w:space="0" w:color="auto"/>
            <w:left w:val="none" w:sz="0" w:space="0" w:color="auto"/>
            <w:bottom w:val="none" w:sz="0" w:space="0" w:color="auto"/>
            <w:right w:val="none" w:sz="0" w:space="0" w:color="auto"/>
          </w:divBdr>
        </w:div>
        <w:div w:id="783765394">
          <w:marLeft w:val="480"/>
          <w:marRight w:val="0"/>
          <w:marTop w:val="0"/>
          <w:marBottom w:val="0"/>
          <w:divBdr>
            <w:top w:val="none" w:sz="0" w:space="0" w:color="auto"/>
            <w:left w:val="none" w:sz="0" w:space="0" w:color="auto"/>
            <w:bottom w:val="none" w:sz="0" w:space="0" w:color="auto"/>
            <w:right w:val="none" w:sz="0" w:space="0" w:color="auto"/>
          </w:divBdr>
        </w:div>
        <w:div w:id="1077098258">
          <w:marLeft w:val="480"/>
          <w:marRight w:val="0"/>
          <w:marTop w:val="0"/>
          <w:marBottom w:val="0"/>
          <w:divBdr>
            <w:top w:val="none" w:sz="0" w:space="0" w:color="auto"/>
            <w:left w:val="none" w:sz="0" w:space="0" w:color="auto"/>
            <w:bottom w:val="none" w:sz="0" w:space="0" w:color="auto"/>
            <w:right w:val="none" w:sz="0" w:space="0" w:color="auto"/>
          </w:divBdr>
        </w:div>
        <w:div w:id="1302612481">
          <w:marLeft w:val="480"/>
          <w:marRight w:val="0"/>
          <w:marTop w:val="0"/>
          <w:marBottom w:val="0"/>
          <w:divBdr>
            <w:top w:val="none" w:sz="0" w:space="0" w:color="auto"/>
            <w:left w:val="none" w:sz="0" w:space="0" w:color="auto"/>
            <w:bottom w:val="none" w:sz="0" w:space="0" w:color="auto"/>
            <w:right w:val="none" w:sz="0" w:space="0" w:color="auto"/>
          </w:divBdr>
        </w:div>
      </w:divsChild>
    </w:div>
    <w:div w:id="593326418">
      <w:bodyDiv w:val="1"/>
      <w:marLeft w:val="0"/>
      <w:marRight w:val="0"/>
      <w:marTop w:val="0"/>
      <w:marBottom w:val="0"/>
      <w:divBdr>
        <w:top w:val="none" w:sz="0" w:space="0" w:color="auto"/>
        <w:left w:val="none" w:sz="0" w:space="0" w:color="auto"/>
        <w:bottom w:val="none" w:sz="0" w:space="0" w:color="auto"/>
        <w:right w:val="none" w:sz="0" w:space="0" w:color="auto"/>
      </w:divBdr>
    </w:div>
    <w:div w:id="602542820">
      <w:bodyDiv w:val="1"/>
      <w:marLeft w:val="0"/>
      <w:marRight w:val="0"/>
      <w:marTop w:val="0"/>
      <w:marBottom w:val="0"/>
      <w:divBdr>
        <w:top w:val="none" w:sz="0" w:space="0" w:color="auto"/>
        <w:left w:val="none" w:sz="0" w:space="0" w:color="auto"/>
        <w:bottom w:val="none" w:sz="0" w:space="0" w:color="auto"/>
        <w:right w:val="none" w:sz="0" w:space="0" w:color="auto"/>
      </w:divBdr>
      <w:divsChild>
        <w:div w:id="243271381">
          <w:marLeft w:val="0"/>
          <w:marRight w:val="0"/>
          <w:marTop w:val="0"/>
          <w:marBottom w:val="0"/>
          <w:divBdr>
            <w:top w:val="none" w:sz="0" w:space="0" w:color="auto"/>
            <w:left w:val="none" w:sz="0" w:space="0" w:color="auto"/>
            <w:bottom w:val="none" w:sz="0" w:space="0" w:color="auto"/>
            <w:right w:val="none" w:sz="0" w:space="0" w:color="auto"/>
          </w:divBdr>
          <w:divsChild>
            <w:div w:id="40598727">
              <w:marLeft w:val="0"/>
              <w:marRight w:val="0"/>
              <w:marTop w:val="0"/>
              <w:marBottom w:val="0"/>
              <w:divBdr>
                <w:top w:val="none" w:sz="0" w:space="0" w:color="auto"/>
                <w:left w:val="none" w:sz="0" w:space="0" w:color="auto"/>
                <w:bottom w:val="none" w:sz="0" w:space="0" w:color="auto"/>
                <w:right w:val="none" w:sz="0" w:space="0" w:color="auto"/>
              </w:divBdr>
              <w:divsChild>
                <w:div w:id="106367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874304">
      <w:bodyDiv w:val="1"/>
      <w:marLeft w:val="0"/>
      <w:marRight w:val="0"/>
      <w:marTop w:val="0"/>
      <w:marBottom w:val="0"/>
      <w:divBdr>
        <w:top w:val="none" w:sz="0" w:space="0" w:color="auto"/>
        <w:left w:val="none" w:sz="0" w:space="0" w:color="auto"/>
        <w:bottom w:val="none" w:sz="0" w:space="0" w:color="auto"/>
        <w:right w:val="none" w:sz="0" w:space="0" w:color="auto"/>
      </w:divBdr>
      <w:divsChild>
        <w:div w:id="2136942605">
          <w:marLeft w:val="480"/>
          <w:marRight w:val="0"/>
          <w:marTop w:val="0"/>
          <w:marBottom w:val="0"/>
          <w:divBdr>
            <w:top w:val="none" w:sz="0" w:space="0" w:color="auto"/>
            <w:left w:val="none" w:sz="0" w:space="0" w:color="auto"/>
            <w:bottom w:val="none" w:sz="0" w:space="0" w:color="auto"/>
            <w:right w:val="none" w:sz="0" w:space="0" w:color="auto"/>
          </w:divBdr>
        </w:div>
        <w:div w:id="187182020">
          <w:marLeft w:val="480"/>
          <w:marRight w:val="0"/>
          <w:marTop w:val="0"/>
          <w:marBottom w:val="0"/>
          <w:divBdr>
            <w:top w:val="none" w:sz="0" w:space="0" w:color="auto"/>
            <w:left w:val="none" w:sz="0" w:space="0" w:color="auto"/>
            <w:bottom w:val="none" w:sz="0" w:space="0" w:color="auto"/>
            <w:right w:val="none" w:sz="0" w:space="0" w:color="auto"/>
          </w:divBdr>
        </w:div>
        <w:div w:id="266012620">
          <w:marLeft w:val="480"/>
          <w:marRight w:val="0"/>
          <w:marTop w:val="0"/>
          <w:marBottom w:val="0"/>
          <w:divBdr>
            <w:top w:val="none" w:sz="0" w:space="0" w:color="auto"/>
            <w:left w:val="none" w:sz="0" w:space="0" w:color="auto"/>
            <w:bottom w:val="none" w:sz="0" w:space="0" w:color="auto"/>
            <w:right w:val="none" w:sz="0" w:space="0" w:color="auto"/>
          </w:divBdr>
        </w:div>
        <w:div w:id="974062592">
          <w:marLeft w:val="480"/>
          <w:marRight w:val="0"/>
          <w:marTop w:val="0"/>
          <w:marBottom w:val="0"/>
          <w:divBdr>
            <w:top w:val="none" w:sz="0" w:space="0" w:color="auto"/>
            <w:left w:val="none" w:sz="0" w:space="0" w:color="auto"/>
            <w:bottom w:val="none" w:sz="0" w:space="0" w:color="auto"/>
            <w:right w:val="none" w:sz="0" w:space="0" w:color="auto"/>
          </w:divBdr>
        </w:div>
        <w:div w:id="234365577">
          <w:marLeft w:val="480"/>
          <w:marRight w:val="0"/>
          <w:marTop w:val="0"/>
          <w:marBottom w:val="0"/>
          <w:divBdr>
            <w:top w:val="none" w:sz="0" w:space="0" w:color="auto"/>
            <w:left w:val="none" w:sz="0" w:space="0" w:color="auto"/>
            <w:bottom w:val="none" w:sz="0" w:space="0" w:color="auto"/>
            <w:right w:val="none" w:sz="0" w:space="0" w:color="auto"/>
          </w:divBdr>
        </w:div>
        <w:div w:id="2143189398">
          <w:marLeft w:val="480"/>
          <w:marRight w:val="0"/>
          <w:marTop w:val="0"/>
          <w:marBottom w:val="0"/>
          <w:divBdr>
            <w:top w:val="none" w:sz="0" w:space="0" w:color="auto"/>
            <w:left w:val="none" w:sz="0" w:space="0" w:color="auto"/>
            <w:bottom w:val="none" w:sz="0" w:space="0" w:color="auto"/>
            <w:right w:val="none" w:sz="0" w:space="0" w:color="auto"/>
          </w:divBdr>
        </w:div>
        <w:div w:id="386612913">
          <w:marLeft w:val="480"/>
          <w:marRight w:val="0"/>
          <w:marTop w:val="0"/>
          <w:marBottom w:val="0"/>
          <w:divBdr>
            <w:top w:val="none" w:sz="0" w:space="0" w:color="auto"/>
            <w:left w:val="none" w:sz="0" w:space="0" w:color="auto"/>
            <w:bottom w:val="none" w:sz="0" w:space="0" w:color="auto"/>
            <w:right w:val="none" w:sz="0" w:space="0" w:color="auto"/>
          </w:divBdr>
        </w:div>
        <w:div w:id="897938801">
          <w:marLeft w:val="480"/>
          <w:marRight w:val="0"/>
          <w:marTop w:val="0"/>
          <w:marBottom w:val="0"/>
          <w:divBdr>
            <w:top w:val="none" w:sz="0" w:space="0" w:color="auto"/>
            <w:left w:val="none" w:sz="0" w:space="0" w:color="auto"/>
            <w:bottom w:val="none" w:sz="0" w:space="0" w:color="auto"/>
            <w:right w:val="none" w:sz="0" w:space="0" w:color="auto"/>
          </w:divBdr>
        </w:div>
        <w:div w:id="260186327">
          <w:marLeft w:val="480"/>
          <w:marRight w:val="0"/>
          <w:marTop w:val="0"/>
          <w:marBottom w:val="0"/>
          <w:divBdr>
            <w:top w:val="none" w:sz="0" w:space="0" w:color="auto"/>
            <w:left w:val="none" w:sz="0" w:space="0" w:color="auto"/>
            <w:bottom w:val="none" w:sz="0" w:space="0" w:color="auto"/>
            <w:right w:val="none" w:sz="0" w:space="0" w:color="auto"/>
          </w:divBdr>
        </w:div>
        <w:div w:id="1935170284">
          <w:marLeft w:val="480"/>
          <w:marRight w:val="0"/>
          <w:marTop w:val="0"/>
          <w:marBottom w:val="0"/>
          <w:divBdr>
            <w:top w:val="none" w:sz="0" w:space="0" w:color="auto"/>
            <w:left w:val="none" w:sz="0" w:space="0" w:color="auto"/>
            <w:bottom w:val="none" w:sz="0" w:space="0" w:color="auto"/>
            <w:right w:val="none" w:sz="0" w:space="0" w:color="auto"/>
          </w:divBdr>
        </w:div>
        <w:div w:id="1110465525">
          <w:marLeft w:val="480"/>
          <w:marRight w:val="0"/>
          <w:marTop w:val="0"/>
          <w:marBottom w:val="0"/>
          <w:divBdr>
            <w:top w:val="none" w:sz="0" w:space="0" w:color="auto"/>
            <w:left w:val="none" w:sz="0" w:space="0" w:color="auto"/>
            <w:bottom w:val="none" w:sz="0" w:space="0" w:color="auto"/>
            <w:right w:val="none" w:sz="0" w:space="0" w:color="auto"/>
          </w:divBdr>
        </w:div>
        <w:div w:id="1601909414">
          <w:marLeft w:val="480"/>
          <w:marRight w:val="0"/>
          <w:marTop w:val="0"/>
          <w:marBottom w:val="0"/>
          <w:divBdr>
            <w:top w:val="none" w:sz="0" w:space="0" w:color="auto"/>
            <w:left w:val="none" w:sz="0" w:space="0" w:color="auto"/>
            <w:bottom w:val="none" w:sz="0" w:space="0" w:color="auto"/>
            <w:right w:val="none" w:sz="0" w:space="0" w:color="auto"/>
          </w:divBdr>
        </w:div>
      </w:divsChild>
    </w:div>
    <w:div w:id="674116419">
      <w:bodyDiv w:val="1"/>
      <w:marLeft w:val="0"/>
      <w:marRight w:val="0"/>
      <w:marTop w:val="0"/>
      <w:marBottom w:val="0"/>
      <w:divBdr>
        <w:top w:val="none" w:sz="0" w:space="0" w:color="auto"/>
        <w:left w:val="none" w:sz="0" w:space="0" w:color="auto"/>
        <w:bottom w:val="none" w:sz="0" w:space="0" w:color="auto"/>
        <w:right w:val="none" w:sz="0" w:space="0" w:color="auto"/>
      </w:divBdr>
    </w:div>
    <w:div w:id="701249769">
      <w:bodyDiv w:val="1"/>
      <w:marLeft w:val="0"/>
      <w:marRight w:val="0"/>
      <w:marTop w:val="0"/>
      <w:marBottom w:val="0"/>
      <w:divBdr>
        <w:top w:val="none" w:sz="0" w:space="0" w:color="auto"/>
        <w:left w:val="none" w:sz="0" w:space="0" w:color="auto"/>
        <w:bottom w:val="none" w:sz="0" w:space="0" w:color="auto"/>
        <w:right w:val="none" w:sz="0" w:space="0" w:color="auto"/>
      </w:divBdr>
    </w:div>
    <w:div w:id="702169489">
      <w:bodyDiv w:val="1"/>
      <w:marLeft w:val="0"/>
      <w:marRight w:val="0"/>
      <w:marTop w:val="0"/>
      <w:marBottom w:val="0"/>
      <w:divBdr>
        <w:top w:val="none" w:sz="0" w:space="0" w:color="auto"/>
        <w:left w:val="none" w:sz="0" w:space="0" w:color="auto"/>
        <w:bottom w:val="none" w:sz="0" w:space="0" w:color="auto"/>
        <w:right w:val="none" w:sz="0" w:space="0" w:color="auto"/>
      </w:divBdr>
    </w:div>
    <w:div w:id="724716854">
      <w:bodyDiv w:val="1"/>
      <w:marLeft w:val="0"/>
      <w:marRight w:val="0"/>
      <w:marTop w:val="0"/>
      <w:marBottom w:val="0"/>
      <w:divBdr>
        <w:top w:val="none" w:sz="0" w:space="0" w:color="auto"/>
        <w:left w:val="none" w:sz="0" w:space="0" w:color="auto"/>
        <w:bottom w:val="none" w:sz="0" w:space="0" w:color="auto"/>
        <w:right w:val="none" w:sz="0" w:space="0" w:color="auto"/>
      </w:divBdr>
      <w:divsChild>
        <w:div w:id="1234389161">
          <w:marLeft w:val="480"/>
          <w:marRight w:val="0"/>
          <w:marTop w:val="0"/>
          <w:marBottom w:val="0"/>
          <w:divBdr>
            <w:top w:val="none" w:sz="0" w:space="0" w:color="auto"/>
            <w:left w:val="none" w:sz="0" w:space="0" w:color="auto"/>
            <w:bottom w:val="none" w:sz="0" w:space="0" w:color="auto"/>
            <w:right w:val="none" w:sz="0" w:space="0" w:color="auto"/>
          </w:divBdr>
        </w:div>
        <w:div w:id="579606156">
          <w:marLeft w:val="480"/>
          <w:marRight w:val="0"/>
          <w:marTop w:val="0"/>
          <w:marBottom w:val="0"/>
          <w:divBdr>
            <w:top w:val="none" w:sz="0" w:space="0" w:color="auto"/>
            <w:left w:val="none" w:sz="0" w:space="0" w:color="auto"/>
            <w:bottom w:val="none" w:sz="0" w:space="0" w:color="auto"/>
            <w:right w:val="none" w:sz="0" w:space="0" w:color="auto"/>
          </w:divBdr>
        </w:div>
        <w:div w:id="6560041">
          <w:marLeft w:val="480"/>
          <w:marRight w:val="0"/>
          <w:marTop w:val="0"/>
          <w:marBottom w:val="0"/>
          <w:divBdr>
            <w:top w:val="none" w:sz="0" w:space="0" w:color="auto"/>
            <w:left w:val="none" w:sz="0" w:space="0" w:color="auto"/>
            <w:bottom w:val="none" w:sz="0" w:space="0" w:color="auto"/>
            <w:right w:val="none" w:sz="0" w:space="0" w:color="auto"/>
          </w:divBdr>
        </w:div>
        <w:div w:id="1316567146">
          <w:marLeft w:val="480"/>
          <w:marRight w:val="0"/>
          <w:marTop w:val="0"/>
          <w:marBottom w:val="0"/>
          <w:divBdr>
            <w:top w:val="none" w:sz="0" w:space="0" w:color="auto"/>
            <w:left w:val="none" w:sz="0" w:space="0" w:color="auto"/>
            <w:bottom w:val="none" w:sz="0" w:space="0" w:color="auto"/>
            <w:right w:val="none" w:sz="0" w:space="0" w:color="auto"/>
          </w:divBdr>
        </w:div>
        <w:div w:id="1570728123">
          <w:marLeft w:val="480"/>
          <w:marRight w:val="0"/>
          <w:marTop w:val="0"/>
          <w:marBottom w:val="0"/>
          <w:divBdr>
            <w:top w:val="none" w:sz="0" w:space="0" w:color="auto"/>
            <w:left w:val="none" w:sz="0" w:space="0" w:color="auto"/>
            <w:bottom w:val="none" w:sz="0" w:space="0" w:color="auto"/>
            <w:right w:val="none" w:sz="0" w:space="0" w:color="auto"/>
          </w:divBdr>
        </w:div>
        <w:div w:id="1653635529">
          <w:marLeft w:val="480"/>
          <w:marRight w:val="0"/>
          <w:marTop w:val="0"/>
          <w:marBottom w:val="0"/>
          <w:divBdr>
            <w:top w:val="none" w:sz="0" w:space="0" w:color="auto"/>
            <w:left w:val="none" w:sz="0" w:space="0" w:color="auto"/>
            <w:bottom w:val="none" w:sz="0" w:space="0" w:color="auto"/>
            <w:right w:val="none" w:sz="0" w:space="0" w:color="auto"/>
          </w:divBdr>
        </w:div>
        <w:div w:id="1172987769">
          <w:marLeft w:val="480"/>
          <w:marRight w:val="0"/>
          <w:marTop w:val="0"/>
          <w:marBottom w:val="0"/>
          <w:divBdr>
            <w:top w:val="none" w:sz="0" w:space="0" w:color="auto"/>
            <w:left w:val="none" w:sz="0" w:space="0" w:color="auto"/>
            <w:bottom w:val="none" w:sz="0" w:space="0" w:color="auto"/>
            <w:right w:val="none" w:sz="0" w:space="0" w:color="auto"/>
          </w:divBdr>
        </w:div>
        <w:div w:id="957302134">
          <w:marLeft w:val="480"/>
          <w:marRight w:val="0"/>
          <w:marTop w:val="0"/>
          <w:marBottom w:val="0"/>
          <w:divBdr>
            <w:top w:val="none" w:sz="0" w:space="0" w:color="auto"/>
            <w:left w:val="none" w:sz="0" w:space="0" w:color="auto"/>
            <w:bottom w:val="none" w:sz="0" w:space="0" w:color="auto"/>
            <w:right w:val="none" w:sz="0" w:space="0" w:color="auto"/>
          </w:divBdr>
        </w:div>
        <w:div w:id="1432508970">
          <w:marLeft w:val="480"/>
          <w:marRight w:val="0"/>
          <w:marTop w:val="0"/>
          <w:marBottom w:val="0"/>
          <w:divBdr>
            <w:top w:val="none" w:sz="0" w:space="0" w:color="auto"/>
            <w:left w:val="none" w:sz="0" w:space="0" w:color="auto"/>
            <w:bottom w:val="none" w:sz="0" w:space="0" w:color="auto"/>
            <w:right w:val="none" w:sz="0" w:space="0" w:color="auto"/>
          </w:divBdr>
        </w:div>
        <w:div w:id="491875418">
          <w:marLeft w:val="480"/>
          <w:marRight w:val="0"/>
          <w:marTop w:val="0"/>
          <w:marBottom w:val="0"/>
          <w:divBdr>
            <w:top w:val="none" w:sz="0" w:space="0" w:color="auto"/>
            <w:left w:val="none" w:sz="0" w:space="0" w:color="auto"/>
            <w:bottom w:val="none" w:sz="0" w:space="0" w:color="auto"/>
            <w:right w:val="none" w:sz="0" w:space="0" w:color="auto"/>
          </w:divBdr>
        </w:div>
        <w:div w:id="1310285561">
          <w:marLeft w:val="480"/>
          <w:marRight w:val="0"/>
          <w:marTop w:val="0"/>
          <w:marBottom w:val="0"/>
          <w:divBdr>
            <w:top w:val="none" w:sz="0" w:space="0" w:color="auto"/>
            <w:left w:val="none" w:sz="0" w:space="0" w:color="auto"/>
            <w:bottom w:val="none" w:sz="0" w:space="0" w:color="auto"/>
            <w:right w:val="none" w:sz="0" w:space="0" w:color="auto"/>
          </w:divBdr>
        </w:div>
      </w:divsChild>
    </w:div>
    <w:div w:id="727727250">
      <w:bodyDiv w:val="1"/>
      <w:marLeft w:val="0"/>
      <w:marRight w:val="0"/>
      <w:marTop w:val="0"/>
      <w:marBottom w:val="0"/>
      <w:divBdr>
        <w:top w:val="none" w:sz="0" w:space="0" w:color="auto"/>
        <w:left w:val="none" w:sz="0" w:space="0" w:color="auto"/>
        <w:bottom w:val="none" w:sz="0" w:space="0" w:color="auto"/>
        <w:right w:val="none" w:sz="0" w:space="0" w:color="auto"/>
      </w:divBdr>
      <w:divsChild>
        <w:div w:id="1369338382">
          <w:marLeft w:val="0"/>
          <w:marRight w:val="0"/>
          <w:marTop w:val="0"/>
          <w:marBottom w:val="0"/>
          <w:divBdr>
            <w:top w:val="none" w:sz="0" w:space="0" w:color="auto"/>
            <w:left w:val="none" w:sz="0" w:space="0" w:color="auto"/>
            <w:bottom w:val="none" w:sz="0" w:space="0" w:color="auto"/>
            <w:right w:val="none" w:sz="0" w:space="0" w:color="auto"/>
          </w:divBdr>
        </w:div>
      </w:divsChild>
    </w:div>
    <w:div w:id="776102658">
      <w:bodyDiv w:val="1"/>
      <w:marLeft w:val="0"/>
      <w:marRight w:val="0"/>
      <w:marTop w:val="0"/>
      <w:marBottom w:val="0"/>
      <w:divBdr>
        <w:top w:val="none" w:sz="0" w:space="0" w:color="auto"/>
        <w:left w:val="none" w:sz="0" w:space="0" w:color="auto"/>
        <w:bottom w:val="none" w:sz="0" w:space="0" w:color="auto"/>
        <w:right w:val="none" w:sz="0" w:space="0" w:color="auto"/>
      </w:divBdr>
      <w:divsChild>
        <w:div w:id="24336091">
          <w:marLeft w:val="0"/>
          <w:marRight w:val="0"/>
          <w:marTop w:val="0"/>
          <w:marBottom w:val="0"/>
          <w:divBdr>
            <w:top w:val="none" w:sz="0" w:space="0" w:color="auto"/>
            <w:left w:val="none" w:sz="0" w:space="0" w:color="auto"/>
            <w:bottom w:val="none" w:sz="0" w:space="0" w:color="auto"/>
            <w:right w:val="none" w:sz="0" w:space="0" w:color="auto"/>
          </w:divBdr>
          <w:divsChild>
            <w:div w:id="629632601">
              <w:marLeft w:val="0"/>
              <w:marRight w:val="0"/>
              <w:marTop w:val="0"/>
              <w:marBottom w:val="0"/>
              <w:divBdr>
                <w:top w:val="none" w:sz="0" w:space="0" w:color="auto"/>
                <w:left w:val="none" w:sz="0" w:space="0" w:color="auto"/>
                <w:bottom w:val="none" w:sz="0" w:space="0" w:color="auto"/>
                <w:right w:val="none" w:sz="0" w:space="0" w:color="auto"/>
              </w:divBdr>
              <w:divsChild>
                <w:div w:id="130792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745105">
      <w:bodyDiv w:val="1"/>
      <w:marLeft w:val="0"/>
      <w:marRight w:val="0"/>
      <w:marTop w:val="0"/>
      <w:marBottom w:val="0"/>
      <w:divBdr>
        <w:top w:val="none" w:sz="0" w:space="0" w:color="auto"/>
        <w:left w:val="none" w:sz="0" w:space="0" w:color="auto"/>
        <w:bottom w:val="none" w:sz="0" w:space="0" w:color="auto"/>
        <w:right w:val="none" w:sz="0" w:space="0" w:color="auto"/>
      </w:divBdr>
    </w:div>
    <w:div w:id="799962390">
      <w:bodyDiv w:val="1"/>
      <w:marLeft w:val="0"/>
      <w:marRight w:val="0"/>
      <w:marTop w:val="0"/>
      <w:marBottom w:val="0"/>
      <w:divBdr>
        <w:top w:val="none" w:sz="0" w:space="0" w:color="auto"/>
        <w:left w:val="none" w:sz="0" w:space="0" w:color="auto"/>
        <w:bottom w:val="none" w:sz="0" w:space="0" w:color="auto"/>
        <w:right w:val="none" w:sz="0" w:space="0" w:color="auto"/>
      </w:divBdr>
      <w:divsChild>
        <w:div w:id="1613442551">
          <w:marLeft w:val="480"/>
          <w:marRight w:val="0"/>
          <w:marTop w:val="0"/>
          <w:marBottom w:val="0"/>
          <w:divBdr>
            <w:top w:val="none" w:sz="0" w:space="0" w:color="auto"/>
            <w:left w:val="none" w:sz="0" w:space="0" w:color="auto"/>
            <w:bottom w:val="none" w:sz="0" w:space="0" w:color="auto"/>
            <w:right w:val="none" w:sz="0" w:space="0" w:color="auto"/>
          </w:divBdr>
        </w:div>
        <w:div w:id="1654599990">
          <w:marLeft w:val="480"/>
          <w:marRight w:val="0"/>
          <w:marTop w:val="0"/>
          <w:marBottom w:val="0"/>
          <w:divBdr>
            <w:top w:val="none" w:sz="0" w:space="0" w:color="auto"/>
            <w:left w:val="none" w:sz="0" w:space="0" w:color="auto"/>
            <w:bottom w:val="none" w:sz="0" w:space="0" w:color="auto"/>
            <w:right w:val="none" w:sz="0" w:space="0" w:color="auto"/>
          </w:divBdr>
        </w:div>
        <w:div w:id="1908222593">
          <w:marLeft w:val="480"/>
          <w:marRight w:val="0"/>
          <w:marTop w:val="0"/>
          <w:marBottom w:val="0"/>
          <w:divBdr>
            <w:top w:val="none" w:sz="0" w:space="0" w:color="auto"/>
            <w:left w:val="none" w:sz="0" w:space="0" w:color="auto"/>
            <w:bottom w:val="none" w:sz="0" w:space="0" w:color="auto"/>
            <w:right w:val="none" w:sz="0" w:space="0" w:color="auto"/>
          </w:divBdr>
        </w:div>
        <w:div w:id="989864717">
          <w:marLeft w:val="480"/>
          <w:marRight w:val="0"/>
          <w:marTop w:val="0"/>
          <w:marBottom w:val="0"/>
          <w:divBdr>
            <w:top w:val="none" w:sz="0" w:space="0" w:color="auto"/>
            <w:left w:val="none" w:sz="0" w:space="0" w:color="auto"/>
            <w:bottom w:val="none" w:sz="0" w:space="0" w:color="auto"/>
            <w:right w:val="none" w:sz="0" w:space="0" w:color="auto"/>
          </w:divBdr>
        </w:div>
        <w:div w:id="718164084">
          <w:marLeft w:val="480"/>
          <w:marRight w:val="0"/>
          <w:marTop w:val="0"/>
          <w:marBottom w:val="0"/>
          <w:divBdr>
            <w:top w:val="none" w:sz="0" w:space="0" w:color="auto"/>
            <w:left w:val="none" w:sz="0" w:space="0" w:color="auto"/>
            <w:bottom w:val="none" w:sz="0" w:space="0" w:color="auto"/>
            <w:right w:val="none" w:sz="0" w:space="0" w:color="auto"/>
          </w:divBdr>
        </w:div>
        <w:div w:id="449396651">
          <w:marLeft w:val="480"/>
          <w:marRight w:val="0"/>
          <w:marTop w:val="0"/>
          <w:marBottom w:val="0"/>
          <w:divBdr>
            <w:top w:val="none" w:sz="0" w:space="0" w:color="auto"/>
            <w:left w:val="none" w:sz="0" w:space="0" w:color="auto"/>
            <w:bottom w:val="none" w:sz="0" w:space="0" w:color="auto"/>
            <w:right w:val="none" w:sz="0" w:space="0" w:color="auto"/>
          </w:divBdr>
        </w:div>
        <w:div w:id="678310035">
          <w:marLeft w:val="480"/>
          <w:marRight w:val="0"/>
          <w:marTop w:val="0"/>
          <w:marBottom w:val="0"/>
          <w:divBdr>
            <w:top w:val="none" w:sz="0" w:space="0" w:color="auto"/>
            <w:left w:val="none" w:sz="0" w:space="0" w:color="auto"/>
            <w:bottom w:val="none" w:sz="0" w:space="0" w:color="auto"/>
            <w:right w:val="none" w:sz="0" w:space="0" w:color="auto"/>
          </w:divBdr>
        </w:div>
        <w:div w:id="379747253">
          <w:marLeft w:val="480"/>
          <w:marRight w:val="0"/>
          <w:marTop w:val="0"/>
          <w:marBottom w:val="0"/>
          <w:divBdr>
            <w:top w:val="none" w:sz="0" w:space="0" w:color="auto"/>
            <w:left w:val="none" w:sz="0" w:space="0" w:color="auto"/>
            <w:bottom w:val="none" w:sz="0" w:space="0" w:color="auto"/>
            <w:right w:val="none" w:sz="0" w:space="0" w:color="auto"/>
          </w:divBdr>
        </w:div>
        <w:div w:id="1805268278">
          <w:marLeft w:val="480"/>
          <w:marRight w:val="0"/>
          <w:marTop w:val="0"/>
          <w:marBottom w:val="0"/>
          <w:divBdr>
            <w:top w:val="none" w:sz="0" w:space="0" w:color="auto"/>
            <w:left w:val="none" w:sz="0" w:space="0" w:color="auto"/>
            <w:bottom w:val="none" w:sz="0" w:space="0" w:color="auto"/>
            <w:right w:val="none" w:sz="0" w:space="0" w:color="auto"/>
          </w:divBdr>
        </w:div>
        <w:div w:id="2031225260">
          <w:marLeft w:val="480"/>
          <w:marRight w:val="0"/>
          <w:marTop w:val="0"/>
          <w:marBottom w:val="0"/>
          <w:divBdr>
            <w:top w:val="none" w:sz="0" w:space="0" w:color="auto"/>
            <w:left w:val="none" w:sz="0" w:space="0" w:color="auto"/>
            <w:bottom w:val="none" w:sz="0" w:space="0" w:color="auto"/>
            <w:right w:val="none" w:sz="0" w:space="0" w:color="auto"/>
          </w:divBdr>
        </w:div>
        <w:div w:id="397703121">
          <w:marLeft w:val="480"/>
          <w:marRight w:val="0"/>
          <w:marTop w:val="0"/>
          <w:marBottom w:val="0"/>
          <w:divBdr>
            <w:top w:val="none" w:sz="0" w:space="0" w:color="auto"/>
            <w:left w:val="none" w:sz="0" w:space="0" w:color="auto"/>
            <w:bottom w:val="none" w:sz="0" w:space="0" w:color="auto"/>
            <w:right w:val="none" w:sz="0" w:space="0" w:color="auto"/>
          </w:divBdr>
        </w:div>
        <w:div w:id="1211383307">
          <w:marLeft w:val="480"/>
          <w:marRight w:val="0"/>
          <w:marTop w:val="0"/>
          <w:marBottom w:val="0"/>
          <w:divBdr>
            <w:top w:val="none" w:sz="0" w:space="0" w:color="auto"/>
            <w:left w:val="none" w:sz="0" w:space="0" w:color="auto"/>
            <w:bottom w:val="none" w:sz="0" w:space="0" w:color="auto"/>
            <w:right w:val="none" w:sz="0" w:space="0" w:color="auto"/>
          </w:divBdr>
        </w:div>
        <w:div w:id="1023097420">
          <w:marLeft w:val="480"/>
          <w:marRight w:val="0"/>
          <w:marTop w:val="0"/>
          <w:marBottom w:val="0"/>
          <w:divBdr>
            <w:top w:val="none" w:sz="0" w:space="0" w:color="auto"/>
            <w:left w:val="none" w:sz="0" w:space="0" w:color="auto"/>
            <w:bottom w:val="none" w:sz="0" w:space="0" w:color="auto"/>
            <w:right w:val="none" w:sz="0" w:space="0" w:color="auto"/>
          </w:divBdr>
        </w:div>
        <w:div w:id="244387705">
          <w:marLeft w:val="480"/>
          <w:marRight w:val="0"/>
          <w:marTop w:val="0"/>
          <w:marBottom w:val="0"/>
          <w:divBdr>
            <w:top w:val="none" w:sz="0" w:space="0" w:color="auto"/>
            <w:left w:val="none" w:sz="0" w:space="0" w:color="auto"/>
            <w:bottom w:val="none" w:sz="0" w:space="0" w:color="auto"/>
            <w:right w:val="none" w:sz="0" w:space="0" w:color="auto"/>
          </w:divBdr>
        </w:div>
        <w:div w:id="652955140">
          <w:marLeft w:val="480"/>
          <w:marRight w:val="0"/>
          <w:marTop w:val="0"/>
          <w:marBottom w:val="0"/>
          <w:divBdr>
            <w:top w:val="none" w:sz="0" w:space="0" w:color="auto"/>
            <w:left w:val="none" w:sz="0" w:space="0" w:color="auto"/>
            <w:bottom w:val="none" w:sz="0" w:space="0" w:color="auto"/>
            <w:right w:val="none" w:sz="0" w:space="0" w:color="auto"/>
          </w:divBdr>
        </w:div>
        <w:div w:id="387073177">
          <w:marLeft w:val="480"/>
          <w:marRight w:val="0"/>
          <w:marTop w:val="0"/>
          <w:marBottom w:val="0"/>
          <w:divBdr>
            <w:top w:val="none" w:sz="0" w:space="0" w:color="auto"/>
            <w:left w:val="none" w:sz="0" w:space="0" w:color="auto"/>
            <w:bottom w:val="none" w:sz="0" w:space="0" w:color="auto"/>
            <w:right w:val="none" w:sz="0" w:space="0" w:color="auto"/>
          </w:divBdr>
        </w:div>
        <w:div w:id="985620984">
          <w:marLeft w:val="480"/>
          <w:marRight w:val="0"/>
          <w:marTop w:val="0"/>
          <w:marBottom w:val="0"/>
          <w:divBdr>
            <w:top w:val="none" w:sz="0" w:space="0" w:color="auto"/>
            <w:left w:val="none" w:sz="0" w:space="0" w:color="auto"/>
            <w:bottom w:val="none" w:sz="0" w:space="0" w:color="auto"/>
            <w:right w:val="none" w:sz="0" w:space="0" w:color="auto"/>
          </w:divBdr>
        </w:div>
        <w:div w:id="148522552">
          <w:marLeft w:val="480"/>
          <w:marRight w:val="0"/>
          <w:marTop w:val="0"/>
          <w:marBottom w:val="0"/>
          <w:divBdr>
            <w:top w:val="none" w:sz="0" w:space="0" w:color="auto"/>
            <w:left w:val="none" w:sz="0" w:space="0" w:color="auto"/>
            <w:bottom w:val="none" w:sz="0" w:space="0" w:color="auto"/>
            <w:right w:val="none" w:sz="0" w:space="0" w:color="auto"/>
          </w:divBdr>
        </w:div>
        <w:div w:id="1594169941">
          <w:marLeft w:val="480"/>
          <w:marRight w:val="0"/>
          <w:marTop w:val="0"/>
          <w:marBottom w:val="0"/>
          <w:divBdr>
            <w:top w:val="none" w:sz="0" w:space="0" w:color="auto"/>
            <w:left w:val="none" w:sz="0" w:space="0" w:color="auto"/>
            <w:bottom w:val="none" w:sz="0" w:space="0" w:color="auto"/>
            <w:right w:val="none" w:sz="0" w:space="0" w:color="auto"/>
          </w:divBdr>
        </w:div>
        <w:div w:id="1195391188">
          <w:marLeft w:val="480"/>
          <w:marRight w:val="0"/>
          <w:marTop w:val="0"/>
          <w:marBottom w:val="0"/>
          <w:divBdr>
            <w:top w:val="none" w:sz="0" w:space="0" w:color="auto"/>
            <w:left w:val="none" w:sz="0" w:space="0" w:color="auto"/>
            <w:bottom w:val="none" w:sz="0" w:space="0" w:color="auto"/>
            <w:right w:val="none" w:sz="0" w:space="0" w:color="auto"/>
          </w:divBdr>
        </w:div>
        <w:div w:id="1000086294">
          <w:marLeft w:val="480"/>
          <w:marRight w:val="0"/>
          <w:marTop w:val="0"/>
          <w:marBottom w:val="0"/>
          <w:divBdr>
            <w:top w:val="none" w:sz="0" w:space="0" w:color="auto"/>
            <w:left w:val="none" w:sz="0" w:space="0" w:color="auto"/>
            <w:bottom w:val="none" w:sz="0" w:space="0" w:color="auto"/>
            <w:right w:val="none" w:sz="0" w:space="0" w:color="auto"/>
          </w:divBdr>
        </w:div>
      </w:divsChild>
    </w:div>
    <w:div w:id="808744345">
      <w:bodyDiv w:val="1"/>
      <w:marLeft w:val="0"/>
      <w:marRight w:val="0"/>
      <w:marTop w:val="0"/>
      <w:marBottom w:val="0"/>
      <w:divBdr>
        <w:top w:val="none" w:sz="0" w:space="0" w:color="auto"/>
        <w:left w:val="none" w:sz="0" w:space="0" w:color="auto"/>
        <w:bottom w:val="none" w:sz="0" w:space="0" w:color="auto"/>
        <w:right w:val="none" w:sz="0" w:space="0" w:color="auto"/>
      </w:divBdr>
    </w:div>
    <w:div w:id="837427462">
      <w:bodyDiv w:val="1"/>
      <w:marLeft w:val="0"/>
      <w:marRight w:val="0"/>
      <w:marTop w:val="0"/>
      <w:marBottom w:val="0"/>
      <w:divBdr>
        <w:top w:val="none" w:sz="0" w:space="0" w:color="auto"/>
        <w:left w:val="none" w:sz="0" w:space="0" w:color="auto"/>
        <w:bottom w:val="none" w:sz="0" w:space="0" w:color="auto"/>
        <w:right w:val="none" w:sz="0" w:space="0" w:color="auto"/>
      </w:divBdr>
    </w:div>
    <w:div w:id="932931869">
      <w:bodyDiv w:val="1"/>
      <w:marLeft w:val="0"/>
      <w:marRight w:val="0"/>
      <w:marTop w:val="0"/>
      <w:marBottom w:val="0"/>
      <w:divBdr>
        <w:top w:val="none" w:sz="0" w:space="0" w:color="auto"/>
        <w:left w:val="none" w:sz="0" w:space="0" w:color="auto"/>
        <w:bottom w:val="none" w:sz="0" w:space="0" w:color="auto"/>
        <w:right w:val="none" w:sz="0" w:space="0" w:color="auto"/>
      </w:divBdr>
    </w:div>
    <w:div w:id="976034478">
      <w:bodyDiv w:val="1"/>
      <w:marLeft w:val="0"/>
      <w:marRight w:val="0"/>
      <w:marTop w:val="0"/>
      <w:marBottom w:val="0"/>
      <w:divBdr>
        <w:top w:val="none" w:sz="0" w:space="0" w:color="auto"/>
        <w:left w:val="none" w:sz="0" w:space="0" w:color="auto"/>
        <w:bottom w:val="none" w:sz="0" w:space="0" w:color="auto"/>
        <w:right w:val="none" w:sz="0" w:space="0" w:color="auto"/>
      </w:divBdr>
      <w:divsChild>
        <w:div w:id="1684360463">
          <w:marLeft w:val="480"/>
          <w:marRight w:val="0"/>
          <w:marTop w:val="0"/>
          <w:marBottom w:val="0"/>
          <w:divBdr>
            <w:top w:val="none" w:sz="0" w:space="0" w:color="auto"/>
            <w:left w:val="none" w:sz="0" w:space="0" w:color="auto"/>
            <w:bottom w:val="none" w:sz="0" w:space="0" w:color="auto"/>
            <w:right w:val="none" w:sz="0" w:space="0" w:color="auto"/>
          </w:divBdr>
        </w:div>
        <w:div w:id="1606230905">
          <w:marLeft w:val="480"/>
          <w:marRight w:val="0"/>
          <w:marTop w:val="0"/>
          <w:marBottom w:val="0"/>
          <w:divBdr>
            <w:top w:val="none" w:sz="0" w:space="0" w:color="auto"/>
            <w:left w:val="none" w:sz="0" w:space="0" w:color="auto"/>
            <w:bottom w:val="none" w:sz="0" w:space="0" w:color="auto"/>
            <w:right w:val="none" w:sz="0" w:space="0" w:color="auto"/>
          </w:divBdr>
        </w:div>
        <w:div w:id="1888762453">
          <w:marLeft w:val="480"/>
          <w:marRight w:val="0"/>
          <w:marTop w:val="0"/>
          <w:marBottom w:val="0"/>
          <w:divBdr>
            <w:top w:val="none" w:sz="0" w:space="0" w:color="auto"/>
            <w:left w:val="none" w:sz="0" w:space="0" w:color="auto"/>
            <w:bottom w:val="none" w:sz="0" w:space="0" w:color="auto"/>
            <w:right w:val="none" w:sz="0" w:space="0" w:color="auto"/>
          </w:divBdr>
        </w:div>
        <w:div w:id="1754084720">
          <w:marLeft w:val="480"/>
          <w:marRight w:val="0"/>
          <w:marTop w:val="0"/>
          <w:marBottom w:val="0"/>
          <w:divBdr>
            <w:top w:val="none" w:sz="0" w:space="0" w:color="auto"/>
            <w:left w:val="none" w:sz="0" w:space="0" w:color="auto"/>
            <w:bottom w:val="none" w:sz="0" w:space="0" w:color="auto"/>
            <w:right w:val="none" w:sz="0" w:space="0" w:color="auto"/>
          </w:divBdr>
        </w:div>
        <w:div w:id="730425929">
          <w:marLeft w:val="480"/>
          <w:marRight w:val="0"/>
          <w:marTop w:val="0"/>
          <w:marBottom w:val="0"/>
          <w:divBdr>
            <w:top w:val="none" w:sz="0" w:space="0" w:color="auto"/>
            <w:left w:val="none" w:sz="0" w:space="0" w:color="auto"/>
            <w:bottom w:val="none" w:sz="0" w:space="0" w:color="auto"/>
            <w:right w:val="none" w:sz="0" w:space="0" w:color="auto"/>
          </w:divBdr>
        </w:div>
        <w:div w:id="749229928">
          <w:marLeft w:val="480"/>
          <w:marRight w:val="0"/>
          <w:marTop w:val="0"/>
          <w:marBottom w:val="0"/>
          <w:divBdr>
            <w:top w:val="none" w:sz="0" w:space="0" w:color="auto"/>
            <w:left w:val="none" w:sz="0" w:space="0" w:color="auto"/>
            <w:bottom w:val="none" w:sz="0" w:space="0" w:color="auto"/>
            <w:right w:val="none" w:sz="0" w:space="0" w:color="auto"/>
          </w:divBdr>
        </w:div>
        <w:div w:id="1447698584">
          <w:marLeft w:val="480"/>
          <w:marRight w:val="0"/>
          <w:marTop w:val="0"/>
          <w:marBottom w:val="0"/>
          <w:divBdr>
            <w:top w:val="none" w:sz="0" w:space="0" w:color="auto"/>
            <w:left w:val="none" w:sz="0" w:space="0" w:color="auto"/>
            <w:bottom w:val="none" w:sz="0" w:space="0" w:color="auto"/>
            <w:right w:val="none" w:sz="0" w:space="0" w:color="auto"/>
          </w:divBdr>
        </w:div>
        <w:div w:id="1982230595">
          <w:marLeft w:val="480"/>
          <w:marRight w:val="0"/>
          <w:marTop w:val="0"/>
          <w:marBottom w:val="0"/>
          <w:divBdr>
            <w:top w:val="none" w:sz="0" w:space="0" w:color="auto"/>
            <w:left w:val="none" w:sz="0" w:space="0" w:color="auto"/>
            <w:bottom w:val="none" w:sz="0" w:space="0" w:color="auto"/>
            <w:right w:val="none" w:sz="0" w:space="0" w:color="auto"/>
          </w:divBdr>
        </w:div>
        <w:div w:id="1917586739">
          <w:marLeft w:val="480"/>
          <w:marRight w:val="0"/>
          <w:marTop w:val="0"/>
          <w:marBottom w:val="0"/>
          <w:divBdr>
            <w:top w:val="none" w:sz="0" w:space="0" w:color="auto"/>
            <w:left w:val="none" w:sz="0" w:space="0" w:color="auto"/>
            <w:bottom w:val="none" w:sz="0" w:space="0" w:color="auto"/>
            <w:right w:val="none" w:sz="0" w:space="0" w:color="auto"/>
          </w:divBdr>
          <w:divsChild>
            <w:div w:id="105539662">
              <w:marLeft w:val="0"/>
              <w:marRight w:val="0"/>
              <w:marTop w:val="0"/>
              <w:marBottom w:val="0"/>
              <w:divBdr>
                <w:top w:val="none" w:sz="0" w:space="0" w:color="auto"/>
                <w:left w:val="none" w:sz="0" w:space="0" w:color="auto"/>
                <w:bottom w:val="none" w:sz="0" w:space="0" w:color="auto"/>
                <w:right w:val="none" w:sz="0" w:space="0" w:color="auto"/>
              </w:divBdr>
              <w:divsChild>
                <w:div w:id="1336346958">
                  <w:marLeft w:val="0"/>
                  <w:marRight w:val="0"/>
                  <w:marTop w:val="0"/>
                  <w:marBottom w:val="0"/>
                  <w:divBdr>
                    <w:top w:val="none" w:sz="0" w:space="0" w:color="auto"/>
                    <w:left w:val="none" w:sz="0" w:space="0" w:color="auto"/>
                    <w:bottom w:val="none" w:sz="0" w:space="0" w:color="auto"/>
                    <w:right w:val="none" w:sz="0" w:space="0" w:color="auto"/>
                  </w:divBdr>
                  <w:divsChild>
                    <w:div w:id="619728416">
                      <w:marLeft w:val="0"/>
                      <w:marRight w:val="0"/>
                      <w:marTop w:val="0"/>
                      <w:marBottom w:val="0"/>
                      <w:divBdr>
                        <w:top w:val="none" w:sz="0" w:space="0" w:color="auto"/>
                        <w:left w:val="none" w:sz="0" w:space="0" w:color="auto"/>
                        <w:bottom w:val="none" w:sz="0" w:space="0" w:color="auto"/>
                        <w:right w:val="none" w:sz="0" w:space="0" w:color="auto"/>
                      </w:divBdr>
                      <w:divsChild>
                        <w:div w:id="1692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883875">
          <w:marLeft w:val="480"/>
          <w:marRight w:val="0"/>
          <w:marTop w:val="0"/>
          <w:marBottom w:val="0"/>
          <w:divBdr>
            <w:top w:val="none" w:sz="0" w:space="0" w:color="auto"/>
            <w:left w:val="none" w:sz="0" w:space="0" w:color="auto"/>
            <w:bottom w:val="none" w:sz="0" w:space="0" w:color="auto"/>
            <w:right w:val="none" w:sz="0" w:space="0" w:color="auto"/>
          </w:divBdr>
        </w:div>
        <w:div w:id="315568971">
          <w:marLeft w:val="480"/>
          <w:marRight w:val="0"/>
          <w:marTop w:val="0"/>
          <w:marBottom w:val="0"/>
          <w:divBdr>
            <w:top w:val="none" w:sz="0" w:space="0" w:color="auto"/>
            <w:left w:val="none" w:sz="0" w:space="0" w:color="auto"/>
            <w:bottom w:val="none" w:sz="0" w:space="0" w:color="auto"/>
            <w:right w:val="none" w:sz="0" w:space="0" w:color="auto"/>
          </w:divBdr>
        </w:div>
        <w:div w:id="1725519832">
          <w:marLeft w:val="480"/>
          <w:marRight w:val="0"/>
          <w:marTop w:val="0"/>
          <w:marBottom w:val="0"/>
          <w:divBdr>
            <w:top w:val="none" w:sz="0" w:space="0" w:color="auto"/>
            <w:left w:val="none" w:sz="0" w:space="0" w:color="auto"/>
            <w:bottom w:val="none" w:sz="0" w:space="0" w:color="auto"/>
            <w:right w:val="none" w:sz="0" w:space="0" w:color="auto"/>
          </w:divBdr>
        </w:div>
        <w:div w:id="666707555">
          <w:marLeft w:val="480"/>
          <w:marRight w:val="0"/>
          <w:marTop w:val="0"/>
          <w:marBottom w:val="0"/>
          <w:divBdr>
            <w:top w:val="none" w:sz="0" w:space="0" w:color="auto"/>
            <w:left w:val="none" w:sz="0" w:space="0" w:color="auto"/>
            <w:bottom w:val="none" w:sz="0" w:space="0" w:color="auto"/>
            <w:right w:val="none" w:sz="0" w:space="0" w:color="auto"/>
          </w:divBdr>
        </w:div>
        <w:div w:id="1041515669">
          <w:marLeft w:val="480"/>
          <w:marRight w:val="0"/>
          <w:marTop w:val="0"/>
          <w:marBottom w:val="0"/>
          <w:divBdr>
            <w:top w:val="none" w:sz="0" w:space="0" w:color="auto"/>
            <w:left w:val="none" w:sz="0" w:space="0" w:color="auto"/>
            <w:bottom w:val="none" w:sz="0" w:space="0" w:color="auto"/>
            <w:right w:val="none" w:sz="0" w:space="0" w:color="auto"/>
          </w:divBdr>
        </w:div>
        <w:div w:id="490560254">
          <w:marLeft w:val="480"/>
          <w:marRight w:val="0"/>
          <w:marTop w:val="0"/>
          <w:marBottom w:val="0"/>
          <w:divBdr>
            <w:top w:val="none" w:sz="0" w:space="0" w:color="auto"/>
            <w:left w:val="none" w:sz="0" w:space="0" w:color="auto"/>
            <w:bottom w:val="none" w:sz="0" w:space="0" w:color="auto"/>
            <w:right w:val="none" w:sz="0" w:space="0" w:color="auto"/>
          </w:divBdr>
        </w:div>
        <w:div w:id="1811357466">
          <w:marLeft w:val="480"/>
          <w:marRight w:val="0"/>
          <w:marTop w:val="0"/>
          <w:marBottom w:val="0"/>
          <w:divBdr>
            <w:top w:val="none" w:sz="0" w:space="0" w:color="auto"/>
            <w:left w:val="none" w:sz="0" w:space="0" w:color="auto"/>
            <w:bottom w:val="none" w:sz="0" w:space="0" w:color="auto"/>
            <w:right w:val="none" w:sz="0" w:space="0" w:color="auto"/>
          </w:divBdr>
        </w:div>
        <w:div w:id="1266420837">
          <w:marLeft w:val="480"/>
          <w:marRight w:val="0"/>
          <w:marTop w:val="0"/>
          <w:marBottom w:val="0"/>
          <w:divBdr>
            <w:top w:val="none" w:sz="0" w:space="0" w:color="auto"/>
            <w:left w:val="none" w:sz="0" w:space="0" w:color="auto"/>
            <w:bottom w:val="none" w:sz="0" w:space="0" w:color="auto"/>
            <w:right w:val="none" w:sz="0" w:space="0" w:color="auto"/>
          </w:divBdr>
        </w:div>
        <w:div w:id="35736145">
          <w:marLeft w:val="480"/>
          <w:marRight w:val="0"/>
          <w:marTop w:val="0"/>
          <w:marBottom w:val="0"/>
          <w:divBdr>
            <w:top w:val="none" w:sz="0" w:space="0" w:color="auto"/>
            <w:left w:val="none" w:sz="0" w:space="0" w:color="auto"/>
            <w:bottom w:val="none" w:sz="0" w:space="0" w:color="auto"/>
            <w:right w:val="none" w:sz="0" w:space="0" w:color="auto"/>
          </w:divBdr>
          <w:divsChild>
            <w:div w:id="1702389908">
              <w:marLeft w:val="0"/>
              <w:marRight w:val="0"/>
              <w:marTop w:val="0"/>
              <w:marBottom w:val="0"/>
              <w:divBdr>
                <w:top w:val="none" w:sz="0" w:space="0" w:color="auto"/>
                <w:left w:val="none" w:sz="0" w:space="0" w:color="auto"/>
                <w:bottom w:val="none" w:sz="0" w:space="0" w:color="auto"/>
                <w:right w:val="none" w:sz="0" w:space="0" w:color="auto"/>
              </w:divBdr>
            </w:div>
            <w:div w:id="1879004912">
              <w:marLeft w:val="0"/>
              <w:marRight w:val="0"/>
              <w:marTop w:val="0"/>
              <w:marBottom w:val="0"/>
              <w:divBdr>
                <w:top w:val="none" w:sz="0" w:space="0" w:color="auto"/>
                <w:left w:val="none" w:sz="0" w:space="0" w:color="auto"/>
                <w:bottom w:val="none" w:sz="0" w:space="0" w:color="auto"/>
                <w:right w:val="none" w:sz="0" w:space="0" w:color="auto"/>
              </w:divBdr>
              <w:divsChild>
                <w:div w:id="1620181999">
                  <w:marLeft w:val="0"/>
                  <w:marRight w:val="0"/>
                  <w:marTop w:val="0"/>
                  <w:marBottom w:val="0"/>
                  <w:divBdr>
                    <w:top w:val="none" w:sz="0" w:space="0" w:color="auto"/>
                    <w:left w:val="none" w:sz="0" w:space="0" w:color="auto"/>
                    <w:bottom w:val="none" w:sz="0" w:space="0" w:color="auto"/>
                    <w:right w:val="none" w:sz="0" w:space="0" w:color="auto"/>
                  </w:divBdr>
                  <w:divsChild>
                    <w:div w:id="701320743">
                      <w:marLeft w:val="0"/>
                      <w:marRight w:val="0"/>
                      <w:marTop w:val="0"/>
                      <w:marBottom w:val="0"/>
                      <w:divBdr>
                        <w:top w:val="none" w:sz="0" w:space="0" w:color="auto"/>
                        <w:left w:val="none" w:sz="0" w:space="0" w:color="auto"/>
                        <w:bottom w:val="none" w:sz="0" w:space="0" w:color="auto"/>
                        <w:right w:val="none" w:sz="0" w:space="0" w:color="auto"/>
                      </w:divBdr>
                      <w:divsChild>
                        <w:div w:id="2452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055440">
          <w:marLeft w:val="480"/>
          <w:marRight w:val="0"/>
          <w:marTop w:val="0"/>
          <w:marBottom w:val="0"/>
          <w:divBdr>
            <w:top w:val="none" w:sz="0" w:space="0" w:color="auto"/>
            <w:left w:val="none" w:sz="0" w:space="0" w:color="auto"/>
            <w:bottom w:val="none" w:sz="0" w:space="0" w:color="auto"/>
            <w:right w:val="none" w:sz="0" w:space="0" w:color="auto"/>
          </w:divBdr>
        </w:div>
        <w:div w:id="1617983912">
          <w:marLeft w:val="480"/>
          <w:marRight w:val="0"/>
          <w:marTop w:val="0"/>
          <w:marBottom w:val="0"/>
          <w:divBdr>
            <w:top w:val="none" w:sz="0" w:space="0" w:color="auto"/>
            <w:left w:val="none" w:sz="0" w:space="0" w:color="auto"/>
            <w:bottom w:val="none" w:sz="0" w:space="0" w:color="auto"/>
            <w:right w:val="none" w:sz="0" w:space="0" w:color="auto"/>
          </w:divBdr>
        </w:div>
        <w:div w:id="1192383009">
          <w:marLeft w:val="480"/>
          <w:marRight w:val="0"/>
          <w:marTop w:val="0"/>
          <w:marBottom w:val="0"/>
          <w:divBdr>
            <w:top w:val="none" w:sz="0" w:space="0" w:color="auto"/>
            <w:left w:val="none" w:sz="0" w:space="0" w:color="auto"/>
            <w:bottom w:val="none" w:sz="0" w:space="0" w:color="auto"/>
            <w:right w:val="none" w:sz="0" w:space="0" w:color="auto"/>
          </w:divBdr>
        </w:div>
        <w:div w:id="1800688944">
          <w:marLeft w:val="480"/>
          <w:marRight w:val="0"/>
          <w:marTop w:val="0"/>
          <w:marBottom w:val="0"/>
          <w:divBdr>
            <w:top w:val="none" w:sz="0" w:space="0" w:color="auto"/>
            <w:left w:val="none" w:sz="0" w:space="0" w:color="auto"/>
            <w:bottom w:val="none" w:sz="0" w:space="0" w:color="auto"/>
            <w:right w:val="none" w:sz="0" w:space="0" w:color="auto"/>
          </w:divBdr>
        </w:div>
      </w:divsChild>
    </w:div>
    <w:div w:id="977805645">
      <w:bodyDiv w:val="1"/>
      <w:marLeft w:val="0"/>
      <w:marRight w:val="0"/>
      <w:marTop w:val="0"/>
      <w:marBottom w:val="0"/>
      <w:divBdr>
        <w:top w:val="none" w:sz="0" w:space="0" w:color="auto"/>
        <w:left w:val="none" w:sz="0" w:space="0" w:color="auto"/>
        <w:bottom w:val="none" w:sz="0" w:space="0" w:color="auto"/>
        <w:right w:val="none" w:sz="0" w:space="0" w:color="auto"/>
      </w:divBdr>
    </w:div>
    <w:div w:id="995305046">
      <w:bodyDiv w:val="1"/>
      <w:marLeft w:val="0"/>
      <w:marRight w:val="0"/>
      <w:marTop w:val="0"/>
      <w:marBottom w:val="0"/>
      <w:divBdr>
        <w:top w:val="none" w:sz="0" w:space="0" w:color="auto"/>
        <w:left w:val="none" w:sz="0" w:space="0" w:color="auto"/>
        <w:bottom w:val="none" w:sz="0" w:space="0" w:color="auto"/>
        <w:right w:val="none" w:sz="0" w:space="0" w:color="auto"/>
      </w:divBdr>
      <w:divsChild>
        <w:div w:id="1677421307">
          <w:marLeft w:val="0"/>
          <w:marRight w:val="0"/>
          <w:marTop w:val="0"/>
          <w:marBottom w:val="0"/>
          <w:divBdr>
            <w:top w:val="none" w:sz="0" w:space="0" w:color="auto"/>
            <w:left w:val="none" w:sz="0" w:space="0" w:color="auto"/>
            <w:bottom w:val="none" w:sz="0" w:space="0" w:color="auto"/>
            <w:right w:val="none" w:sz="0" w:space="0" w:color="auto"/>
          </w:divBdr>
        </w:div>
        <w:div w:id="1123353979">
          <w:marLeft w:val="0"/>
          <w:marRight w:val="0"/>
          <w:marTop w:val="0"/>
          <w:marBottom w:val="0"/>
          <w:divBdr>
            <w:top w:val="none" w:sz="0" w:space="0" w:color="auto"/>
            <w:left w:val="none" w:sz="0" w:space="0" w:color="auto"/>
            <w:bottom w:val="none" w:sz="0" w:space="0" w:color="auto"/>
            <w:right w:val="none" w:sz="0" w:space="0" w:color="auto"/>
          </w:divBdr>
        </w:div>
        <w:div w:id="1124539939">
          <w:marLeft w:val="0"/>
          <w:marRight w:val="0"/>
          <w:marTop w:val="0"/>
          <w:marBottom w:val="0"/>
          <w:divBdr>
            <w:top w:val="none" w:sz="0" w:space="0" w:color="auto"/>
            <w:left w:val="none" w:sz="0" w:space="0" w:color="auto"/>
            <w:bottom w:val="none" w:sz="0" w:space="0" w:color="auto"/>
            <w:right w:val="none" w:sz="0" w:space="0" w:color="auto"/>
          </w:divBdr>
        </w:div>
      </w:divsChild>
    </w:div>
    <w:div w:id="1019503403">
      <w:bodyDiv w:val="1"/>
      <w:marLeft w:val="0"/>
      <w:marRight w:val="0"/>
      <w:marTop w:val="0"/>
      <w:marBottom w:val="0"/>
      <w:divBdr>
        <w:top w:val="none" w:sz="0" w:space="0" w:color="auto"/>
        <w:left w:val="none" w:sz="0" w:space="0" w:color="auto"/>
        <w:bottom w:val="none" w:sz="0" w:space="0" w:color="auto"/>
        <w:right w:val="none" w:sz="0" w:space="0" w:color="auto"/>
      </w:divBdr>
    </w:div>
    <w:div w:id="1031609492">
      <w:bodyDiv w:val="1"/>
      <w:marLeft w:val="0"/>
      <w:marRight w:val="0"/>
      <w:marTop w:val="0"/>
      <w:marBottom w:val="0"/>
      <w:divBdr>
        <w:top w:val="none" w:sz="0" w:space="0" w:color="auto"/>
        <w:left w:val="none" w:sz="0" w:space="0" w:color="auto"/>
        <w:bottom w:val="none" w:sz="0" w:space="0" w:color="auto"/>
        <w:right w:val="none" w:sz="0" w:space="0" w:color="auto"/>
      </w:divBdr>
    </w:div>
    <w:div w:id="1042439653">
      <w:bodyDiv w:val="1"/>
      <w:marLeft w:val="0"/>
      <w:marRight w:val="0"/>
      <w:marTop w:val="0"/>
      <w:marBottom w:val="0"/>
      <w:divBdr>
        <w:top w:val="none" w:sz="0" w:space="0" w:color="auto"/>
        <w:left w:val="none" w:sz="0" w:space="0" w:color="auto"/>
        <w:bottom w:val="none" w:sz="0" w:space="0" w:color="auto"/>
        <w:right w:val="none" w:sz="0" w:space="0" w:color="auto"/>
      </w:divBdr>
      <w:divsChild>
        <w:div w:id="1335961237">
          <w:marLeft w:val="480"/>
          <w:marRight w:val="0"/>
          <w:marTop w:val="0"/>
          <w:marBottom w:val="0"/>
          <w:divBdr>
            <w:top w:val="none" w:sz="0" w:space="0" w:color="auto"/>
            <w:left w:val="none" w:sz="0" w:space="0" w:color="auto"/>
            <w:bottom w:val="none" w:sz="0" w:space="0" w:color="auto"/>
            <w:right w:val="none" w:sz="0" w:space="0" w:color="auto"/>
          </w:divBdr>
        </w:div>
        <w:div w:id="832834319">
          <w:marLeft w:val="480"/>
          <w:marRight w:val="0"/>
          <w:marTop w:val="0"/>
          <w:marBottom w:val="0"/>
          <w:divBdr>
            <w:top w:val="none" w:sz="0" w:space="0" w:color="auto"/>
            <w:left w:val="none" w:sz="0" w:space="0" w:color="auto"/>
            <w:bottom w:val="none" w:sz="0" w:space="0" w:color="auto"/>
            <w:right w:val="none" w:sz="0" w:space="0" w:color="auto"/>
          </w:divBdr>
        </w:div>
        <w:div w:id="1346325206">
          <w:marLeft w:val="480"/>
          <w:marRight w:val="0"/>
          <w:marTop w:val="0"/>
          <w:marBottom w:val="0"/>
          <w:divBdr>
            <w:top w:val="none" w:sz="0" w:space="0" w:color="auto"/>
            <w:left w:val="none" w:sz="0" w:space="0" w:color="auto"/>
            <w:bottom w:val="none" w:sz="0" w:space="0" w:color="auto"/>
            <w:right w:val="none" w:sz="0" w:space="0" w:color="auto"/>
          </w:divBdr>
        </w:div>
        <w:div w:id="496455515">
          <w:marLeft w:val="480"/>
          <w:marRight w:val="0"/>
          <w:marTop w:val="0"/>
          <w:marBottom w:val="0"/>
          <w:divBdr>
            <w:top w:val="none" w:sz="0" w:space="0" w:color="auto"/>
            <w:left w:val="none" w:sz="0" w:space="0" w:color="auto"/>
            <w:bottom w:val="none" w:sz="0" w:space="0" w:color="auto"/>
            <w:right w:val="none" w:sz="0" w:space="0" w:color="auto"/>
          </w:divBdr>
        </w:div>
        <w:div w:id="1783378143">
          <w:marLeft w:val="480"/>
          <w:marRight w:val="0"/>
          <w:marTop w:val="0"/>
          <w:marBottom w:val="0"/>
          <w:divBdr>
            <w:top w:val="none" w:sz="0" w:space="0" w:color="auto"/>
            <w:left w:val="none" w:sz="0" w:space="0" w:color="auto"/>
            <w:bottom w:val="none" w:sz="0" w:space="0" w:color="auto"/>
            <w:right w:val="none" w:sz="0" w:space="0" w:color="auto"/>
          </w:divBdr>
        </w:div>
        <w:div w:id="2031951104">
          <w:marLeft w:val="480"/>
          <w:marRight w:val="0"/>
          <w:marTop w:val="0"/>
          <w:marBottom w:val="0"/>
          <w:divBdr>
            <w:top w:val="none" w:sz="0" w:space="0" w:color="auto"/>
            <w:left w:val="none" w:sz="0" w:space="0" w:color="auto"/>
            <w:bottom w:val="none" w:sz="0" w:space="0" w:color="auto"/>
            <w:right w:val="none" w:sz="0" w:space="0" w:color="auto"/>
          </w:divBdr>
        </w:div>
        <w:div w:id="284585097">
          <w:marLeft w:val="480"/>
          <w:marRight w:val="0"/>
          <w:marTop w:val="0"/>
          <w:marBottom w:val="0"/>
          <w:divBdr>
            <w:top w:val="none" w:sz="0" w:space="0" w:color="auto"/>
            <w:left w:val="none" w:sz="0" w:space="0" w:color="auto"/>
            <w:bottom w:val="none" w:sz="0" w:space="0" w:color="auto"/>
            <w:right w:val="none" w:sz="0" w:space="0" w:color="auto"/>
          </w:divBdr>
        </w:div>
        <w:div w:id="1543857659">
          <w:marLeft w:val="480"/>
          <w:marRight w:val="0"/>
          <w:marTop w:val="0"/>
          <w:marBottom w:val="0"/>
          <w:divBdr>
            <w:top w:val="none" w:sz="0" w:space="0" w:color="auto"/>
            <w:left w:val="none" w:sz="0" w:space="0" w:color="auto"/>
            <w:bottom w:val="none" w:sz="0" w:space="0" w:color="auto"/>
            <w:right w:val="none" w:sz="0" w:space="0" w:color="auto"/>
          </w:divBdr>
        </w:div>
        <w:div w:id="2088530813">
          <w:marLeft w:val="480"/>
          <w:marRight w:val="0"/>
          <w:marTop w:val="0"/>
          <w:marBottom w:val="0"/>
          <w:divBdr>
            <w:top w:val="none" w:sz="0" w:space="0" w:color="auto"/>
            <w:left w:val="none" w:sz="0" w:space="0" w:color="auto"/>
            <w:bottom w:val="none" w:sz="0" w:space="0" w:color="auto"/>
            <w:right w:val="none" w:sz="0" w:space="0" w:color="auto"/>
          </w:divBdr>
        </w:div>
        <w:div w:id="681468810">
          <w:marLeft w:val="480"/>
          <w:marRight w:val="0"/>
          <w:marTop w:val="0"/>
          <w:marBottom w:val="0"/>
          <w:divBdr>
            <w:top w:val="none" w:sz="0" w:space="0" w:color="auto"/>
            <w:left w:val="none" w:sz="0" w:space="0" w:color="auto"/>
            <w:bottom w:val="none" w:sz="0" w:space="0" w:color="auto"/>
            <w:right w:val="none" w:sz="0" w:space="0" w:color="auto"/>
          </w:divBdr>
        </w:div>
        <w:div w:id="955600990">
          <w:marLeft w:val="480"/>
          <w:marRight w:val="0"/>
          <w:marTop w:val="0"/>
          <w:marBottom w:val="0"/>
          <w:divBdr>
            <w:top w:val="none" w:sz="0" w:space="0" w:color="auto"/>
            <w:left w:val="none" w:sz="0" w:space="0" w:color="auto"/>
            <w:bottom w:val="none" w:sz="0" w:space="0" w:color="auto"/>
            <w:right w:val="none" w:sz="0" w:space="0" w:color="auto"/>
          </w:divBdr>
        </w:div>
        <w:div w:id="1483497288">
          <w:marLeft w:val="480"/>
          <w:marRight w:val="0"/>
          <w:marTop w:val="0"/>
          <w:marBottom w:val="0"/>
          <w:divBdr>
            <w:top w:val="none" w:sz="0" w:space="0" w:color="auto"/>
            <w:left w:val="none" w:sz="0" w:space="0" w:color="auto"/>
            <w:bottom w:val="none" w:sz="0" w:space="0" w:color="auto"/>
            <w:right w:val="none" w:sz="0" w:space="0" w:color="auto"/>
          </w:divBdr>
        </w:div>
        <w:div w:id="13390168">
          <w:marLeft w:val="480"/>
          <w:marRight w:val="0"/>
          <w:marTop w:val="0"/>
          <w:marBottom w:val="0"/>
          <w:divBdr>
            <w:top w:val="none" w:sz="0" w:space="0" w:color="auto"/>
            <w:left w:val="none" w:sz="0" w:space="0" w:color="auto"/>
            <w:bottom w:val="none" w:sz="0" w:space="0" w:color="auto"/>
            <w:right w:val="none" w:sz="0" w:space="0" w:color="auto"/>
          </w:divBdr>
        </w:div>
        <w:div w:id="920141488">
          <w:marLeft w:val="480"/>
          <w:marRight w:val="0"/>
          <w:marTop w:val="0"/>
          <w:marBottom w:val="0"/>
          <w:divBdr>
            <w:top w:val="none" w:sz="0" w:space="0" w:color="auto"/>
            <w:left w:val="none" w:sz="0" w:space="0" w:color="auto"/>
            <w:bottom w:val="none" w:sz="0" w:space="0" w:color="auto"/>
            <w:right w:val="none" w:sz="0" w:space="0" w:color="auto"/>
          </w:divBdr>
        </w:div>
        <w:div w:id="206452644">
          <w:marLeft w:val="480"/>
          <w:marRight w:val="0"/>
          <w:marTop w:val="0"/>
          <w:marBottom w:val="0"/>
          <w:divBdr>
            <w:top w:val="none" w:sz="0" w:space="0" w:color="auto"/>
            <w:left w:val="none" w:sz="0" w:space="0" w:color="auto"/>
            <w:bottom w:val="none" w:sz="0" w:space="0" w:color="auto"/>
            <w:right w:val="none" w:sz="0" w:space="0" w:color="auto"/>
          </w:divBdr>
        </w:div>
        <w:div w:id="488061514">
          <w:marLeft w:val="480"/>
          <w:marRight w:val="0"/>
          <w:marTop w:val="0"/>
          <w:marBottom w:val="0"/>
          <w:divBdr>
            <w:top w:val="none" w:sz="0" w:space="0" w:color="auto"/>
            <w:left w:val="none" w:sz="0" w:space="0" w:color="auto"/>
            <w:bottom w:val="none" w:sz="0" w:space="0" w:color="auto"/>
            <w:right w:val="none" w:sz="0" w:space="0" w:color="auto"/>
          </w:divBdr>
        </w:div>
        <w:div w:id="1264218139">
          <w:marLeft w:val="480"/>
          <w:marRight w:val="0"/>
          <w:marTop w:val="0"/>
          <w:marBottom w:val="0"/>
          <w:divBdr>
            <w:top w:val="none" w:sz="0" w:space="0" w:color="auto"/>
            <w:left w:val="none" w:sz="0" w:space="0" w:color="auto"/>
            <w:bottom w:val="none" w:sz="0" w:space="0" w:color="auto"/>
            <w:right w:val="none" w:sz="0" w:space="0" w:color="auto"/>
          </w:divBdr>
        </w:div>
        <w:div w:id="1654675285">
          <w:marLeft w:val="480"/>
          <w:marRight w:val="0"/>
          <w:marTop w:val="0"/>
          <w:marBottom w:val="0"/>
          <w:divBdr>
            <w:top w:val="none" w:sz="0" w:space="0" w:color="auto"/>
            <w:left w:val="none" w:sz="0" w:space="0" w:color="auto"/>
            <w:bottom w:val="none" w:sz="0" w:space="0" w:color="auto"/>
            <w:right w:val="none" w:sz="0" w:space="0" w:color="auto"/>
          </w:divBdr>
        </w:div>
        <w:div w:id="11495494">
          <w:marLeft w:val="480"/>
          <w:marRight w:val="0"/>
          <w:marTop w:val="0"/>
          <w:marBottom w:val="0"/>
          <w:divBdr>
            <w:top w:val="none" w:sz="0" w:space="0" w:color="auto"/>
            <w:left w:val="none" w:sz="0" w:space="0" w:color="auto"/>
            <w:bottom w:val="none" w:sz="0" w:space="0" w:color="auto"/>
            <w:right w:val="none" w:sz="0" w:space="0" w:color="auto"/>
          </w:divBdr>
        </w:div>
        <w:div w:id="1537741680">
          <w:marLeft w:val="480"/>
          <w:marRight w:val="0"/>
          <w:marTop w:val="0"/>
          <w:marBottom w:val="0"/>
          <w:divBdr>
            <w:top w:val="none" w:sz="0" w:space="0" w:color="auto"/>
            <w:left w:val="none" w:sz="0" w:space="0" w:color="auto"/>
            <w:bottom w:val="none" w:sz="0" w:space="0" w:color="auto"/>
            <w:right w:val="none" w:sz="0" w:space="0" w:color="auto"/>
          </w:divBdr>
        </w:div>
      </w:divsChild>
    </w:div>
    <w:div w:id="1109620939">
      <w:bodyDiv w:val="1"/>
      <w:marLeft w:val="0"/>
      <w:marRight w:val="0"/>
      <w:marTop w:val="0"/>
      <w:marBottom w:val="0"/>
      <w:divBdr>
        <w:top w:val="none" w:sz="0" w:space="0" w:color="auto"/>
        <w:left w:val="none" w:sz="0" w:space="0" w:color="auto"/>
        <w:bottom w:val="none" w:sz="0" w:space="0" w:color="auto"/>
        <w:right w:val="none" w:sz="0" w:space="0" w:color="auto"/>
      </w:divBdr>
      <w:divsChild>
        <w:div w:id="1987468555">
          <w:marLeft w:val="480"/>
          <w:marRight w:val="0"/>
          <w:marTop w:val="0"/>
          <w:marBottom w:val="0"/>
          <w:divBdr>
            <w:top w:val="none" w:sz="0" w:space="0" w:color="auto"/>
            <w:left w:val="none" w:sz="0" w:space="0" w:color="auto"/>
            <w:bottom w:val="none" w:sz="0" w:space="0" w:color="auto"/>
            <w:right w:val="none" w:sz="0" w:space="0" w:color="auto"/>
          </w:divBdr>
        </w:div>
        <w:div w:id="44184892">
          <w:marLeft w:val="480"/>
          <w:marRight w:val="0"/>
          <w:marTop w:val="0"/>
          <w:marBottom w:val="0"/>
          <w:divBdr>
            <w:top w:val="none" w:sz="0" w:space="0" w:color="auto"/>
            <w:left w:val="none" w:sz="0" w:space="0" w:color="auto"/>
            <w:bottom w:val="none" w:sz="0" w:space="0" w:color="auto"/>
            <w:right w:val="none" w:sz="0" w:space="0" w:color="auto"/>
          </w:divBdr>
        </w:div>
        <w:div w:id="1611744689">
          <w:marLeft w:val="480"/>
          <w:marRight w:val="0"/>
          <w:marTop w:val="0"/>
          <w:marBottom w:val="0"/>
          <w:divBdr>
            <w:top w:val="none" w:sz="0" w:space="0" w:color="auto"/>
            <w:left w:val="none" w:sz="0" w:space="0" w:color="auto"/>
            <w:bottom w:val="none" w:sz="0" w:space="0" w:color="auto"/>
            <w:right w:val="none" w:sz="0" w:space="0" w:color="auto"/>
          </w:divBdr>
        </w:div>
        <w:div w:id="592396705">
          <w:marLeft w:val="480"/>
          <w:marRight w:val="0"/>
          <w:marTop w:val="0"/>
          <w:marBottom w:val="0"/>
          <w:divBdr>
            <w:top w:val="none" w:sz="0" w:space="0" w:color="auto"/>
            <w:left w:val="none" w:sz="0" w:space="0" w:color="auto"/>
            <w:bottom w:val="none" w:sz="0" w:space="0" w:color="auto"/>
            <w:right w:val="none" w:sz="0" w:space="0" w:color="auto"/>
          </w:divBdr>
        </w:div>
        <w:div w:id="1277249535">
          <w:marLeft w:val="480"/>
          <w:marRight w:val="0"/>
          <w:marTop w:val="0"/>
          <w:marBottom w:val="0"/>
          <w:divBdr>
            <w:top w:val="none" w:sz="0" w:space="0" w:color="auto"/>
            <w:left w:val="none" w:sz="0" w:space="0" w:color="auto"/>
            <w:bottom w:val="none" w:sz="0" w:space="0" w:color="auto"/>
            <w:right w:val="none" w:sz="0" w:space="0" w:color="auto"/>
          </w:divBdr>
        </w:div>
        <w:div w:id="373311702">
          <w:marLeft w:val="480"/>
          <w:marRight w:val="0"/>
          <w:marTop w:val="0"/>
          <w:marBottom w:val="0"/>
          <w:divBdr>
            <w:top w:val="none" w:sz="0" w:space="0" w:color="auto"/>
            <w:left w:val="none" w:sz="0" w:space="0" w:color="auto"/>
            <w:bottom w:val="none" w:sz="0" w:space="0" w:color="auto"/>
            <w:right w:val="none" w:sz="0" w:space="0" w:color="auto"/>
          </w:divBdr>
        </w:div>
        <w:div w:id="1309476817">
          <w:marLeft w:val="480"/>
          <w:marRight w:val="0"/>
          <w:marTop w:val="0"/>
          <w:marBottom w:val="0"/>
          <w:divBdr>
            <w:top w:val="none" w:sz="0" w:space="0" w:color="auto"/>
            <w:left w:val="none" w:sz="0" w:space="0" w:color="auto"/>
            <w:bottom w:val="none" w:sz="0" w:space="0" w:color="auto"/>
            <w:right w:val="none" w:sz="0" w:space="0" w:color="auto"/>
          </w:divBdr>
        </w:div>
        <w:div w:id="1809587726">
          <w:marLeft w:val="480"/>
          <w:marRight w:val="0"/>
          <w:marTop w:val="0"/>
          <w:marBottom w:val="0"/>
          <w:divBdr>
            <w:top w:val="none" w:sz="0" w:space="0" w:color="auto"/>
            <w:left w:val="none" w:sz="0" w:space="0" w:color="auto"/>
            <w:bottom w:val="none" w:sz="0" w:space="0" w:color="auto"/>
            <w:right w:val="none" w:sz="0" w:space="0" w:color="auto"/>
          </w:divBdr>
        </w:div>
        <w:div w:id="465516247">
          <w:marLeft w:val="480"/>
          <w:marRight w:val="0"/>
          <w:marTop w:val="0"/>
          <w:marBottom w:val="0"/>
          <w:divBdr>
            <w:top w:val="none" w:sz="0" w:space="0" w:color="auto"/>
            <w:left w:val="none" w:sz="0" w:space="0" w:color="auto"/>
            <w:bottom w:val="none" w:sz="0" w:space="0" w:color="auto"/>
            <w:right w:val="none" w:sz="0" w:space="0" w:color="auto"/>
          </w:divBdr>
        </w:div>
        <w:div w:id="1550991357">
          <w:marLeft w:val="480"/>
          <w:marRight w:val="0"/>
          <w:marTop w:val="0"/>
          <w:marBottom w:val="0"/>
          <w:divBdr>
            <w:top w:val="none" w:sz="0" w:space="0" w:color="auto"/>
            <w:left w:val="none" w:sz="0" w:space="0" w:color="auto"/>
            <w:bottom w:val="none" w:sz="0" w:space="0" w:color="auto"/>
            <w:right w:val="none" w:sz="0" w:space="0" w:color="auto"/>
          </w:divBdr>
        </w:div>
        <w:div w:id="1738825396">
          <w:marLeft w:val="480"/>
          <w:marRight w:val="0"/>
          <w:marTop w:val="0"/>
          <w:marBottom w:val="0"/>
          <w:divBdr>
            <w:top w:val="none" w:sz="0" w:space="0" w:color="auto"/>
            <w:left w:val="none" w:sz="0" w:space="0" w:color="auto"/>
            <w:bottom w:val="none" w:sz="0" w:space="0" w:color="auto"/>
            <w:right w:val="none" w:sz="0" w:space="0" w:color="auto"/>
          </w:divBdr>
        </w:div>
        <w:div w:id="1325859419">
          <w:marLeft w:val="480"/>
          <w:marRight w:val="0"/>
          <w:marTop w:val="0"/>
          <w:marBottom w:val="0"/>
          <w:divBdr>
            <w:top w:val="none" w:sz="0" w:space="0" w:color="auto"/>
            <w:left w:val="none" w:sz="0" w:space="0" w:color="auto"/>
            <w:bottom w:val="none" w:sz="0" w:space="0" w:color="auto"/>
            <w:right w:val="none" w:sz="0" w:space="0" w:color="auto"/>
          </w:divBdr>
        </w:div>
        <w:div w:id="1422142259">
          <w:marLeft w:val="480"/>
          <w:marRight w:val="0"/>
          <w:marTop w:val="0"/>
          <w:marBottom w:val="0"/>
          <w:divBdr>
            <w:top w:val="none" w:sz="0" w:space="0" w:color="auto"/>
            <w:left w:val="none" w:sz="0" w:space="0" w:color="auto"/>
            <w:bottom w:val="none" w:sz="0" w:space="0" w:color="auto"/>
            <w:right w:val="none" w:sz="0" w:space="0" w:color="auto"/>
          </w:divBdr>
        </w:div>
        <w:div w:id="1198276155">
          <w:marLeft w:val="480"/>
          <w:marRight w:val="0"/>
          <w:marTop w:val="0"/>
          <w:marBottom w:val="0"/>
          <w:divBdr>
            <w:top w:val="none" w:sz="0" w:space="0" w:color="auto"/>
            <w:left w:val="none" w:sz="0" w:space="0" w:color="auto"/>
            <w:bottom w:val="none" w:sz="0" w:space="0" w:color="auto"/>
            <w:right w:val="none" w:sz="0" w:space="0" w:color="auto"/>
          </w:divBdr>
        </w:div>
        <w:div w:id="1922178938">
          <w:marLeft w:val="480"/>
          <w:marRight w:val="0"/>
          <w:marTop w:val="0"/>
          <w:marBottom w:val="0"/>
          <w:divBdr>
            <w:top w:val="none" w:sz="0" w:space="0" w:color="auto"/>
            <w:left w:val="none" w:sz="0" w:space="0" w:color="auto"/>
            <w:bottom w:val="none" w:sz="0" w:space="0" w:color="auto"/>
            <w:right w:val="none" w:sz="0" w:space="0" w:color="auto"/>
          </w:divBdr>
        </w:div>
        <w:div w:id="201597397">
          <w:marLeft w:val="480"/>
          <w:marRight w:val="0"/>
          <w:marTop w:val="0"/>
          <w:marBottom w:val="0"/>
          <w:divBdr>
            <w:top w:val="none" w:sz="0" w:space="0" w:color="auto"/>
            <w:left w:val="none" w:sz="0" w:space="0" w:color="auto"/>
            <w:bottom w:val="none" w:sz="0" w:space="0" w:color="auto"/>
            <w:right w:val="none" w:sz="0" w:space="0" w:color="auto"/>
          </w:divBdr>
        </w:div>
        <w:div w:id="2123648941">
          <w:marLeft w:val="480"/>
          <w:marRight w:val="0"/>
          <w:marTop w:val="0"/>
          <w:marBottom w:val="0"/>
          <w:divBdr>
            <w:top w:val="none" w:sz="0" w:space="0" w:color="auto"/>
            <w:left w:val="none" w:sz="0" w:space="0" w:color="auto"/>
            <w:bottom w:val="none" w:sz="0" w:space="0" w:color="auto"/>
            <w:right w:val="none" w:sz="0" w:space="0" w:color="auto"/>
          </w:divBdr>
        </w:div>
        <w:div w:id="911542724">
          <w:marLeft w:val="480"/>
          <w:marRight w:val="0"/>
          <w:marTop w:val="0"/>
          <w:marBottom w:val="0"/>
          <w:divBdr>
            <w:top w:val="none" w:sz="0" w:space="0" w:color="auto"/>
            <w:left w:val="none" w:sz="0" w:space="0" w:color="auto"/>
            <w:bottom w:val="none" w:sz="0" w:space="0" w:color="auto"/>
            <w:right w:val="none" w:sz="0" w:space="0" w:color="auto"/>
          </w:divBdr>
        </w:div>
        <w:div w:id="841772838">
          <w:marLeft w:val="480"/>
          <w:marRight w:val="0"/>
          <w:marTop w:val="0"/>
          <w:marBottom w:val="0"/>
          <w:divBdr>
            <w:top w:val="none" w:sz="0" w:space="0" w:color="auto"/>
            <w:left w:val="none" w:sz="0" w:space="0" w:color="auto"/>
            <w:bottom w:val="none" w:sz="0" w:space="0" w:color="auto"/>
            <w:right w:val="none" w:sz="0" w:space="0" w:color="auto"/>
          </w:divBdr>
        </w:div>
        <w:div w:id="634987811">
          <w:marLeft w:val="480"/>
          <w:marRight w:val="0"/>
          <w:marTop w:val="0"/>
          <w:marBottom w:val="0"/>
          <w:divBdr>
            <w:top w:val="none" w:sz="0" w:space="0" w:color="auto"/>
            <w:left w:val="none" w:sz="0" w:space="0" w:color="auto"/>
            <w:bottom w:val="none" w:sz="0" w:space="0" w:color="auto"/>
            <w:right w:val="none" w:sz="0" w:space="0" w:color="auto"/>
          </w:divBdr>
        </w:div>
      </w:divsChild>
    </w:div>
    <w:div w:id="1112433937">
      <w:bodyDiv w:val="1"/>
      <w:marLeft w:val="0"/>
      <w:marRight w:val="0"/>
      <w:marTop w:val="0"/>
      <w:marBottom w:val="0"/>
      <w:divBdr>
        <w:top w:val="none" w:sz="0" w:space="0" w:color="auto"/>
        <w:left w:val="none" w:sz="0" w:space="0" w:color="auto"/>
        <w:bottom w:val="none" w:sz="0" w:space="0" w:color="auto"/>
        <w:right w:val="none" w:sz="0" w:space="0" w:color="auto"/>
      </w:divBdr>
      <w:divsChild>
        <w:div w:id="579825073">
          <w:marLeft w:val="480"/>
          <w:marRight w:val="0"/>
          <w:marTop w:val="0"/>
          <w:marBottom w:val="0"/>
          <w:divBdr>
            <w:top w:val="none" w:sz="0" w:space="0" w:color="auto"/>
            <w:left w:val="none" w:sz="0" w:space="0" w:color="auto"/>
            <w:bottom w:val="none" w:sz="0" w:space="0" w:color="auto"/>
            <w:right w:val="none" w:sz="0" w:space="0" w:color="auto"/>
          </w:divBdr>
        </w:div>
        <w:div w:id="1040085516">
          <w:marLeft w:val="480"/>
          <w:marRight w:val="0"/>
          <w:marTop w:val="0"/>
          <w:marBottom w:val="0"/>
          <w:divBdr>
            <w:top w:val="none" w:sz="0" w:space="0" w:color="auto"/>
            <w:left w:val="none" w:sz="0" w:space="0" w:color="auto"/>
            <w:bottom w:val="none" w:sz="0" w:space="0" w:color="auto"/>
            <w:right w:val="none" w:sz="0" w:space="0" w:color="auto"/>
          </w:divBdr>
        </w:div>
        <w:div w:id="1461223181">
          <w:marLeft w:val="480"/>
          <w:marRight w:val="0"/>
          <w:marTop w:val="0"/>
          <w:marBottom w:val="0"/>
          <w:divBdr>
            <w:top w:val="none" w:sz="0" w:space="0" w:color="auto"/>
            <w:left w:val="none" w:sz="0" w:space="0" w:color="auto"/>
            <w:bottom w:val="none" w:sz="0" w:space="0" w:color="auto"/>
            <w:right w:val="none" w:sz="0" w:space="0" w:color="auto"/>
          </w:divBdr>
        </w:div>
        <w:div w:id="1296058676">
          <w:marLeft w:val="480"/>
          <w:marRight w:val="0"/>
          <w:marTop w:val="0"/>
          <w:marBottom w:val="0"/>
          <w:divBdr>
            <w:top w:val="none" w:sz="0" w:space="0" w:color="auto"/>
            <w:left w:val="none" w:sz="0" w:space="0" w:color="auto"/>
            <w:bottom w:val="none" w:sz="0" w:space="0" w:color="auto"/>
            <w:right w:val="none" w:sz="0" w:space="0" w:color="auto"/>
          </w:divBdr>
        </w:div>
        <w:div w:id="1882088656">
          <w:marLeft w:val="480"/>
          <w:marRight w:val="0"/>
          <w:marTop w:val="0"/>
          <w:marBottom w:val="0"/>
          <w:divBdr>
            <w:top w:val="none" w:sz="0" w:space="0" w:color="auto"/>
            <w:left w:val="none" w:sz="0" w:space="0" w:color="auto"/>
            <w:bottom w:val="none" w:sz="0" w:space="0" w:color="auto"/>
            <w:right w:val="none" w:sz="0" w:space="0" w:color="auto"/>
          </w:divBdr>
        </w:div>
        <w:div w:id="312219691">
          <w:marLeft w:val="480"/>
          <w:marRight w:val="0"/>
          <w:marTop w:val="0"/>
          <w:marBottom w:val="0"/>
          <w:divBdr>
            <w:top w:val="none" w:sz="0" w:space="0" w:color="auto"/>
            <w:left w:val="none" w:sz="0" w:space="0" w:color="auto"/>
            <w:bottom w:val="none" w:sz="0" w:space="0" w:color="auto"/>
            <w:right w:val="none" w:sz="0" w:space="0" w:color="auto"/>
          </w:divBdr>
        </w:div>
        <w:div w:id="1214804616">
          <w:marLeft w:val="480"/>
          <w:marRight w:val="0"/>
          <w:marTop w:val="0"/>
          <w:marBottom w:val="0"/>
          <w:divBdr>
            <w:top w:val="none" w:sz="0" w:space="0" w:color="auto"/>
            <w:left w:val="none" w:sz="0" w:space="0" w:color="auto"/>
            <w:bottom w:val="none" w:sz="0" w:space="0" w:color="auto"/>
            <w:right w:val="none" w:sz="0" w:space="0" w:color="auto"/>
          </w:divBdr>
        </w:div>
        <w:div w:id="1657806123">
          <w:marLeft w:val="480"/>
          <w:marRight w:val="0"/>
          <w:marTop w:val="0"/>
          <w:marBottom w:val="0"/>
          <w:divBdr>
            <w:top w:val="none" w:sz="0" w:space="0" w:color="auto"/>
            <w:left w:val="none" w:sz="0" w:space="0" w:color="auto"/>
            <w:bottom w:val="none" w:sz="0" w:space="0" w:color="auto"/>
            <w:right w:val="none" w:sz="0" w:space="0" w:color="auto"/>
          </w:divBdr>
        </w:div>
        <w:div w:id="36903565">
          <w:marLeft w:val="480"/>
          <w:marRight w:val="0"/>
          <w:marTop w:val="0"/>
          <w:marBottom w:val="0"/>
          <w:divBdr>
            <w:top w:val="none" w:sz="0" w:space="0" w:color="auto"/>
            <w:left w:val="none" w:sz="0" w:space="0" w:color="auto"/>
            <w:bottom w:val="none" w:sz="0" w:space="0" w:color="auto"/>
            <w:right w:val="none" w:sz="0" w:space="0" w:color="auto"/>
          </w:divBdr>
        </w:div>
        <w:div w:id="513152537">
          <w:marLeft w:val="480"/>
          <w:marRight w:val="0"/>
          <w:marTop w:val="0"/>
          <w:marBottom w:val="0"/>
          <w:divBdr>
            <w:top w:val="none" w:sz="0" w:space="0" w:color="auto"/>
            <w:left w:val="none" w:sz="0" w:space="0" w:color="auto"/>
            <w:bottom w:val="none" w:sz="0" w:space="0" w:color="auto"/>
            <w:right w:val="none" w:sz="0" w:space="0" w:color="auto"/>
          </w:divBdr>
        </w:div>
        <w:div w:id="983267979">
          <w:marLeft w:val="480"/>
          <w:marRight w:val="0"/>
          <w:marTop w:val="0"/>
          <w:marBottom w:val="0"/>
          <w:divBdr>
            <w:top w:val="none" w:sz="0" w:space="0" w:color="auto"/>
            <w:left w:val="none" w:sz="0" w:space="0" w:color="auto"/>
            <w:bottom w:val="none" w:sz="0" w:space="0" w:color="auto"/>
            <w:right w:val="none" w:sz="0" w:space="0" w:color="auto"/>
          </w:divBdr>
        </w:div>
        <w:div w:id="1452550768">
          <w:marLeft w:val="480"/>
          <w:marRight w:val="0"/>
          <w:marTop w:val="0"/>
          <w:marBottom w:val="0"/>
          <w:divBdr>
            <w:top w:val="none" w:sz="0" w:space="0" w:color="auto"/>
            <w:left w:val="none" w:sz="0" w:space="0" w:color="auto"/>
            <w:bottom w:val="none" w:sz="0" w:space="0" w:color="auto"/>
            <w:right w:val="none" w:sz="0" w:space="0" w:color="auto"/>
          </w:divBdr>
        </w:div>
        <w:div w:id="634289765">
          <w:marLeft w:val="480"/>
          <w:marRight w:val="0"/>
          <w:marTop w:val="0"/>
          <w:marBottom w:val="0"/>
          <w:divBdr>
            <w:top w:val="none" w:sz="0" w:space="0" w:color="auto"/>
            <w:left w:val="none" w:sz="0" w:space="0" w:color="auto"/>
            <w:bottom w:val="none" w:sz="0" w:space="0" w:color="auto"/>
            <w:right w:val="none" w:sz="0" w:space="0" w:color="auto"/>
          </w:divBdr>
        </w:div>
        <w:div w:id="235436099">
          <w:marLeft w:val="480"/>
          <w:marRight w:val="0"/>
          <w:marTop w:val="0"/>
          <w:marBottom w:val="0"/>
          <w:divBdr>
            <w:top w:val="none" w:sz="0" w:space="0" w:color="auto"/>
            <w:left w:val="none" w:sz="0" w:space="0" w:color="auto"/>
            <w:bottom w:val="none" w:sz="0" w:space="0" w:color="auto"/>
            <w:right w:val="none" w:sz="0" w:space="0" w:color="auto"/>
          </w:divBdr>
        </w:div>
        <w:div w:id="1063866171">
          <w:marLeft w:val="480"/>
          <w:marRight w:val="0"/>
          <w:marTop w:val="0"/>
          <w:marBottom w:val="0"/>
          <w:divBdr>
            <w:top w:val="none" w:sz="0" w:space="0" w:color="auto"/>
            <w:left w:val="none" w:sz="0" w:space="0" w:color="auto"/>
            <w:bottom w:val="none" w:sz="0" w:space="0" w:color="auto"/>
            <w:right w:val="none" w:sz="0" w:space="0" w:color="auto"/>
          </w:divBdr>
        </w:div>
        <w:div w:id="436995390">
          <w:marLeft w:val="480"/>
          <w:marRight w:val="0"/>
          <w:marTop w:val="0"/>
          <w:marBottom w:val="0"/>
          <w:divBdr>
            <w:top w:val="none" w:sz="0" w:space="0" w:color="auto"/>
            <w:left w:val="none" w:sz="0" w:space="0" w:color="auto"/>
            <w:bottom w:val="none" w:sz="0" w:space="0" w:color="auto"/>
            <w:right w:val="none" w:sz="0" w:space="0" w:color="auto"/>
          </w:divBdr>
        </w:div>
        <w:div w:id="581061111">
          <w:marLeft w:val="480"/>
          <w:marRight w:val="0"/>
          <w:marTop w:val="0"/>
          <w:marBottom w:val="0"/>
          <w:divBdr>
            <w:top w:val="none" w:sz="0" w:space="0" w:color="auto"/>
            <w:left w:val="none" w:sz="0" w:space="0" w:color="auto"/>
            <w:bottom w:val="none" w:sz="0" w:space="0" w:color="auto"/>
            <w:right w:val="none" w:sz="0" w:space="0" w:color="auto"/>
          </w:divBdr>
        </w:div>
        <w:div w:id="639729276">
          <w:marLeft w:val="480"/>
          <w:marRight w:val="0"/>
          <w:marTop w:val="0"/>
          <w:marBottom w:val="0"/>
          <w:divBdr>
            <w:top w:val="none" w:sz="0" w:space="0" w:color="auto"/>
            <w:left w:val="none" w:sz="0" w:space="0" w:color="auto"/>
            <w:bottom w:val="none" w:sz="0" w:space="0" w:color="auto"/>
            <w:right w:val="none" w:sz="0" w:space="0" w:color="auto"/>
          </w:divBdr>
        </w:div>
        <w:div w:id="39786117">
          <w:marLeft w:val="480"/>
          <w:marRight w:val="0"/>
          <w:marTop w:val="0"/>
          <w:marBottom w:val="0"/>
          <w:divBdr>
            <w:top w:val="none" w:sz="0" w:space="0" w:color="auto"/>
            <w:left w:val="none" w:sz="0" w:space="0" w:color="auto"/>
            <w:bottom w:val="none" w:sz="0" w:space="0" w:color="auto"/>
            <w:right w:val="none" w:sz="0" w:space="0" w:color="auto"/>
          </w:divBdr>
        </w:div>
        <w:div w:id="2069956510">
          <w:marLeft w:val="480"/>
          <w:marRight w:val="0"/>
          <w:marTop w:val="0"/>
          <w:marBottom w:val="0"/>
          <w:divBdr>
            <w:top w:val="none" w:sz="0" w:space="0" w:color="auto"/>
            <w:left w:val="none" w:sz="0" w:space="0" w:color="auto"/>
            <w:bottom w:val="none" w:sz="0" w:space="0" w:color="auto"/>
            <w:right w:val="none" w:sz="0" w:space="0" w:color="auto"/>
          </w:divBdr>
        </w:div>
      </w:divsChild>
    </w:div>
    <w:div w:id="1130053738">
      <w:bodyDiv w:val="1"/>
      <w:marLeft w:val="0"/>
      <w:marRight w:val="0"/>
      <w:marTop w:val="0"/>
      <w:marBottom w:val="0"/>
      <w:divBdr>
        <w:top w:val="none" w:sz="0" w:space="0" w:color="auto"/>
        <w:left w:val="none" w:sz="0" w:space="0" w:color="auto"/>
        <w:bottom w:val="none" w:sz="0" w:space="0" w:color="auto"/>
        <w:right w:val="none" w:sz="0" w:space="0" w:color="auto"/>
      </w:divBdr>
    </w:div>
    <w:div w:id="1299066009">
      <w:bodyDiv w:val="1"/>
      <w:marLeft w:val="0"/>
      <w:marRight w:val="0"/>
      <w:marTop w:val="0"/>
      <w:marBottom w:val="0"/>
      <w:divBdr>
        <w:top w:val="none" w:sz="0" w:space="0" w:color="auto"/>
        <w:left w:val="none" w:sz="0" w:space="0" w:color="auto"/>
        <w:bottom w:val="none" w:sz="0" w:space="0" w:color="auto"/>
        <w:right w:val="none" w:sz="0" w:space="0" w:color="auto"/>
      </w:divBdr>
    </w:div>
    <w:div w:id="1336110668">
      <w:bodyDiv w:val="1"/>
      <w:marLeft w:val="0"/>
      <w:marRight w:val="0"/>
      <w:marTop w:val="0"/>
      <w:marBottom w:val="0"/>
      <w:divBdr>
        <w:top w:val="none" w:sz="0" w:space="0" w:color="auto"/>
        <w:left w:val="none" w:sz="0" w:space="0" w:color="auto"/>
        <w:bottom w:val="none" w:sz="0" w:space="0" w:color="auto"/>
        <w:right w:val="none" w:sz="0" w:space="0" w:color="auto"/>
      </w:divBdr>
    </w:div>
    <w:div w:id="1441870741">
      <w:bodyDiv w:val="1"/>
      <w:marLeft w:val="0"/>
      <w:marRight w:val="0"/>
      <w:marTop w:val="0"/>
      <w:marBottom w:val="0"/>
      <w:divBdr>
        <w:top w:val="none" w:sz="0" w:space="0" w:color="auto"/>
        <w:left w:val="none" w:sz="0" w:space="0" w:color="auto"/>
        <w:bottom w:val="none" w:sz="0" w:space="0" w:color="auto"/>
        <w:right w:val="none" w:sz="0" w:space="0" w:color="auto"/>
      </w:divBdr>
    </w:div>
    <w:div w:id="1460143568">
      <w:bodyDiv w:val="1"/>
      <w:marLeft w:val="0"/>
      <w:marRight w:val="0"/>
      <w:marTop w:val="0"/>
      <w:marBottom w:val="0"/>
      <w:divBdr>
        <w:top w:val="none" w:sz="0" w:space="0" w:color="auto"/>
        <w:left w:val="none" w:sz="0" w:space="0" w:color="auto"/>
        <w:bottom w:val="none" w:sz="0" w:space="0" w:color="auto"/>
        <w:right w:val="none" w:sz="0" w:space="0" w:color="auto"/>
      </w:divBdr>
      <w:divsChild>
        <w:div w:id="2135054715">
          <w:marLeft w:val="480"/>
          <w:marRight w:val="0"/>
          <w:marTop w:val="0"/>
          <w:marBottom w:val="0"/>
          <w:divBdr>
            <w:top w:val="none" w:sz="0" w:space="0" w:color="auto"/>
            <w:left w:val="none" w:sz="0" w:space="0" w:color="auto"/>
            <w:bottom w:val="none" w:sz="0" w:space="0" w:color="auto"/>
            <w:right w:val="none" w:sz="0" w:space="0" w:color="auto"/>
          </w:divBdr>
        </w:div>
        <w:div w:id="1711222787">
          <w:marLeft w:val="480"/>
          <w:marRight w:val="0"/>
          <w:marTop w:val="0"/>
          <w:marBottom w:val="0"/>
          <w:divBdr>
            <w:top w:val="none" w:sz="0" w:space="0" w:color="auto"/>
            <w:left w:val="none" w:sz="0" w:space="0" w:color="auto"/>
            <w:bottom w:val="none" w:sz="0" w:space="0" w:color="auto"/>
            <w:right w:val="none" w:sz="0" w:space="0" w:color="auto"/>
          </w:divBdr>
        </w:div>
        <w:div w:id="96485884">
          <w:marLeft w:val="480"/>
          <w:marRight w:val="0"/>
          <w:marTop w:val="0"/>
          <w:marBottom w:val="0"/>
          <w:divBdr>
            <w:top w:val="none" w:sz="0" w:space="0" w:color="auto"/>
            <w:left w:val="none" w:sz="0" w:space="0" w:color="auto"/>
            <w:bottom w:val="none" w:sz="0" w:space="0" w:color="auto"/>
            <w:right w:val="none" w:sz="0" w:space="0" w:color="auto"/>
          </w:divBdr>
        </w:div>
        <w:div w:id="1845701744">
          <w:marLeft w:val="480"/>
          <w:marRight w:val="0"/>
          <w:marTop w:val="0"/>
          <w:marBottom w:val="0"/>
          <w:divBdr>
            <w:top w:val="none" w:sz="0" w:space="0" w:color="auto"/>
            <w:left w:val="none" w:sz="0" w:space="0" w:color="auto"/>
            <w:bottom w:val="none" w:sz="0" w:space="0" w:color="auto"/>
            <w:right w:val="none" w:sz="0" w:space="0" w:color="auto"/>
          </w:divBdr>
        </w:div>
        <w:div w:id="1324047677">
          <w:marLeft w:val="480"/>
          <w:marRight w:val="0"/>
          <w:marTop w:val="0"/>
          <w:marBottom w:val="0"/>
          <w:divBdr>
            <w:top w:val="none" w:sz="0" w:space="0" w:color="auto"/>
            <w:left w:val="none" w:sz="0" w:space="0" w:color="auto"/>
            <w:bottom w:val="none" w:sz="0" w:space="0" w:color="auto"/>
            <w:right w:val="none" w:sz="0" w:space="0" w:color="auto"/>
          </w:divBdr>
        </w:div>
        <w:div w:id="55669560">
          <w:marLeft w:val="480"/>
          <w:marRight w:val="0"/>
          <w:marTop w:val="0"/>
          <w:marBottom w:val="0"/>
          <w:divBdr>
            <w:top w:val="none" w:sz="0" w:space="0" w:color="auto"/>
            <w:left w:val="none" w:sz="0" w:space="0" w:color="auto"/>
            <w:bottom w:val="none" w:sz="0" w:space="0" w:color="auto"/>
            <w:right w:val="none" w:sz="0" w:space="0" w:color="auto"/>
          </w:divBdr>
        </w:div>
        <w:div w:id="1307666449">
          <w:marLeft w:val="480"/>
          <w:marRight w:val="0"/>
          <w:marTop w:val="0"/>
          <w:marBottom w:val="0"/>
          <w:divBdr>
            <w:top w:val="none" w:sz="0" w:space="0" w:color="auto"/>
            <w:left w:val="none" w:sz="0" w:space="0" w:color="auto"/>
            <w:bottom w:val="none" w:sz="0" w:space="0" w:color="auto"/>
            <w:right w:val="none" w:sz="0" w:space="0" w:color="auto"/>
          </w:divBdr>
        </w:div>
        <w:div w:id="123618507">
          <w:marLeft w:val="480"/>
          <w:marRight w:val="0"/>
          <w:marTop w:val="0"/>
          <w:marBottom w:val="0"/>
          <w:divBdr>
            <w:top w:val="none" w:sz="0" w:space="0" w:color="auto"/>
            <w:left w:val="none" w:sz="0" w:space="0" w:color="auto"/>
            <w:bottom w:val="none" w:sz="0" w:space="0" w:color="auto"/>
            <w:right w:val="none" w:sz="0" w:space="0" w:color="auto"/>
          </w:divBdr>
        </w:div>
        <w:div w:id="1276130728">
          <w:marLeft w:val="480"/>
          <w:marRight w:val="0"/>
          <w:marTop w:val="0"/>
          <w:marBottom w:val="0"/>
          <w:divBdr>
            <w:top w:val="none" w:sz="0" w:space="0" w:color="auto"/>
            <w:left w:val="none" w:sz="0" w:space="0" w:color="auto"/>
            <w:bottom w:val="none" w:sz="0" w:space="0" w:color="auto"/>
            <w:right w:val="none" w:sz="0" w:space="0" w:color="auto"/>
          </w:divBdr>
        </w:div>
        <w:div w:id="295919337">
          <w:marLeft w:val="480"/>
          <w:marRight w:val="0"/>
          <w:marTop w:val="0"/>
          <w:marBottom w:val="0"/>
          <w:divBdr>
            <w:top w:val="none" w:sz="0" w:space="0" w:color="auto"/>
            <w:left w:val="none" w:sz="0" w:space="0" w:color="auto"/>
            <w:bottom w:val="none" w:sz="0" w:space="0" w:color="auto"/>
            <w:right w:val="none" w:sz="0" w:space="0" w:color="auto"/>
          </w:divBdr>
        </w:div>
        <w:div w:id="851799906">
          <w:marLeft w:val="480"/>
          <w:marRight w:val="0"/>
          <w:marTop w:val="0"/>
          <w:marBottom w:val="0"/>
          <w:divBdr>
            <w:top w:val="none" w:sz="0" w:space="0" w:color="auto"/>
            <w:left w:val="none" w:sz="0" w:space="0" w:color="auto"/>
            <w:bottom w:val="none" w:sz="0" w:space="0" w:color="auto"/>
            <w:right w:val="none" w:sz="0" w:space="0" w:color="auto"/>
          </w:divBdr>
        </w:div>
        <w:div w:id="694506324">
          <w:marLeft w:val="480"/>
          <w:marRight w:val="0"/>
          <w:marTop w:val="0"/>
          <w:marBottom w:val="0"/>
          <w:divBdr>
            <w:top w:val="none" w:sz="0" w:space="0" w:color="auto"/>
            <w:left w:val="none" w:sz="0" w:space="0" w:color="auto"/>
            <w:bottom w:val="none" w:sz="0" w:space="0" w:color="auto"/>
            <w:right w:val="none" w:sz="0" w:space="0" w:color="auto"/>
          </w:divBdr>
        </w:div>
      </w:divsChild>
    </w:div>
    <w:div w:id="1486825318">
      <w:bodyDiv w:val="1"/>
      <w:marLeft w:val="0"/>
      <w:marRight w:val="0"/>
      <w:marTop w:val="0"/>
      <w:marBottom w:val="0"/>
      <w:divBdr>
        <w:top w:val="none" w:sz="0" w:space="0" w:color="auto"/>
        <w:left w:val="none" w:sz="0" w:space="0" w:color="auto"/>
        <w:bottom w:val="none" w:sz="0" w:space="0" w:color="auto"/>
        <w:right w:val="none" w:sz="0" w:space="0" w:color="auto"/>
      </w:divBdr>
      <w:divsChild>
        <w:div w:id="519243304">
          <w:marLeft w:val="480"/>
          <w:marRight w:val="0"/>
          <w:marTop w:val="0"/>
          <w:marBottom w:val="0"/>
          <w:divBdr>
            <w:top w:val="none" w:sz="0" w:space="0" w:color="auto"/>
            <w:left w:val="none" w:sz="0" w:space="0" w:color="auto"/>
            <w:bottom w:val="none" w:sz="0" w:space="0" w:color="auto"/>
            <w:right w:val="none" w:sz="0" w:space="0" w:color="auto"/>
          </w:divBdr>
        </w:div>
        <w:div w:id="779764344">
          <w:marLeft w:val="480"/>
          <w:marRight w:val="0"/>
          <w:marTop w:val="0"/>
          <w:marBottom w:val="0"/>
          <w:divBdr>
            <w:top w:val="none" w:sz="0" w:space="0" w:color="auto"/>
            <w:left w:val="none" w:sz="0" w:space="0" w:color="auto"/>
            <w:bottom w:val="none" w:sz="0" w:space="0" w:color="auto"/>
            <w:right w:val="none" w:sz="0" w:space="0" w:color="auto"/>
          </w:divBdr>
        </w:div>
        <w:div w:id="189613772">
          <w:marLeft w:val="480"/>
          <w:marRight w:val="0"/>
          <w:marTop w:val="0"/>
          <w:marBottom w:val="0"/>
          <w:divBdr>
            <w:top w:val="none" w:sz="0" w:space="0" w:color="auto"/>
            <w:left w:val="none" w:sz="0" w:space="0" w:color="auto"/>
            <w:bottom w:val="none" w:sz="0" w:space="0" w:color="auto"/>
            <w:right w:val="none" w:sz="0" w:space="0" w:color="auto"/>
          </w:divBdr>
        </w:div>
        <w:div w:id="510337814">
          <w:marLeft w:val="480"/>
          <w:marRight w:val="0"/>
          <w:marTop w:val="0"/>
          <w:marBottom w:val="0"/>
          <w:divBdr>
            <w:top w:val="none" w:sz="0" w:space="0" w:color="auto"/>
            <w:left w:val="none" w:sz="0" w:space="0" w:color="auto"/>
            <w:bottom w:val="none" w:sz="0" w:space="0" w:color="auto"/>
            <w:right w:val="none" w:sz="0" w:space="0" w:color="auto"/>
          </w:divBdr>
        </w:div>
        <w:div w:id="263146820">
          <w:marLeft w:val="480"/>
          <w:marRight w:val="0"/>
          <w:marTop w:val="0"/>
          <w:marBottom w:val="0"/>
          <w:divBdr>
            <w:top w:val="none" w:sz="0" w:space="0" w:color="auto"/>
            <w:left w:val="none" w:sz="0" w:space="0" w:color="auto"/>
            <w:bottom w:val="none" w:sz="0" w:space="0" w:color="auto"/>
            <w:right w:val="none" w:sz="0" w:space="0" w:color="auto"/>
          </w:divBdr>
        </w:div>
        <w:div w:id="1470629522">
          <w:marLeft w:val="480"/>
          <w:marRight w:val="0"/>
          <w:marTop w:val="0"/>
          <w:marBottom w:val="0"/>
          <w:divBdr>
            <w:top w:val="none" w:sz="0" w:space="0" w:color="auto"/>
            <w:left w:val="none" w:sz="0" w:space="0" w:color="auto"/>
            <w:bottom w:val="none" w:sz="0" w:space="0" w:color="auto"/>
            <w:right w:val="none" w:sz="0" w:space="0" w:color="auto"/>
          </w:divBdr>
        </w:div>
        <w:div w:id="738214300">
          <w:marLeft w:val="480"/>
          <w:marRight w:val="0"/>
          <w:marTop w:val="0"/>
          <w:marBottom w:val="0"/>
          <w:divBdr>
            <w:top w:val="none" w:sz="0" w:space="0" w:color="auto"/>
            <w:left w:val="none" w:sz="0" w:space="0" w:color="auto"/>
            <w:bottom w:val="none" w:sz="0" w:space="0" w:color="auto"/>
            <w:right w:val="none" w:sz="0" w:space="0" w:color="auto"/>
          </w:divBdr>
        </w:div>
        <w:div w:id="132527762">
          <w:marLeft w:val="480"/>
          <w:marRight w:val="0"/>
          <w:marTop w:val="0"/>
          <w:marBottom w:val="0"/>
          <w:divBdr>
            <w:top w:val="none" w:sz="0" w:space="0" w:color="auto"/>
            <w:left w:val="none" w:sz="0" w:space="0" w:color="auto"/>
            <w:bottom w:val="none" w:sz="0" w:space="0" w:color="auto"/>
            <w:right w:val="none" w:sz="0" w:space="0" w:color="auto"/>
          </w:divBdr>
        </w:div>
        <w:div w:id="422606656">
          <w:marLeft w:val="480"/>
          <w:marRight w:val="0"/>
          <w:marTop w:val="0"/>
          <w:marBottom w:val="0"/>
          <w:divBdr>
            <w:top w:val="none" w:sz="0" w:space="0" w:color="auto"/>
            <w:left w:val="none" w:sz="0" w:space="0" w:color="auto"/>
            <w:bottom w:val="none" w:sz="0" w:space="0" w:color="auto"/>
            <w:right w:val="none" w:sz="0" w:space="0" w:color="auto"/>
          </w:divBdr>
        </w:div>
        <w:div w:id="145587650">
          <w:marLeft w:val="480"/>
          <w:marRight w:val="0"/>
          <w:marTop w:val="0"/>
          <w:marBottom w:val="0"/>
          <w:divBdr>
            <w:top w:val="none" w:sz="0" w:space="0" w:color="auto"/>
            <w:left w:val="none" w:sz="0" w:space="0" w:color="auto"/>
            <w:bottom w:val="none" w:sz="0" w:space="0" w:color="auto"/>
            <w:right w:val="none" w:sz="0" w:space="0" w:color="auto"/>
          </w:divBdr>
        </w:div>
        <w:div w:id="596208368">
          <w:marLeft w:val="480"/>
          <w:marRight w:val="0"/>
          <w:marTop w:val="0"/>
          <w:marBottom w:val="0"/>
          <w:divBdr>
            <w:top w:val="none" w:sz="0" w:space="0" w:color="auto"/>
            <w:left w:val="none" w:sz="0" w:space="0" w:color="auto"/>
            <w:bottom w:val="none" w:sz="0" w:space="0" w:color="auto"/>
            <w:right w:val="none" w:sz="0" w:space="0" w:color="auto"/>
          </w:divBdr>
        </w:div>
        <w:div w:id="438186937">
          <w:marLeft w:val="480"/>
          <w:marRight w:val="0"/>
          <w:marTop w:val="0"/>
          <w:marBottom w:val="0"/>
          <w:divBdr>
            <w:top w:val="none" w:sz="0" w:space="0" w:color="auto"/>
            <w:left w:val="none" w:sz="0" w:space="0" w:color="auto"/>
            <w:bottom w:val="none" w:sz="0" w:space="0" w:color="auto"/>
            <w:right w:val="none" w:sz="0" w:space="0" w:color="auto"/>
          </w:divBdr>
        </w:div>
        <w:div w:id="1418676634">
          <w:marLeft w:val="480"/>
          <w:marRight w:val="0"/>
          <w:marTop w:val="0"/>
          <w:marBottom w:val="0"/>
          <w:divBdr>
            <w:top w:val="none" w:sz="0" w:space="0" w:color="auto"/>
            <w:left w:val="none" w:sz="0" w:space="0" w:color="auto"/>
            <w:bottom w:val="none" w:sz="0" w:space="0" w:color="auto"/>
            <w:right w:val="none" w:sz="0" w:space="0" w:color="auto"/>
          </w:divBdr>
        </w:div>
        <w:div w:id="1093211077">
          <w:marLeft w:val="480"/>
          <w:marRight w:val="0"/>
          <w:marTop w:val="0"/>
          <w:marBottom w:val="0"/>
          <w:divBdr>
            <w:top w:val="none" w:sz="0" w:space="0" w:color="auto"/>
            <w:left w:val="none" w:sz="0" w:space="0" w:color="auto"/>
            <w:bottom w:val="none" w:sz="0" w:space="0" w:color="auto"/>
            <w:right w:val="none" w:sz="0" w:space="0" w:color="auto"/>
          </w:divBdr>
        </w:div>
        <w:div w:id="2061006196">
          <w:marLeft w:val="480"/>
          <w:marRight w:val="0"/>
          <w:marTop w:val="0"/>
          <w:marBottom w:val="0"/>
          <w:divBdr>
            <w:top w:val="none" w:sz="0" w:space="0" w:color="auto"/>
            <w:left w:val="none" w:sz="0" w:space="0" w:color="auto"/>
            <w:bottom w:val="none" w:sz="0" w:space="0" w:color="auto"/>
            <w:right w:val="none" w:sz="0" w:space="0" w:color="auto"/>
          </w:divBdr>
        </w:div>
        <w:div w:id="359554732">
          <w:marLeft w:val="480"/>
          <w:marRight w:val="0"/>
          <w:marTop w:val="0"/>
          <w:marBottom w:val="0"/>
          <w:divBdr>
            <w:top w:val="none" w:sz="0" w:space="0" w:color="auto"/>
            <w:left w:val="none" w:sz="0" w:space="0" w:color="auto"/>
            <w:bottom w:val="none" w:sz="0" w:space="0" w:color="auto"/>
            <w:right w:val="none" w:sz="0" w:space="0" w:color="auto"/>
          </w:divBdr>
        </w:div>
        <w:div w:id="401606672">
          <w:marLeft w:val="480"/>
          <w:marRight w:val="0"/>
          <w:marTop w:val="0"/>
          <w:marBottom w:val="0"/>
          <w:divBdr>
            <w:top w:val="none" w:sz="0" w:space="0" w:color="auto"/>
            <w:left w:val="none" w:sz="0" w:space="0" w:color="auto"/>
            <w:bottom w:val="none" w:sz="0" w:space="0" w:color="auto"/>
            <w:right w:val="none" w:sz="0" w:space="0" w:color="auto"/>
          </w:divBdr>
        </w:div>
      </w:divsChild>
    </w:div>
    <w:div w:id="1495803664">
      <w:bodyDiv w:val="1"/>
      <w:marLeft w:val="0"/>
      <w:marRight w:val="0"/>
      <w:marTop w:val="0"/>
      <w:marBottom w:val="0"/>
      <w:divBdr>
        <w:top w:val="none" w:sz="0" w:space="0" w:color="auto"/>
        <w:left w:val="none" w:sz="0" w:space="0" w:color="auto"/>
        <w:bottom w:val="none" w:sz="0" w:space="0" w:color="auto"/>
        <w:right w:val="none" w:sz="0" w:space="0" w:color="auto"/>
      </w:divBdr>
    </w:div>
    <w:div w:id="1500926600">
      <w:bodyDiv w:val="1"/>
      <w:marLeft w:val="0"/>
      <w:marRight w:val="0"/>
      <w:marTop w:val="0"/>
      <w:marBottom w:val="0"/>
      <w:divBdr>
        <w:top w:val="none" w:sz="0" w:space="0" w:color="auto"/>
        <w:left w:val="none" w:sz="0" w:space="0" w:color="auto"/>
        <w:bottom w:val="none" w:sz="0" w:space="0" w:color="auto"/>
        <w:right w:val="none" w:sz="0" w:space="0" w:color="auto"/>
      </w:divBdr>
      <w:divsChild>
        <w:div w:id="1416364221">
          <w:marLeft w:val="480"/>
          <w:marRight w:val="0"/>
          <w:marTop w:val="0"/>
          <w:marBottom w:val="0"/>
          <w:divBdr>
            <w:top w:val="none" w:sz="0" w:space="0" w:color="auto"/>
            <w:left w:val="none" w:sz="0" w:space="0" w:color="auto"/>
            <w:bottom w:val="none" w:sz="0" w:space="0" w:color="auto"/>
            <w:right w:val="none" w:sz="0" w:space="0" w:color="auto"/>
          </w:divBdr>
        </w:div>
        <w:div w:id="1356924776">
          <w:marLeft w:val="480"/>
          <w:marRight w:val="0"/>
          <w:marTop w:val="0"/>
          <w:marBottom w:val="0"/>
          <w:divBdr>
            <w:top w:val="none" w:sz="0" w:space="0" w:color="auto"/>
            <w:left w:val="none" w:sz="0" w:space="0" w:color="auto"/>
            <w:bottom w:val="none" w:sz="0" w:space="0" w:color="auto"/>
            <w:right w:val="none" w:sz="0" w:space="0" w:color="auto"/>
          </w:divBdr>
        </w:div>
        <w:div w:id="464466424">
          <w:marLeft w:val="480"/>
          <w:marRight w:val="0"/>
          <w:marTop w:val="0"/>
          <w:marBottom w:val="0"/>
          <w:divBdr>
            <w:top w:val="none" w:sz="0" w:space="0" w:color="auto"/>
            <w:left w:val="none" w:sz="0" w:space="0" w:color="auto"/>
            <w:bottom w:val="none" w:sz="0" w:space="0" w:color="auto"/>
            <w:right w:val="none" w:sz="0" w:space="0" w:color="auto"/>
          </w:divBdr>
        </w:div>
        <w:div w:id="406727510">
          <w:marLeft w:val="480"/>
          <w:marRight w:val="0"/>
          <w:marTop w:val="0"/>
          <w:marBottom w:val="0"/>
          <w:divBdr>
            <w:top w:val="none" w:sz="0" w:space="0" w:color="auto"/>
            <w:left w:val="none" w:sz="0" w:space="0" w:color="auto"/>
            <w:bottom w:val="none" w:sz="0" w:space="0" w:color="auto"/>
            <w:right w:val="none" w:sz="0" w:space="0" w:color="auto"/>
          </w:divBdr>
        </w:div>
        <w:div w:id="308025007">
          <w:marLeft w:val="480"/>
          <w:marRight w:val="0"/>
          <w:marTop w:val="0"/>
          <w:marBottom w:val="0"/>
          <w:divBdr>
            <w:top w:val="none" w:sz="0" w:space="0" w:color="auto"/>
            <w:left w:val="none" w:sz="0" w:space="0" w:color="auto"/>
            <w:bottom w:val="none" w:sz="0" w:space="0" w:color="auto"/>
            <w:right w:val="none" w:sz="0" w:space="0" w:color="auto"/>
          </w:divBdr>
        </w:div>
        <w:div w:id="1138186850">
          <w:marLeft w:val="480"/>
          <w:marRight w:val="0"/>
          <w:marTop w:val="0"/>
          <w:marBottom w:val="0"/>
          <w:divBdr>
            <w:top w:val="none" w:sz="0" w:space="0" w:color="auto"/>
            <w:left w:val="none" w:sz="0" w:space="0" w:color="auto"/>
            <w:bottom w:val="none" w:sz="0" w:space="0" w:color="auto"/>
            <w:right w:val="none" w:sz="0" w:space="0" w:color="auto"/>
          </w:divBdr>
        </w:div>
        <w:div w:id="1985314354">
          <w:marLeft w:val="480"/>
          <w:marRight w:val="0"/>
          <w:marTop w:val="0"/>
          <w:marBottom w:val="0"/>
          <w:divBdr>
            <w:top w:val="none" w:sz="0" w:space="0" w:color="auto"/>
            <w:left w:val="none" w:sz="0" w:space="0" w:color="auto"/>
            <w:bottom w:val="none" w:sz="0" w:space="0" w:color="auto"/>
            <w:right w:val="none" w:sz="0" w:space="0" w:color="auto"/>
          </w:divBdr>
        </w:div>
        <w:div w:id="1772430436">
          <w:marLeft w:val="480"/>
          <w:marRight w:val="0"/>
          <w:marTop w:val="0"/>
          <w:marBottom w:val="0"/>
          <w:divBdr>
            <w:top w:val="none" w:sz="0" w:space="0" w:color="auto"/>
            <w:left w:val="none" w:sz="0" w:space="0" w:color="auto"/>
            <w:bottom w:val="none" w:sz="0" w:space="0" w:color="auto"/>
            <w:right w:val="none" w:sz="0" w:space="0" w:color="auto"/>
          </w:divBdr>
        </w:div>
        <w:div w:id="276103625">
          <w:marLeft w:val="480"/>
          <w:marRight w:val="0"/>
          <w:marTop w:val="0"/>
          <w:marBottom w:val="0"/>
          <w:divBdr>
            <w:top w:val="none" w:sz="0" w:space="0" w:color="auto"/>
            <w:left w:val="none" w:sz="0" w:space="0" w:color="auto"/>
            <w:bottom w:val="none" w:sz="0" w:space="0" w:color="auto"/>
            <w:right w:val="none" w:sz="0" w:space="0" w:color="auto"/>
          </w:divBdr>
        </w:div>
        <w:div w:id="166559029">
          <w:marLeft w:val="480"/>
          <w:marRight w:val="0"/>
          <w:marTop w:val="0"/>
          <w:marBottom w:val="0"/>
          <w:divBdr>
            <w:top w:val="none" w:sz="0" w:space="0" w:color="auto"/>
            <w:left w:val="none" w:sz="0" w:space="0" w:color="auto"/>
            <w:bottom w:val="none" w:sz="0" w:space="0" w:color="auto"/>
            <w:right w:val="none" w:sz="0" w:space="0" w:color="auto"/>
          </w:divBdr>
        </w:div>
        <w:div w:id="35937105">
          <w:marLeft w:val="480"/>
          <w:marRight w:val="0"/>
          <w:marTop w:val="0"/>
          <w:marBottom w:val="0"/>
          <w:divBdr>
            <w:top w:val="none" w:sz="0" w:space="0" w:color="auto"/>
            <w:left w:val="none" w:sz="0" w:space="0" w:color="auto"/>
            <w:bottom w:val="none" w:sz="0" w:space="0" w:color="auto"/>
            <w:right w:val="none" w:sz="0" w:space="0" w:color="auto"/>
          </w:divBdr>
        </w:div>
        <w:div w:id="1550724738">
          <w:marLeft w:val="480"/>
          <w:marRight w:val="0"/>
          <w:marTop w:val="0"/>
          <w:marBottom w:val="0"/>
          <w:divBdr>
            <w:top w:val="none" w:sz="0" w:space="0" w:color="auto"/>
            <w:left w:val="none" w:sz="0" w:space="0" w:color="auto"/>
            <w:bottom w:val="none" w:sz="0" w:space="0" w:color="auto"/>
            <w:right w:val="none" w:sz="0" w:space="0" w:color="auto"/>
          </w:divBdr>
        </w:div>
        <w:div w:id="964851304">
          <w:marLeft w:val="480"/>
          <w:marRight w:val="0"/>
          <w:marTop w:val="0"/>
          <w:marBottom w:val="0"/>
          <w:divBdr>
            <w:top w:val="none" w:sz="0" w:space="0" w:color="auto"/>
            <w:left w:val="none" w:sz="0" w:space="0" w:color="auto"/>
            <w:bottom w:val="none" w:sz="0" w:space="0" w:color="auto"/>
            <w:right w:val="none" w:sz="0" w:space="0" w:color="auto"/>
          </w:divBdr>
        </w:div>
        <w:div w:id="782920469">
          <w:marLeft w:val="480"/>
          <w:marRight w:val="0"/>
          <w:marTop w:val="0"/>
          <w:marBottom w:val="0"/>
          <w:divBdr>
            <w:top w:val="none" w:sz="0" w:space="0" w:color="auto"/>
            <w:left w:val="none" w:sz="0" w:space="0" w:color="auto"/>
            <w:bottom w:val="none" w:sz="0" w:space="0" w:color="auto"/>
            <w:right w:val="none" w:sz="0" w:space="0" w:color="auto"/>
          </w:divBdr>
        </w:div>
        <w:div w:id="869563267">
          <w:marLeft w:val="480"/>
          <w:marRight w:val="0"/>
          <w:marTop w:val="0"/>
          <w:marBottom w:val="0"/>
          <w:divBdr>
            <w:top w:val="none" w:sz="0" w:space="0" w:color="auto"/>
            <w:left w:val="none" w:sz="0" w:space="0" w:color="auto"/>
            <w:bottom w:val="none" w:sz="0" w:space="0" w:color="auto"/>
            <w:right w:val="none" w:sz="0" w:space="0" w:color="auto"/>
          </w:divBdr>
        </w:div>
        <w:div w:id="66536824">
          <w:marLeft w:val="480"/>
          <w:marRight w:val="0"/>
          <w:marTop w:val="0"/>
          <w:marBottom w:val="0"/>
          <w:divBdr>
            <w:top w:val="none" w:sz="0" w:space="0" w:color="auto"/>
            <w:left w:val="none" w:sz="0" w:space="0" w:color="auto"/>
            <w:bottom w:val="none" w:sz="0" w:space="0" w:color="auto"/>
            <w:right w:val="none" w:sz="0" w:space="0" w:color="auto"/>
          </w:divBdr>
        </w:div>
        <w:div w:id="992829652">
          <w:marLeft w:val="480"/>
          <w:marRight w:val="0"/>
          <w:marTop w:val="0"/>
          <w:marBottom w:val="0"/>
          <w:divBdr>
            <w:top w:val="none" w:sz="0" w:space="0" w:color="auto"/>
            <w:left w:val="none" w:sz="0" w:space="0" w:color="auto"/>
            <w:bottom w:val="none" w:sz="0" w:space="0" w:color="auto"/>
            <w:right w:val="none" w:sz="0" w:space="0" w:color="auto"/>
          </w:divBdr>
        </w:div>
      </w:divsChild>
    </w:div>
    <w:div w:id="1538392340">
      <w:bodyDiv w:val="1"/>
      <w:marLeft w:val="0"/>
      <w:marRight w:val="0"/>
      <w:marTop w:val="0"/>
      <w:marBottom w:val="0"/>
      <w:divBdr>
        <w:top w:val="none" w:sz="0" w:space="0" w:color="auto"/>
        <w:left w:val="none" w:sz="0" w:space="0" w:color="auto"/>
        <w:bottom w:val="none" w:sz="0" w:space="0" w:color="auto"/>
        <w:right w:val="none" w:sz="0" w:space="0" w:color="auto"/>
      </w:divBdr>
    </w:div>
    <w:div w:id="1550609066">
      <w:bodyDiv w:val="1"/>
      <w:marLeft w:val="0"/>
      <w:marRight w:val="0"/>
      <w:marTop w:val="0"/>
      <w:marBottom w:val="0"/>
      <w:divBdr>
        <w:top w:val="none" w:sz="0" w:space="0" w:color="auto"/>
        <w:left w:val="none" w:sz="0" w:space="0" w:color="auto"/>
        <w:bottom w:val="none" w:sz="0" w:space="0" w:color="auto"/>
        <w:right w:val="none" w:sz="0" w:space="0" w:color="auto"/>
      </w:divBdr>
      <w:divsChild>
        <w:div w:id="339621761">
          <w:marLeft w:val="0"/>
          <w:marRight w:val="0"/>
          <w:marTop w:val="0"/>
          <w:marBottom w:val="0"/>
          <w:divBdr>
            <w:top w:val="none" w:sz="0" w:space="0" w:color="auto"/>
            <w:left w:val="none" w:sz="0" w:space="0" w:color="auto"/>
            <w:bottom w:val="none" w:sz="0" w:space="0" w:color="auto"/>
            <w:right w:val="none" w:sz="0" w:space="0" w:color="auto"/>
          </w:divBdr>
          <w:divsChild>
            <w:div w:id="1609317974">
              <w:marLeft w:val="0"/>
              <w:marRight w:val="0"/>
              <w:marTop w:val="0"/>
              <w:marBottom w:val="0"/>
              <w:divBdr>
                <w:top w:val="none" w:sz="0" w:space="0" w:color="auto"/>
                <w:left w:val="none" w:sz="0" w:space="0" w:color="auto"/>
                <w:bottom w:val="none" w:sz="0" w:space="0" w:color="auto"/>
                <w:right w:val="none" w:sz="0" w:space="0" w:color="auto"/>
              </w:divBdr>
              <w:divsChild>
                <w:div w:id="56164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859588">
      <w:bodyDiv w:val="1"/>
      <w:marLeft w:val="0"/>
      <w:marRight w:val="0"/>
      <w:marTop w:val="0"/>
      <w:marBottom w:val="0"/>
      <w:divBdr>
        <w:top w:val="none" w:sz="0" w:space="0" w:color="auto"/>
        <w:left w:val="none" w:sz="0" w:space="0" w:color="auto"/>
        <w:bottom w:val="none" w:sz="0" w:space="0" w:color="auto"/>
        <w:right w:val="none" w:sz="0" w:space="0" w:color="auto"/>
      </w:divBdr>
    </w:div>
    <w:div w:id="1685472626">
      <w:bodyDiv w:val="1"/>
      <w:marLeft w:val="0"/>
      <w:marRight w:val="0"/>
      <w:marTop w:val="0"/>
      <w:marBottom w:val="0"/>
      <w:divBdr>
        <w:top w:val="none" w:sz="0" w:space="0" w:color="auto"/>
        <w:left w:val="none" w:sz="0" w:space="0" w:color="auto"/>
        <w:bottom w:val="none" w:sz="0" w:space="0" w:color="auto"/>
        <w:right w:val="none" w:sz="0" w:space="0" w:color="auto"/>
      </w:divBdr>
    </w:div>
    <w:div w:id="1737824798">
      <w:bodyDiv w:val="1"/>
      <w:marLeft w:val="0"/>
      <w:marRight w:val="0"/>
      <w:marTop w:val="0"/>
      <w:marBottom w:val="0"/>
      <w:divBdr>
        <w:top w:val="none" w:sz="0" w:space="0" w:color="auto"/>
        <w:left w:val="none" w:sz="0" w:space="0" w:color="auto"/>
        <w:bottom w:val="none" w:sz="0" w:space="0" w:color="auto"/>
        <w:right w:val="none" w:sz="0" w:space="0" w:color="auto"/>
      </w:divBdr>
    </w:div>
    <w:div w:id="1742410887">
      <w:bodyDiv w:val="1"/>
      <w:marLeft w:val="0"/>
      <w:marRight w:val="0"/>
      <w:marTop w:val="0"/>
      <w:marBottom w:val="0"/>
      <w:divBdr>
        <w:top w:val="none" w:sz="0" w:space="0" w:color="auto"/>
        <w:left w:val="none" w:sz="0" w:space="0" w:color="auto"/>
        <w:bottom w:val="none" w:sz="0" w:space="0" w:color="auto"/>
        <w:right w:val="none" w:sz="0" w:space="0" w:color="auto"/>
      </w:divBdr>
      <w:divsChild>
        <w:div w:id="1416316359">
          <w:marLeft w:val="480"/>
          <w:marRight w:val="0"/>
          <w:marTop w:val="0"/>
          <w:marBottom w:val="0"/>
          <w:divBdr>
            <w:top w:val="none" w:sz="0" w:space="0" w:color="auto"/>
            <w:left w:val="none" w:sz="0" w:space="0" w:color="auto"/>
            <w:bottom w:val="none" w:sz="0" w:space="0" w:color="auto"/>
            <w:right w:val="none" w:sz="0" w:space="0" w:color="auto"/>
          </w:divBdr>
        </w:div>
        <w:div w:id="155727666">
          <w:marLeft w:val="480"/>
          <w:marRight w:val="0"/>
          <w:marTop w:val="0"/>
          <w:marBottom w:val="0"/>
          <w:divBdr>
            <w:top w:val="none" w:sz="0" w:space="0" w:color="auto"/>
            <w:left w:val="none" w:sz="0" w:space="0" w:color="auto"/>
            <w:bottom w:val="none" w:sz="0" w:space="0" w:color="auto"/>
            <w:right w:val="none" w:sz="0" w:space="0" w:color="auto"/>
          </w:divBdr>
        </w:div>
        <w:div w:id="253322854">
          <w:marLeft w:val="480"/>
          <w:marRight w:val="0"/>
          <w:marTop w:val="0"/>
          <w:marBottom w:val="0"/>
          <w:divBdr>
            <w:top w:val="none" w:sz="0" w:space="0" w:color="auto"/>
            <w:left w:val="none" w:sz="0" w:space="0" w:color="auto"/>
            <w:bottom w:val="none" w:sz="0" w:space="0" w:color="auto"/>
            <w:right w:val="none" w:sz="0" w:space="0" w:color="auto"/>
          </w:divBdr>
        </w:div>
        <w:div w:id="1853183129">
          <w:marLeft w:val="480"/>
          <w:marRight w:val="0"/>
          <w:marTop w:val="0"/>
          <w:marBottom w:val="0"/>
          <w:divBdr>
            <w:top w:val="none" w:sz="0" w:space="0" w:color="auto"/>
            <w:left w:val="none" w:sz="0" w:space="0" w:color="auto"/>
            <w:bottom w:val="none" w:sz="0" w:space="0" w:color="auto"/>
            <w:right w:val="none" w:sz="0" w:space="0" w:color="auto"/>
          </w:divBdr>
        </w:div>
        <w:div w:id="315643642">
          <w:marLeft w:val="480"/>
          <w:marRight w:val="0"/>
          <w:marTop w:val="0"/>
          <w:marBottom w:val="0"/>
          <w:divBdr>
            <w:top w:val="none" w:sz="0" w:space="0" w:color="auto"/>
            <w:left w:val="none" w:sz="0" w:space="0" w:color="auto"/>
            <w:bottom w:val="none" w:sz="0" w:space="0" w:color="auto"/>
            <w:right w:val="none" w:sz="0" w:space="0" w:color="auto"/>
          </w:divBdr>
        </w:div>
        <w:div w:id="1695154424">
          <w:marLeft w:val="480"/>
          <w:marRight w:val="0"/>
          <w:marTop w:val="0"/>
          <w:marBottom w:val="0"/>
          <w:divBdr>
            <w:top w:val="none" w:sz="0" w:space="0" w:color="auto"/>
            <w:left w:val="none" w:sz="0" w:space="0" w:color="auto"/>
            <w:bottom w:val="none" w:sz="0" w:space="0" w:color="auto"/>
            <w:right w:val="none" w:sz="0" w:space="0" w:color="auto"/>
          </w:divBdr>
        </w:div>
        <w:div w:id="868419995">
          <w:marLeft w:val="480"/>
          <w:marRight w:val="0"/>
          <w:marTop w:val="0"/>
          <w:marBottom w:val="0"/>
          <w:divBdr>
            <w:top w:val="none" w:sz="0" w:space="0" w:color="auto"/>
            <w:left w:val="none" w:sz="0" w:space="0" w:color="auto"/>
            <w:bottom w:val="none" w:sz="0" w:space="0" w:color="auto"/>
            <w:right w:val="none" w:sz="0" w:space="0" w:color="auto"/>
          </w:divBdr>
        </w:div>
        <w:div w:id="82069038">
          <w:marLeft w:val="480"/>
          <w:marRight w:val="0"/>
          <w:marTop w:val="0"/>
          <w:marBottom w:val="0"/>
          <w:divBdr>
            <w:top w:val="none" w:sz="0" w:space="0" w:color="auto"/>
            <w:left w:val="none" w:sz="0" w:space="0" w:color="auto"/>
            <w:bottom w:val="none" w:sz="0" w:space="0" w:color="auto"/>
            <w:right w:val="none" w:sz="0" w:space="0" w:color="auto"/>
          </w:divBdr>
        </w:div>
        <w:div w:id="2125998274">
          <w:marLeft w:val="480"/>
          <w:marRight w:val="0"/>
          <w:marTop w:val="0"/>
          <w:marBottom w:val="0"/>
          <w:divBdr>
            <w:top w:val="none" w:sz="0" w:space="0" w:color="auto"/>
            <w:left w:val="none" w:sz="0" w:space="0" w:color="auto"/>
            <w:bottom w:val="none" w:sz="0" w:space="0" w:color="auto"/>
            <w:right w:val="none" w:sz="0" w:space="0" w:color="auto"/>
          </w:divBdr>
        </w:div>
        <w:div w:id="1059860308">
          <w:marLeft w:val="480"/>
          <w:marRight w:val="0"/>
          <w:marTop w:val="0"/>
          <w:marBottom w:val="0"/>
          <w:divBdr>
            <w:top w:val="none" w:sz="0" w:space="0" w:color="auto"/>
            <w:left w:val="none" w:sz="0" w:space="0" w:color="auto"/>
            <w:bottom w:val="none" w:sz="0" w:space="0" w:color="auto"/>
            <w:right w:val="none" w:sz="0" w:space="0" w:color="auto"/>
          </w:divBdr>
        </w:div>
        <w:div w:id="823739800">
          <w:marLeft w:val="480"/>
          <w:marRight w:val="0"/>
          <w:marTop w:val="0"/>
          <w:marBottom w:val="0"/>
          <w:divBdr>
            <w:top w:val="none" w:sz="0" w:space="0" w:color="auto"/>
            <w:left w:val="none" w:sz="0" w:space="0" w:color="auto"/>
            <w:bottom w:val="none" w:sz="0" w:space="0" w:color="auto"/>
            <w:right w:val="none" w:sz="0" w:space="0" w:color="auto"/>
          </w:divBdr>
        </w:div>
        <w:div w:id="1839270758">
          <w:marLeft w:val="480"/>
          <w:marRight w:val="0"/>
          <w:marTop w:val="0"/>
          <w:marBottom w:val="0"/>
          <w:divBdr>
            <w:top w:val="none" w:sz="0" w:space="0" w:color="auto"/>
            <w:left w:val="none" w:sz="0" w:space="0" w:color="auto"/>
            <w:bottom w:val="none" w:sz="0" w:space="0" w:color="auto"/>
            <w:right w:val="none" w:sz="0" w:space="0" w:color="auto"/>
          </w:divBdr>
        </w:div>
        <w:div w:id="1329288596">
          <w:marLeft w:val="480"/>
          <w:marRight w:val="0"/>
          <w:marTop w:val="0"/>
          <w:marBottom w:val="0"/>
          <w:divBdr>
            <w:top w:val="none" w:sz="0" w:space="0" w:color="auto"/>
            <w:left w:val="none" w:sz="0" w:space="0" w:color="auto"/>
            <w:bottom w:val="none" w:sz="0" w:space="0" w:color="auto"/>
            <w:right w:val="none" w:sz="0" w:space="0" w:color="auto"/>
          </w:divBdr>
        </w:div>
        <w:div w:id="742289882">
          <w:marLeft w:val="480"/>
          <w:marRight w:val="0"/>
          <w:marTop w:val="0"/>
          <w:marBottom w:val="0"/>
          <w:divBdr>
            <w:top w:val="none" w:sz="0" w:space="0" w:color="auto"/>
            <w:left w:val="none" w:sz="0" w:space="0" w:color="auto"/>
            <w:bottom w:val="none" w:sz="0" w:space="0" w:color="auto"/>
            <w:right w:val="none" w:sz="0" w:space="0" w:color="auto"/>
          </w:divBdr>
        </w:div>
      </w:divsChild>
    </w:div>
    <w:div w:id="1761027925">
      <w:bodyDiv w:val="1"/>
      <w:marLeft w:val="0"/>
      <w:marRight w:val="0"/>
      <w:marTop w:val="0"/>
      <w:marBottom w:val="0"/>
      <w:divBdr>
        <w:top w:val="none" w:sz="0" w:space="0" w:color="auto"/>
        <w:left w:val="none" w:sz="0" w:space="0" w:color="auto"/>
        <w:bottom w:val="none" w:sz="0" w:space="0" w:color="auto"/>
        <w:right w:val="none" w:sz="0" w:space="0" w:color="auto"/>
      </w:divBdr>
    </w:div>
    <w:div w:id="1763066956">
      <w:bodyDiv w:val="1"/>
      <w:marLeft w:val="0"/>
      <w:marRight w:val="0"/>
      <w:marTop w:val="0"/>
      <w:marBottom w:val="0"/>
      <w:divBdr>
        <w:top w:val="none" w:sz="0" w:space="0" w:color="auto"/>
        <w:left w:val="none" w:sz="0" w:space="0" w:color="auto"/>
        <w:bottom w:val="none" w:sz="0" w:space="0" w:color="auto"/>
        <w:right w:val="none" w:sz="0" w:space="0" w:color="auto"/>
      </w:divBdr>
    </w:div>
    <w:div w:id="1779450957">
      <w:bodyDiv w:val="1"/>
      <w:marLeft w:val="0"/>
      <w:marRight w:val="0"/>
      <w:marTop w:val="0"/>
      <w:marBottom w:val="0"/>
      <w:divBdr>
        <w:top w:val="none" w:sz="0" w:space="0" w:color="auto"/>
        <w:left w:val="none" w:sz="0" w:space="0" w:color="auto"/>
        <w:bottom w:val="none" w:sz="0" w:space="0" w:color="auto"/>
        <w:right w:val="none" w:sz="0" w:space="0" w:color="auto"/>
      </w:divBdr>
      <w:divsChild>
        <w:div w:id="1055084580">
          <w:marLeft w:val="480"/>
          <w:marRight w:val="0"/>
          <w:marTop w:val="0"/>
          <w:marBottom w:val="0"/>
          <w:divBdr>
            <w:top w:val="none" w:sz="0" w:space="0" w:color="auto"/>
            <w:left w:val="none" w:sz="0" w:space="0" w:color="auto"/>
            <w:bottom w:val="none" w:sz="0" w:space="0" w:color="auto"/>
            <w:right w:val="none" w:sz="0" w:space="0" w:color="auto"/>
          </w:divBdr>
        </w:div>
        <w:div w:id="95104666">
          <w:marLeft w:val="480"/>
          <w:marRight w:val="0"/>
          <w:marTop w:val="0"/>
          <w:marBottom w:val="0"/>
          <w:divBdr>
            <w:top w:val="none" w:sz="0" w:space="0" w:color="auto"/>
            <w:left w:val="none" w:sz="0" w:space="0" w:color="auto"/>
            <w:bottom w:val="none" w:sz="0" w:space="0" w:color="auto"/>
            <w:right w:val="none" w:sz="0" w:space="0" w:color="auto"/>
          </w:divBdr>
        </w:div>
        <w:div w:id="1874079172">
          <w:marLeft w:val="480"/>
          <w:marRight w:val="0"/>
          <w:marTop w:val="0"/>
          <w:marBottom w:val="0"/>
          <w:divBdr>
            <w:top w:val="none" w:sz="0" w:space="0" w:color="auto"/>
            <w:left w:val="none" w:sz="0" w:space="0" w:color="auto"/>
            <w:bottom w:val="none" w:sz="0" w:space="0" w:color="auto"/>
            <w:right w:val="none" w:sz="0" w:space="0" w:color="auto"/>
          </w:divBdr>
        </w:div>
        <w:div w:id="1554852940">
          <w:marLeft w:val="480"/>
          <w:marRight w:val="0"/>
          <w:marTop w:val="0"/>
          <w:marBottom w:val="0"/>
          <w:divBdr>
            <w:top w:val="none" w:sz="0" w:space="0" w:color="auto"/>
            <w:left w:val="none" w:sz="0" w:space="0" w:color="auto"/>
            <w:bottom w:val="none" w:sz="0" w:space="0" w:color="auto"/>
            <w:right w:val="none" w:sz="0" w:space="0" w:color="auto"/>
          </w:divBdr>
        </w:div>
        <w:div w:id="1719821929">
          <w:marLeft w:val="480"/>
          <w:marRight w:val="0"/>
          <w:marTop w:val="0"/>
          <w:marBottom w:val="0"/>
          <w:divBdr>
            <w:top w:val="none" w:sz="0" w:space="0" w:color="auto"/>
            <w:left w:val="none" w:sz="0" w:space="0" w:color="auto"/>
            <w:bottom w:val="none" w:sz="0" w:space="0" w:color="auto"/>
            <w:right w:val="none" w:sz="0" w:space="0" w:color="auto"/>
          </w:divBdr>
        </w:div>
        <w:div w:id="1889032746">
          <w:marLeft w:val="480"/>
          <w:marRight w:val="0"/>
          <w:marTop w:val="0"/>
          <w:marBottom w:val="0"/>
          <w:divBdr>
            <w:top w:val="none" w:sz="0" w:space="0" w:color="auto"/>
            <w:left w:val="none" w:sz="0" w:space="0" w:color="auto"/>
            <w:bottom w:val="none" w:sz="0" w:space="0" w:color="auto"/>
            <w:right w:val="none" w:sz="0" w:space="0" w:color="auto"/>
          </w:divBdr>
        </w:div>
        <w:div w:id="358893746">
          <w:marLeft w:val="480"/>
          <w:marRight w:val="0"/>
          <w:marTop w:val="0"/>
          <w:marBottom w:val="0"/>
          <w:divBdr>
            <w:top w:val="none" w:sz="0" w:space="0" w:color="auto"/>
            <w:left w:val="none" w:sz="0" w:space="0" w:color="auto"/>
            <w:bottom w:val="none" w:sz="0" w:space="0" w:color="auto"/>
            <w:right w:val="none" w:sz="0" w:space="0" w:color="auto"/>
          </w:divBdr>
        </w:div>
        <w:div w:id="1840271675">
          <w:marLeft w:val="480"/>
          <w:marRight w:val="0"/>
          <w:marTop w:val="0"/>
          <w:marBottom w:val="0"/>
          <w:divBdr>
            <w:top w:val="none" w:sz="0" w:space="0" w:color="auto"/>
            <w:left w:val="none" w:sz="0" w:space="0" w:color="auto"/>
            <w:bottom w:val="none" w:sz="0" w:space="0" w:color="auto"/>
            <w:right w:val="none" w:sz="0" w:space="0" w:color="auto"/>
          </w:divBdr>
        </w:div>
        <w:div w:id="1697850227">
          <w:marLeft w:val="480"/>
          <w:marRight w:val="0"/>
          <w:marTop w:val="0"/>
          <w:marBottom w:val="0"/>
          <w:divBdr>
            <w:top w:val="none" w:sz="0" w:space="0" w:color="auto"/>
            <w:left w:val="none" w:sz="0" w:space="0" w:color="auto"/>
            <w:bottom w:val="none" w:sz="0" w:space="0" w:color="auto"/>
            <w:right w:val="none" w:sz="0" w:space="0" w:color="auto"/>
          </w:divBdr>
        </w:div>
        <w:div w:id="2020933907">
          <w:marLeft w:val="480"/>
          <w:marRight w:val="0"/>
          <w:marTop w:val="0"/>
          <w:marBottom w:val="0"/>
          <w:divBdr>
            <w:top w:val="none" w:sz="0" w:space="0" w:color="auto"/>
            <w:left w:val="none" w:sz="0" w:space="0" w:color="auto"/>
            <w:bottom w:val="none" w:sz="0" w:space="0" w:color="auto"/>
            <w:right w:val="none" w:sz="0" w:space="0" w:color="auto"/>
          </w:divBdr>
        </w:div>
        <w:div w:id="975600300">
          <w:marLeft w:val="480"/>
          <w:marRight w:val="0"/>
          <w:marTop w:val="0"/>
          <w:marBottom w:val="0"/>
          <w:divBdr>
            <w:top w:val="none" w:sz="0" w:space="0" w:color="auto"/>
            <w:left w:val="none" w:sz="0" w:space="0" w:color="auto"/>
            <w:bottom w:val="none" w:sz="0" w:space="0" w:color="auto"/>
            <w:right w:val="none" w:sz="0" w:space="0" w:color="auto"/>
          </w:divBdr>
        </w:div>
        <w:div w:id="1168330542">
          <w:marLeft w:val="480"/>
          <w:marRight w:val="0"/>
          <w:marTop w:val="0"/>
          <w:marBottom w:val="0"/>
          <w:divBdr>
            <w:top w:val="none" w:sz="0" w:space="0" w:color="auto"/>
            <w:left w:val="none" w:sz="0" w:space="0" w:color="auto"/>
            <w:bottom w:val="none" w:sz="0" w:space="0" w:color="auto"/>
            <w:right w:val="none" w:sz="0" w:space="0" w:color="auto"/>
          </w:divBdr>
        </w:div>
        <w:div w:id="1044603239">
          <w:marLeft w:val="480"/>
          <w:marRight w:val="0"/>
          <w:marTop w:val="0"/>
          <w:marBottom w:val="0"/>
          <w:divBdr>
            <w:top w:val="none" w:sz="0" w:space="0" w:color="auto"/>
            <w:left w:val="none" w:sz="0" w:space="0" w:color="auto"/>
            <w:bottom w:val="none" w:sz="0" w:space="0" w:color="auto"/>
            <w:right w:val="none" w:sz="0" w:space="0" w:color="auto"/>
          </w:divBdr>
        </w:div>
        <w:div w:id="1184661342">
          <w:marLeft w:val="480"/>
          <w:marRight w:val="0"/>
          <w:marTop w:val="0"/>
          <w:marBottom w:val="0"/>
          <w:divBdr>
            <w:top w:val="none" w:sz="0" w:space="0" w:color="auto"/>
            <w:left w:val="none" w:sz="0" w:space="0" w:color="auto"/>
            <w:bottom w:val="none" w:sz="0" w:space="0" w:color="auto"/>
            <w:right w:val="none" w:sz="0" w:space="0" w:color="auto"/>
          </w:divBdr>
        </w:div>
        <w:div w:id="1562522834">
          <w:marLeft w:val="480"/>
          <w:marRight w:val="0"/>
          <w:marTop w:val="0"/>
          <w:marBottom w:val="0"/>
          <w:divBdr>
            <w:top w:val="none" w:sz="0" w:space="0" w:color="auto"/>
            <w:left w:val="none" w:sz="0" w:space="0" w:color="auto"/>
            <w:bottom w:val="none" w:sz="0" w:space="0" w:color="auto"/>
            <w:right w:val="none" w:sz="0" w:space="0" w:color="auto"/>
          </w:divBdr>
        </w:div>
        <w:div w:id="78866992">
          <w:marLeft w:val="480"/>
          <w:marRight w:val="0"/>
          <w:marTop w:val="0"/>
          <w:marBottom w:val="0"/>
          <w:divBdr>
            <w:top w:val="none" w:sz="0" w:space="0" w:color="auto"/>
            <w:left w:val="none" w:sz="0" w:space="0" w:color="auto"/>
            <w:bottom w:val="none" w:sz="0" w:space="0" w:color="auto"/>
            <w:right w:val="none" w:sz="0" w:space="0" w:color="auto"/>
          </w:divBdr>
        </w:div>
      </w:divsChild>
    </w:div>
    <w:div w:id="1783574719">
      <w:bodyDiv w:val="1"/>
      <w:marLeft w:val="0"/>
      <w:marRight w:val="0"/>
      <w:marTop w:val="0"/>
      <w:marBottom w:val="0"/>
      <w:divBdr>
        <w:top w:val="none" w:sz="0" w:space="0" w:color="auto"/>
        <w:left w:val="none" w:sz="0" w:space="0" w:color="auto"/>
        <w:bottom w:val="none" w:sz="0" w:space="0" w:color="auto"/>
        <w:right w:val="none" w:sz="0" w:space="0" w:color="auto"/>
      </w:divBdr>
      <w:divsChild>
        <w:div w:id="1172725386">
          <w:marLeft w:val="274"/>
          <w:marRight w:val="0"/>
          <w:marTop w:val="0"/>
          <w:marBottom w:val="0"/>
          <w:divBdr>
            <w:top w:val="none" w:sz="0" w:space="0" w:color="auto"/>
            <w:left w:val="none" w:sz="0" w:space="0" w:color="auto"/>
            <w:bottom w:val="none" w:sz="0" w:space="0" w:color="auto"/>
            <w:right w:val="none" w:sz="0" w:space="0" w:color="auto"/>
          </w:divBdr>
        </w:div>
        <w:div w:id="1387028227">
          <w:marLeft w:val="274"/>
          <w:marRight w:val="0"/>
          <w:marTop w:val="0"/>
          <w:marBottom w:val="0"/>
          <w:divBdr>
            <w:top w:val="none" w:sz="0" w:space="0" w:color="auto"/>
            <w:left w:val="none" w:sz="0" w:space="0" w:color="auto"/>
            <w:bottom w:val="none" w:sz="0" w:space="0" w:color="auto"/>
            <w:right w:val="none" w:sz="0" w:space="0" w:color="auto"/>
          </w:divBdr>
        </w:div>
        <w:div w:id="1909533341">
          <w:marLeft w:val="274"/>
          <w:marRight w:val="0"/>
          <w:marTop w:val="0"/>
          <w:marBottom w:val="0"/>
          <w:divBdr>
            <w:top w:val="none" w:sz="0" w:space="0" w:color="auto"/>
            <w:left w:val="none" w:sz="0" w:space="0" w:color="auto"/>
            <w:bottom w:val="none" w:sz="0" w:space="0" w:color="auto"/>
            <w:right w:val="none" w:sz="0" w:space="0" w:color="auto"/>
          </w:divBdr>
        </w:div>
      </w:divsChild>
    </w:div>
    <w:div w:id="1787045666">
      <w:bodyDiv w:val="1"/>
      <w:marLeft w:val="0"/>
      <w:marRight w:val="0"/>
      <w:marTop w:val="0"/>
      <w:marBottom w:val="0"/>
      <w:divBdr>
        <w:top w:val="none" w:sz="0" w:space="0" w:color="auto"/>
        <w:left w:val="none" w:sz="0" w:space="0" w:color="auto"/>
        <w:bottom w:val="none" w:sz="0" w:space="0" w:color="auto"/>
        <w:right w:val="none" w:sz="0" w:space="0" w:color="auto"/>
      </w:divBdr>
    </w:div>
    <w:div w:id="1794321191">
      <w:bodyDiv w:val="1"/>
      <w:marLeft w:val="0"/>
      <w:marRight w:val="0"/>
      <w:marTop w:val="0"/>
      <w:marBottom w:val="0"/>
      <w:divBdr>
        <w:top w:val="none" w:sz="0" w:space="0" w:color="auto"/>
        <w:left w:val="none" w:sz="0" w:space="0" w:color="auto"/>
        <w:bottom w:val="none" w:sz="0" w:space="0" w:color="auto"/>
        <w:right w:val="none" w:sz="0" w:space="0" w:color="auto"/>
      </w:divBdr>
      <w:divsChild>
        <w:div w:id="1197961202">
          <w:marLeft w:val="480"/>
          <w:marRight w:val="0"/>
          <w:marTop w:val="0"/>
          <w:marBottom w:val="0"/>
          <w:divBdr>
            <w:top w:val="none" w:sz="0" w:space="0" w:color="auto"/>
            <w:left w:val="none" w:sz="0" w:space="0" w:color="auto"/>
            <w:bottom w:val="none" w:sz="0" w:space="0" w:color="auto"/>
            <w:right w:val="none" w:sz="0" w:space="0" w:color="auto"/>
          </w:divBdr>
        </w:div>
        <w:div w:id="1315455434">
          <w:marLeft w:val="480"/>
          <w:marRight w:val="0"/>
          <w:marTop w:val="0"/>
          <w:marBottom w:val="0"/>
          <w:divBdr>
            <w:top w:val="none" w:sz="0" w:space="0" w:color="auto"/>
            <w:left w:val="none" w:sz="0" w:space="0" w:color="auto"/>
            <w:bottom w:val="none" w:sz="0" w:space="0" w:color="auto"/>
            <w:right w:val="none" w:sz="0" w:space="0" w:color="auto"/>
          </w:divBdr>
        </w:div>
        <w:div w:id="1855611318">
          <w:marLeft w:val="480"/>
          <w:marRight w:val="0"/>
          <w:marTop w:val="0"/>
          <w:marBottom w:val="0"/>
          <w:divBdr>
            <w:top w:val="none" w:sz="0" w:space="0" w:color="auto"/>
            <w:left w:val="none" w:sz="0" w:space="0" w:color="auto"/>
            <w:bottom w:val="none" w:sz="0" w:space="0" w:color="auto"/>
            <w:right w:val="none" w:sz="0" w:space="0" w:color="auto"/>
          </w:divBdr>
        </w:div>
        <w:div w:id="416361724">
          <w:marLeft w:val="480"/>
          <w:marRight w:val="0"/>
          <w:marTop w:val="0"/>
          <w:marBottom w:val="0"/>
          <w:divBdr>
            <w:top w:val="none" w:sz="0" w:space="0" w:color="auto"/>
            <w:left w:val="none" w:sz="0" w:space="0" w:color="auto"/>
            <w:bottom w:val="none" w:sz="0" w:space="0" w:color="auto"/>
            <w:right w:val="none" w:sz="0" w:space="0" w:color="auto"/>
          </w:divBdr>
        </w:div>
        <w:div w:id="1433819168">
          <w:marLeft w:val="480"/>
          <w:marRight w:val="0"/>
          <w:marTop w:val="0"/>
          <w:marBottom w:val="0"/>
          <w:divBdr>
            <w:top w:val="none" w:sz="0" w:space="0" w:color="auto"/>
            <w:left w:val="none" w:sz="0" w:space="0" w:color="auto"/>
            <w:bottom w:val="none" w:sz="0" w:space="0" w:color="auto"/>
            <w:right w:val="none" w:sz="0" w:space="0" w:color="auto"/>
          </w:divBdr>
        </w:div>
        <w:div w:id="1596592260">
          <w:marLeft w:val="480"/>
          <w:marRight w:val="0"/>
          <w:marTop w:val="0"/>
          <w:marBottom w:val="0"/>
          <w:divBdr>
            <w:top w:val="none" w:sz="0" w:space="0" w:color="auto"/>
            <w:left w:val="none" w:sz="0" w:space="0" w:color="auto"/>
            <w:bottom w:val="none" w:sz="0" w:space="0" w:color="auto"/>
            <w:right w:val="none" w:sz="0" w:space="0" w:color="auto"/>
          </w:divBdr>
        </w:div>
        <w:div w:id="597982511">
          <w:marLeft w:val="480"/>
          <w:marRight w:val="0"/>
          <w:marTop w:val="0"/>
          <w:marBottom w:val="0"/>
          <w:divBdr>
            <w:top w:val="none" w:sz="0" w:space="0" w:color="auto"/>
            <w:left w:val="none" w:sz="0" w:space="0" w:color="auto"/>
            <w:bottom w:val="none" w:sz="0" w:space="0" w:color="auto"/>
            <w:right w:val="none" w:sz="0" w:space="0" w:color="auto"/>
          </w:divBdr>
        </w:div>
        <w:div w:id="345595756">
          <w:marLeft w:val="480"/>
          <w:marRight w:val="0"/>
          <w:marTop w:val="0"/>
          <w:marBottom w:val="0"/>
          <w:divBdr>
            <w:top w:val="none" w:sz="0" w:space="0" w:color="auto"/>
            <w:left w:val="none" w:sz="0" w:space="0" w:color="auto"/>
            <w:bottom w:val="none" w:sz="0" w:space="0" w:color="auto"/>
            <w:right w:val="none" w:sz="0" w:space="0" w:color="auto"/>
          </w:divBdr>
        </w:div>
        <w:div w:id="1713841642">
          <w:marLeft w:val="480"/>
          <w:marRight w:val="0"/>
          <w:marTop w:val="0"/>
          <w:marBottom w:val="0"/>
          <w:divBdr>
            <w:top w:val="none" w:sz="0" w:space="0" w:color="auto"/>
            <w:left w:val="none" w:sz="0" w:space="0" w:color="auto"/>
            <w:bottom w:val="none" w:sz="0" w:space="0" w:color="auto"/>
            <w:right w:val="none" w:sz="0" w:space="0" w:color="auto"/>
          </w:divBdr>
        </w:div>
        <w:div w:id="101850625">
          <w:marLeft w:val="480"/>
          <w:marRight w:val="0"/>
          <w:marTop w:val="0"/>
          <w:marBottom w:val="0"/>
          <w:divBdr>
            <w:top w:val="none" w:sz="0" w:space="0" w:color="auto"/>
            <w:left w:val="none" w:sz="0" w:space="0" w:color="auto"/>
            <w:bottom w:val="none" w:sz="0" w:space="0" w:color="auto"/>
            <w:right w:val="none" w:sz="0" w:space="0" w:color="auto"/>
          </w:divBdr>
        </w:div>
        <w:div w:id="289286469">
          <w:marLeft w:val="480"/>
          <w:marRight w:val="0"/>
          <w:marTop w:val="0"/>
          <w:marBottom w:val="0"/>
          <w:divBdr>
            <w:top w:val="none" w:sz="0" w:space="0" w:color="auto"/>
            <w:left w:val="none" w:sz="0" w:space="0" w:color="auto"/>
            <w:bottom w:val="none" w:sz="0" w:space="0" w:color="auto"/>
            <w:right w:val="none" w:sz="0" w:space="0" w:color="auto"/>
          </w:divBdr>
        </w:div>
        <w:div w:id="1439761214">
          <w:marLeft w:val="480"/>
          <w:marRight w:val="0"/>
          <w:marTop w:val="0"/>
          <w:marBottom w:val="0"/>
          <w:divBdr>
            <w:top w:val="none" w:sz="0" w:space="0" w:color="auto"/>
            <w:left w:val="none" w:sz="0" w:space="0" w:color="auto"/>
            <w:bottom w:val="none" w:sz="0" w:space="0" w:color="auto"/>
            <w:right w:val="none" w:sz="0" w:space="0" w:color="auto"/>
          </w:divBdr>
        </w:div>
        <w:div w:id="1670256056">
          <w:marLeft w:val="480"/>
          <w:marRight w:val="0"/>
          <w:marTop w:val="0"/>
          <w:marBottom w:val="0"/>
          <w:divBdr>
            <w:top w:val="none" w:sz="0" w:space="0" w:color="auto"/>
            <w:left w:val="none" w:sz="0" w:space="0" w:color="auto"/>
            <w:bottom w:val="none" w:sz="0" w:space="0" w:color="auto"/>
            <w:right w:val="none" w:sz="0" w:space="0" w:color="auto"/>
          </w:divBdr>
        </w:div>
        <w:div w:id="1345939939">
          <w:marLeft w:val="480"/>
          <w:marRight w:val="0"/>
          <w:marTop w:val="0"/>
          <w:marBottom w:val="0"/>
          <w:divBdr>
            <w:top w:val="none" w:sz="0" w:space="0" w:color="auto"/>
            <w:left w:val="none" w:sz="0" w:space="0" w:color="auto"/>
            <w:bottom w:val="none" w:sz="0" w:space="0" w:color="auto"/>
            <w:right w:val="none" w:sz="0" w:space="0" w:color="auto"/>
          </w:divBdr>
        </w:div>
        <w:div w:id="1103846278">
          <w:marLeft w:val="480"/>
          <w:marRight w:val="0"/>
          <w:marTop w:val="0"/>
          <w:marBottom w:val="0"/>
          <w:divBdr>
            <w:top w:val="none" w:sz="0" w:space="0" w:color="auto"/>
            <w:left w:val="none" w:sz="0" w:space="0" w:color="auto"/>
            <w:bottom w:val="none" w:sz="0" w:space="0" w:color="auto"/>
            <w:right w:val="none" w:sz="0" w:space="0" w:color="auto"/>
          </w:divBdr>
        </w:div>
        <w:div w:id="1293362384">
          <w:marLeft w:val="480"/>
          <w:marRight w:val="0"/>
          <w:marTop w:val="0"/>
          <w:marBottom w:val="0"/>
          <w:divBdr>
            <w:top w:val="none" w:sz="0" w:space="0" w:color="auto"/>
            <w:left w:val="none" w:sz="0" w:space="0" w:color="auto"/>
            <w:bottom w:val="none" w:sz="0" w:space="0" w:color="auto"/>
            <w:right w:val="none" w:sz="0" w:space="0" w:color="auto"/>
          </w:divBdr>
        </w:div>
        <w:div w:id="1189488152">
          <w:marLeft w:val="480"/>
          <w:marRight w:val="0"/>
          <w:marTop w:val="0"/>
          <w:marBottom w:val="0"/>
          <w:divBdr>
            <w:top w:val="none" w:sz="0" w:space="0" w:color="auto"/>
            <w:left w:val="none" w:sz="0" w:space="0" w:color="auto"/>
            <w:bottom w:val="none" w:sz="0" w:space="0" w:color="auto"/>
            <w:right w:val="none" w:sz="0" w:space="0" w:color="auto"/>
          </w:divBdr>
        </w:div>
        <w:div w:id="2032098219">
          <w:marLeft w:val="480"/>
          <w:marRight w:val="0"/>
          <w:marTop w:val="0"/>
          <w:marBottom w:val="0"/>
          <w:divBdr>
            <w:top w:val="none" w:sz="0" w:space="0" w:color="auto"/>
            <w:left w:val="none" w:sz="0" w:space="0" w:color="auto"/>
            <w:bottom w:val="none" w:sz="0" w:space="0" w:color="auto"/>
            <w:right w:val="none" w:sz="0" w:space="0" w:color="auto"/>
          </w:divBdr>
        </w:div>
        <w:div w:id="1077627628">
          <w:marLeft w:val="480"/>
          <w:marRight w:val="0"/>
          <w:marTop w:val="0"/>
          <w:marBottom w:val="0"/>
          <w:divBdr>
            <w:top w:val="none" w:sz="0" w:space="0" w:color="auto"/>
            <w:left w:val="none" w:sz="0" w:space="0" w:color="auto"/>
            <w:bottom w:val="none" w:sz="0" w:space="0" w:color="auto"/>
            <w:right w:val="none" w:sz="0" w:space="0" w:color="auto"/>
          </w:divBdr>
        </w:div>
      </w:divsChild>
    </w:div>
    <w:div w:id="1872767621">
      <w:bodyDiv w:val="1"/>
      <w:marLeft w:val="0"/>
      <w:marRight w:val="0"/>
      <w:marTop w:val="0"/>
      <w:marBottom w:val="0"/>
      <w:divBdr>
        <w:top w:val="none" w:sz="0" w:space="0" w:color="auto"/>
        <w:left w:val="none" w:sz="0" w:space="0" w:color="auto"/>
        <w:bottom w:val="none" w:sz="0" w:space="0" w:color="auto"/>
        <w:right w:val="none" w:sz="0" w:space="0" w:color="auto"/>
      </w:divBdr>
    </w:div>
    <w:div w:id="1901557204">
      <w:bodyDiv w:val="1"/>
      <w:marLeft w:val="0"/>
      <w:marRight w:val="0"/>
      <w:marTop w:val="0"/>
      <w:marBottom w:val="0"/>
      <w:divBdr>
        <w:top w:val="none" w:sz="0" w:space="0" w:color="auto"/>
        <w:left w:val="none" w:sz="0" w:space="0" w:color="auto"/>
        <w:bottom w:val="none" w:sz="0" w:space="0" w:color="auto"/>
        <w:right w:val="none" w:sz="0" w:space="0" w:color="auto"/>
      </w:divBdr>
    </w:div>
    <w:div w:id="1932397789">
      <w:bodyDiv w:val="1"/>
      <w:marLeft w:val="0"/>
      <w:marRight w:val="0"/>
      <w:marTop w:val="0"/>
      <w:marBottom w:val="0"/>
      <w:divBdr>
        <w:top w:val="none" w:sz="0" w:space="0" w:color="auto"/>
        <w:left w:val="none" w:sz="0" w:space="0" w:color="auto"/>
        <w:bottom w:val="none" w:sz="0" w:space="0" w:color="auto"/>
        <w:right w:val="none" w:sz="0" w:space="0" w:color="auto"/>
      </w:divBdr>
    </w:div>
    <w:div w:id="1942570494">
      <w:bodyDiv w:val="1"/>
      <w:marLeft w:val="0"/>
      <w:marRight w:val="0"/>
      <w:marTop w:val="0"/>
      <w:marBottom w:val="0"/>
      <w:divBdr>
        <w:top w:val="none" w:sz="0" w:space="0" w:color="auto"/>
        <w:left w:val="none" w:sz="0" w:space="0" w:color="auto"/>
        <w:bottom w:val="none" w:sz="0" w:space="0" w:color="auto"/>
        <w:right w:val="none" w:sz="0" w:space="0" w:color="auto"/>
      </w:divBdr>
    </w:div>
    <w:div w:id="1953316158">
      <w:bodyDiv w:val="1"/>
      <w:marLeft w:val="0"/>
      <w:marRight w:val="0"/>
      <w:marTop w:val="0"/>
      <w:marBottom w:val="0"/>
      <w:divBdr>
        <w:top w:val="none" w:sz="0" w:space="0" w:color="auto"/>
        <w:left w:val="none" w:sz="0" w:space="0" w:color="auto"/>
        <w:bottom w:val="none" w:sz="0" w:space="0" w:color="auto"/>
        <w:right w:val="none" w:sz="0" w:space="0" w:color="auto"/>
      </w:divBdr>
      <w:divsChild>
        <w:div w:id="1026323097">
          <w:marLeft w:val="0"/>
          <w:marRight w:val="0"/>
          <w:marTop w:val="0"/>
          <w:marBottom w:val="0"/>
          <w:divBdr>
            <w:top w:val="none" w:sz="0" w:space="0" w:color="auto"/>
            <w:left w:val="none" w:sz="0" w:space="0" w:color="auto"/>
            <w:bottom w:val="none" w:sz="0" w:space="0" w:color="auto"/>
            <w:right w:val="none" w:sz="0" w:space="0" w:color="auto"/>
          </w:divBdr>
          <w:divsChild>
            <w:div w:id="251085153">
              <w:marLeft w:val="0"/>
              <w:marRight w:val="0"/>
              <w:marTop w:val="0"/>
              <w:marBottom w:val="0"/>
              <w:divBdr>
                <w:top w:val="none" w:sz="0" w:space="0" w:color="auto"/>
                <w:left w:val="none" w:sz="0" w:space="0" w:color="auto"/>
                <w:bottom w:val="none" w:sz="0" w:space="0" w:color="auto"/>
                <w:right w:val="none" w:sz="0" w:space="0" w:color="auto"/>
              </w:divBdr>
              <w:divsChild>
                <w:div w:id="85446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719316">
      <w:bodyDiv w:val="1"/>
      <w:marLeft w:val="0"/>
      <w:marRight w:val="0"/>
      <w:marTop w:val="0"/>
      <w:marBottom w:val="0"/>
      <w:divBdr>
        <w:top w:val="none" w:sz="0" w:space="0" w:color="auto"/>
        <w:left w:val="none" w:sz="0" w:space="0" w:color="auto"/>
        <w:bottom w:val="none" w:sz="0" w:space="0" w:color="auto"/>
        <w:right w:val="none" w:sz="0" w:space="0" w:color="auto"/>
      </w:divBdr>
      <w:divsChild>
        <w:div w:id="956450616">
          <w:marLeft w:val="480"/>
          <w:marRight w:val="0"/>
          <w:marTop w:val="0"/>
          <w:marBottom w:val="0"/>
          <w:divBdr>
            <w:top w:val="none" w:sz="0" w:space="0" w:color="auto"/>
            <w:left w:val="none" w:sz="0" w:space="0" w:color="auto"/>
            <w:bottom w:val="none" w:sz="0" w:space="0" w:color="auto"/>
            <w:right w:val="none" w:sz="0" w:space="0" w:color="auto"/>
          </w:divBdr>
        </w:div>
        <w:div w:id="1312515404">
          <w:marLeft w:val="480"/>
          <w:marRight w:val="0"/>
          <w:marTop w:val="0"/>
          <w:marBottom w:val="0"/>
          <w:divBdr>
            <w:top w:val="none" w:sz="0" w:space="0" w:color="auto"/>
            <w:left w:val="none" w:sz="0" w:space="0" w:color="auto"/>
            <w:bottom w:val="none" w:sz="0" w:space="0" w:color="auto"/>
            <w:right w:val="none" w:sz="0" w:space="0" w:color="auto"/>
          </w:divBdr>
        </w:div>
        <w:div w:id="969557009">
          <w:marLeft w:val="480"/>
          <w:marRight w:val="0"/>
          <w:marTop w:val="0"/>
          <w:marBottom w:val="0"/>
          <w:divBdr>
            <w:top w:val="none" w:sz="0" w:space="0" w:color="auto"/>
            <w:left w:val="none" w:sz="0" w:space="0" w:color="auto"/>
            <w:bottom w:val="none" w:sz="0" w:space="0" w:color="auto"/>
            <w:right w:val="none" w:sz="0" w:space="0" w:color="auto"/>
          </w:divBdr>
        </w:div>
        <w:div w:id="1294944226">
          <w:marLeft w:val="480"/>
          <w:marRight w:val="0"/>
          <w:marTop w:val="0"/>
          <w:marBottom w:val="0"/>
          <w:divBdr>
            <w:top w:val="none" w:sz="0" w:space="0" w:color="auto"/>
            <w:left w:val="none" w:sz="0" w:space="0" w:color="auto"/>
            <w:bottom w:val="none" w:sz="0" w:space="0" w:color="auto"/>
            <w:right w:val="none" w:sz="0" w:space="0" w:color="auto"/>
          </w:divBdr>
        </w:div>
        <w:div w:id="1212421631">
          <w:marLeft w:val="480"/>
          <w:marRight w:val="0"/>
          <w:marTop w:val="0"/>
          <w:marBottom w:val="0"/>
          <w:divBdr>
            <w:top w:val="none" w:sz="0" w:space="0" w:color="auto"/>
            <w:left w:val="none" w:sz="0" w:space="0" w:color="auto"/>
            <w:bottom w:val="none" w:sz="0" w:space="0" w:color="auto"/>
            <w:right w:val="none" w:sz="0" w:space="0" w:color="auto"/>
          </w:divBdr>
        </w:div>
        <w:div w:id="1746607960">
          <w:marLeft w:val="480"/>
          <w:marRight w:val="0"/>
          <w:marTop w:val="0"/>
          <w:marBottom w:val="0"/>
          <w:divBdr>
            <w:top w:val="none" w:sz="0" w:space="0" w:color="auto"/>
            <w:left w:val="none" w:sz="0" w:space="0" w:color="auto"/>
            <w:bottom w:val="none" w:sz="0" w:space="0" w:color="auto"/>
            <w:right w:val="none" w:sz="0" w:space="0" w:color="auto"/>
          </w:divBdr>
        </w:div>
        <w:div w:id="253128101">
          <w:marLeft w:val="480"/>
          <w:marRight w:val="0"/>
          <w:marTop w:val="0"/>
          <w:marBottom w:val="0"/>
          <w:divBdr>
            <w:top w:val="none" w:sz="0" w:space="0" w:color="auto"/>
            <w:left w:val="none" w:sz="0" w:space="0" w:color="auto"/>
            <w:bottom w:val="none" w:sz="0" w:space="0" w:color="auto"/>
            <w:right w:val="none" w:sz="0" w:space="0" w:color="auto"/>
          </w:divBdr>
        </w:div>
        <w:div w:id="1947805227">
          <w:marLeft w:val="480"/>
          <w:marRight w:val="0"/>
          <w:marTop w:val="0"/>
          <w:marBottom w:val="0"/>
          <w:divBdr>
            <w:top w:val="none" w:sz="0" w:space="0" w:color="auto"/>
            <w:left w:val="none" w:sz="0" w:space="0" w:color="auto"/>
            <w:bottom w:val="none" w:sz="0" w:space="0" w:color="auto"/>
            <w:right w:val="none" w:sz="0" w:space="0" w:color="auto"/>
          </w:divBdr>
        </w:div>
        <w:div w:id="1171068773">
          <w:marLeft w:val="480"/>
          <w:marRight w:val="0"/>
          <w:marTop w:val="0"/>
          <w:marBottom w:val="0"/>
          <w:divBdr>
            <w:top w:val="none" w:sz="0" w:space="0" w:color="auto"/>
            <w:left w:val="none" w:sz="0" w:space="0" w:color="auto"/>
            <w:bottom w:val="none" w:sz="0" w:space="0" w:color="auto"/>
            <w:right w:val="none" w:sz="0" w:space="0" w:color="auto"/>
          </w:divBdr>
        </w:div>
        <w:div w:id="2123069902">
          <w:marLeft w:val="480"/>
          <w:marRight w:val="0"/>
          <w:marTop w:val="0"/>
          <w:marBottom w:val="0"/>
          <w:divBdr>
            <w:top w:val="none" w:sz="0" w:space="0" w:color="auto"/>
            <w:left w:val="none" w:sz="0" w:space="0" w:color="auto"/>
            <w:bottom w:val="none" w:sz="0" w:space="0" w:color="auto"/>
            <w:right w:val="none" w:sz="0" w:space="0" w:color="auto"/>
          </w:divBdr>
        </w:div>
        <w:div w:id="61955860">
          <w:marLeft w:val="480"/>
          <w:marRight w:val="0"/>
          <w:marTop w:val="0"/>
          <w:marBottom w:val="0"/>
          <w:divBdr>
            <w:top w:val="none" w:sz="0" w:space="0" w:color="auto"/>
            <w:left w:val="none" w:sz="0" w:space="0" w:color="auto"/>
            <w:bottom w:val="none" w:sz="0" w:space="0" w:color="auto"/>
            <w:right w:val="none" w:sz="0" w:space="0" w:color="auto"/>
          </w:divBdr>
        </w:div>
        <w:div w:id="955019652">
          <w:marLeft w:val="480"/>
          <w:marRight w:val="0"/>
          <w:marTop w:val="0"/>
          <w:marBottom w:val="0"/>
          <w:divBdr>
            <w:top w:val="none" w:sz="0" w:space="0" w:color="auto"/>
            <w:left w:val="none" w:sz="0" w:space="0" w:color="auto"/>
            <w:bottom w:val="none" w:sz="0" w:space="0" w:color="auto"/>
            <w:right w:val="none" w:sz="0" w:space="0" w:color="auto"/>
          </w:divBdr>
        </w:div>
      </w:divsChild>
    </w:div>
    <w:div w:id="2005283668">
      <w:bodyDiv w:val="1"/>
      <w:marLeft w:val="0"/>
      <w:marRight w:val="0"/>
      <w:marTop w:val="0"/>
      <w:marBottom w:val="0"/>
      <w:divBdr>
        <w:top w:val="none" w:sz="0" w:space="0" w:color="auto"/>
        <w:left w:val="none" w:sz="0" w:space="0" w:color="auto"/>
        <w:bottom w:val="none" w:sz="0" w:space="0" w:color="auto"/>
        <w:right w:val="none" w:sz="0" w:space="0" w:color="auto"/>
      </w:divBdr>
      <w:divsChild>
        <w:div w:id="756177225">
          <w:marLeft w:val="480"/>
          <w:marRight w:val="0"/>
          <w:marTop w:val="0"/>
          <w:marBottom w:val="0"/>
          <w:divBdr>
            <w:top w:val="none" w:sz="0" w:space="0" w:color="auto"/>
            <w:left w:val="none" w:sz="0" w:space="0" w:color="auto"/>
            <w:bottom w:val="none" w:sz="0" w:space="0" w:color="auto"/>
            <w:right w:val="none" w:sz="0" w:space="0" w:color="auto"/>
          </w:divBdr>
        </w:div>
        <w:div w:id="1990550526">
          <w:marLeft w:val="480"/>
          <w:marRight w:val="0"/>
          <w:marTop w:val="0"/>
          <w:marBottom w:val="0"/>
          <w:divBdr>
            <w:top w:val="none" w:sz="0" w:space="0" w:color="auto"/>
            <w:left w:val="none" w:sz="0" w:space="0" w:color="auto"/>
            <w:bottom w:val="none" w:sz="0" w:space="0" w:color="auto"/>
            <w:right w:val="none" w:sz="0" w:space="0" w:color="auto"/>
          </w:divBdr>
        </w:div>
        <w:div w:id="935407061">
          <w:marLeft w:val="480"/>
          <w:marRight w:val="0"/>
          <w:marTop w:val="0"/>
          <w:marBottom w:val="0"/>
          <w:divBdr>
            <w:top w:val="none" w:sz="0" w:space="0" w:color="auto"/>
            <w:left w:val="none" w:sz="0" w:space="0" w:color="auto"/>
            <w:bottom w:val="none" w:sz="0" w:space="0" w:color="auto"/>
            <w:right w:val="none" w:sz="0" w:space="0" w:color="auto"/>
          </w:divBdr>
        </w:div>
        <w:div w:id="1818451222">
          <w:marLeft w:val="480"/>
          <w:marRight w:val="0"/>
          <w:marTop w:val="0"/>
          <w:marBottom w:val="0"/>
          <w:divBdr>
            <w:top w:val="none" w:sz="0" w:space="0" w:color="auto"/>
            <w:left w:val="none" w:sz="0" w:space="0" w:color="auto"/>
            <w:bottom w:val="none" w:sz="0" w:space="0" w:color="auto"/>
            <w:right w:val="none" w:sz="0" w:space="0" w:color="auto"/>
          </w:divBdr>
        </w:div>
        <w:div w:id="1175151804">
          <w:marLeft w:val="480"/>
          <w:marRight w:val="0"/>
          <w:marTop w:val="0"/>
          <w:marBottom w:val="0"/>
          <w:divBdr>
            <w:top w:val="none" w:sz="0" w:space="0" w:color="auto"/>
            <w:left w:val="none" w:sz="0" w:space="0" w:color="auto"/>
            <w:bottom w:val="none" w:sz="0" w:space="0" w:color="auto"/>
            <w:right w:val="none" w:sz="0" w:space="0" w:color="auto"/>
          </w:divBdr>
        </w:div>
        <w:div w:id="710955627">
          <w:marLeft w:val="480"/>
          <w:marRight w:val="0"/>
          <w:marTop w:val="0"/>
          <w:marBottom w:val="0"/>
          <w:divBdr>
            <w:top w:val="none" w:sz="0" w:space="0" w:color="auto"/>
            <w:left w:val="none" w:sz="0" w:space="0" w:color="auto"/>
            <w:bottom w:val="none" w:sz="0" w:space="0" w:color="auto"/>
            <w:right w:val="none" w:sz="0" w:space="0" w:color="auto"/>
          </w:divBdr>
        </w:div>
        <w:div w:id="100079575">
          <w:marLeft w:val="480"/>
          <w:marRight w:val="0"/>
          <w:marTop w:val="0"/>
          <w:marBottom w:val="0"/>
          <w:divBdr>
            <w:top w:val="none" w:sz="0" w:space="0" w:color="auto"/>
            <w:left w:val="none" w:sz="0" w:space="0" w:color="auto"/>
            <w:bottom w:val="none" w:sz="0" w:space="0" w:color="auto"/>
            <w:right w:val="none" w:sz="0" w:space="0" w:color="auto"/>
          </w:divBdr>
        </w:div>
        <w:div w:id="651717964">
          <w:marLeft w:val="480"/>
          <w:marRight w:val="0"/>
          <w:marTop w:val="0"/>
          <w:marBottom w:val="0"/>
          <w:divBdr>
            <w:top w:val="none" w:sz="0" w:space="0" w:color="auto"/>
            <w:left w:val="none" w:sz="0" w:space="0" w:color="auto"/>
            <w:bottom w:val="none" w:sz="0" w:space="0" w:color="auto"/>
            <w:right w:val="none" w:sz="0" w:space="0" w:color="auto"/>
          </w:divBdr>
        </w:div>
        <w:div w:id="542642494">
          <w:marLeft w:val="480"/>
          <w:marRight w:val="0"/>
          <w:marTop w:val="0"/>
          <w:marBottom w:val="0"/>
          <w:divBdr>
            <w:top w:val="none" w:sz="0" w:space="0" w:color="auto"/>
            <w:left w:val="none" w:sz="0" w:space="0" w:color="auto"/>
            <w:bottom w:val="none" w:sz="0" w:space="0" w:color="auto"/>
            <w:right w:val="none" w:sz="0" w:space="0" w:color="auto"/>
          </w:divBdr>
        </w:div>
        <w:div w:id="315451052">
          <w:marLeft w:val="480"/>
          <w:marRight w:val="0"/>
          <w:marTop w:val="0"/>
          <w:marBottom w:val="0"/>
          <w:divBdr>
            <w:top w:val="none" w:sz="0" w:space="0" w:color="auto"/>
            <w:left w:val="none" w:sz="0" w:space="0" w:color="auto"/>
            <w:bottom w:val="none" w:sz="0" w:space="0" w:color="auto"/>
            <w:right w:val="none" w:sz="0" w:space="0" w:color="auto"/>
          </w:divBdr>
        </w:div>
        <w:div w:id="2011829574">
          <w:marLeft w:val="480"/>
          <w:marRight w:val="0"/>
          <w:marTop w:val="0"/>
          <w:marBottom w:val="0"/>
          <w:divBdr>
            <w:top w:val="none" w:sz="0" w:space="0" w:color="auto"/>
            <w:left w:val="none" w:sz="0" w:space="0" w:color="auto"/>
            <w:bottom w:val="none" w:sz="0" w:space="0" w:color="auto"/>
            <w:right w:val="none" w:sz="0" w:space="0" w:color="auto"/>
          </w:divBdr>
        </w:div>
        <w:div w:id="1059982641">
          <w:marLeft w:val="480"/>
          <w:marRight w:val="0"/>
          <w:marTop w:val="0"/>
          <w:marBottom w:val="0"/>
          <w:divBdr>
            <w:top w:val="none" w:sz="0" w:space="0" w:color="auto"/>
            <w:left w:val="none" w:sz="0" w:space="0" w:color="auto"/>
            <w:bottom w:val="none" w:sz="0" w:space="0" w:color="auto"/>
            <w:right w:val="none" w:sz="0" w:space="0" w:color="auto"/>
          </w:divBdr>
        </w:div>
        <w:div w:id="720714512">
          <w:marLeft w:val="480"/>
          <w:marRight w:val="0"/>
          <w:marTop w:val="0"/>
          <w:marBottom w:val="0"/>
          <w:divBdr>
            <w:top w:val="none" w:sz="0" w:space="0" w:color="auto"/>
            <w:left w:val="none" w:sz="0" w:space="0" w:color="auto"/>
            <w:bottom w:val="none" w:sz="0" w:space="0" w:color="auto"/>
            <w:right w:val="none" w:sz="0" w:space="0" w:color="auto"/>
          </w:divBdr>
        </w:div>
        <w:div w:id="2108883036">
          <w:marLeft w:val="480"/>
          <w:marRight w:val="0"/>
          <w:marTop w:val="0"/>
          <w:marBottom w:val="0"/>
          <w:divBdr>
            <w:top w:val="none" w:sz="0" w:space="0" w:color="auto"/>
            <w:left w:val="none" w:sz="0" w:space="0" w:color="auto"/>
            <w:bottom w:val="none" w:sz="0" w:space="0" w:color="auto"/>
            <w:right w:val="none" w:sz="0" w:space="0" w:color="auto"/>
          </w:divBdr>
        </w:div>
        <w:div w:id="1222403976">
          <w:marLeft w:val="480"/>
          <w:marRight w:val="0"/>
          <w:marTop w:val="0"/>
          <w:marBottom w:val="0"/>
          <w:divBdr>
            <w:top w:val="none" w:sz="0" w:space="0" w:color="auto"/>
            <w:left w:val="none" w:sz="0" w:space="0" w:color="auto"/>
            <w:bottom w:val="none" w:sz="0" w:space="0" w:color="auto"/>
            <w:right w:val="none" w:sz="0" w:space="0" w:color="auto"/>
          </w:divBdr>
        </w:div>
      </w:divsChild>
    </w:div>
    <w:div w:id="2014143115">
      <w:bodyDiv w:val="1"/>
      <w:marLeft w:val="0"/>
      <w:marRight w:val="0"/>
      <w:marTop w:val="0"/>
      <w:marBottom w:val="0"/>
      <w:divBdr>
        <w:top w:val="none" w:sz="0" w:space="0" w:color="auto"/>
        <w:left w:val="none" w:sz="0" w:space="0" w:color="auto"/>
        <w:bottom w:val="none" w:sz="0" w:space="0" w:color="auto"/>
        <w:right w:val="none" w:sz="0" w:space="0" w:color="auto"/>
      </w:divBdr>
    </w:div>
    <w:div w:id="2020689759">
      <w:bodyDiv w:val="1"/>
      <w:marLeft w:val="0"/>
      <w:marRight w:val="0"/>
      <w:marTop w:val="0"/>
      <w:marBottom w:val="0"/>
      <w:divBdr>
        <w:top w:val="none" w:sz="0" w:space="0" w:color="auto"/>
        <w:left w:val="none" w:sz="0" w:space="0" w:color="auto"/>
        <w:bottom w:val="none" w:sz="0" w:space="0" w:color="auto"/>
        <w:right w:val="none" w:sz="0" w:space="0" w:color="auto"/>
      </w:divBdr>
      <w:divsChild>
        <w:div w:id="993263815">
          <w:marLeft w:val="480"/>
          <w:marRight w:val="0"/>
          <w:marTop w:val="0"/>
          <w:marBottom w:val="0"/>
          <w:divBdr>
            <w:top w:val="none" w:sz="0" w:space="0" w:color="auto"/>
            <w:left w:val="none" w:sz="0" w:space="0" w:color="auto"/>
            <w:bottom w:val="none" w:sz="0" w:space="0" w:color="auto"/>
            <w:right w:val="none" w:sz="0" w:space="0" w:color="auto"/>
          </w:divBdr>
        </w:div>
        <w:div w:id="1549301162">
          <w:marLeft w:val="480"/>
          <w:marRight w:val="0"/>
          <w:marTop w:val="0"/>
          <w:marBottom w:val="0"/>
          <w:divBdr>
            <w:top w:val="none" w:sz="0" w:space="0" w:color="auto"/>
            <w:left w:val="none" w:sz="0" w:space="0" w:color="auto"/>
            <w:bottom w:val="none" w:sz="0" w:space="0" w:color="auto"/>
            <w:right w:val="none" w:sz="0" w:space="0" w:color="auto"/>
          </w:divBdr>
        </w:div>
        <w:div w:id="897471411">
          <w:marLeft w:val="480"/>
          <w:marRight w:val="0"/>
          <w:marTop w:val="0"/>
          <w:marBottom w:val="0"/>
          <w:divBdr>
            <w:top w:val="none" w:sz="0" w:space="0" w:color="auto"/>
            <w:left w:val="none" w:sz="0" w:space="0" w:color="auto"/>
            <w:bottom w:val="none" w:sz="0" w:space="0" w:color="auto"/>
            <w:right w:val="none" w:sz="0" w:space="0" w:color="auto"/>
          </w:divBdr>
        </w:div>
        <w:div w:id="485977758">
          <w:marLeft w:val="480"/>
          <w:marRight w:val="0"/>
          <w:marTop w:val="0"/>
          <w:marBottom w:val="0"/>
          <w:divBdr>
            <w:top w:val="none" w:sz="0" w:space="0" w:color="auto"/>
            <w:left w:val="none" w:sz="0" w:space="0" w:color="auto"/>
            <w:bottom w:val="none" w:sz="0" w:space="0" w:color="auto"/>
            <w:right w:val="none" w:sz="0" w:space="0" w:color="auto"/>
          </w:divBdr>
        </w:div>
        <w:div w:id="1106271310">
          <w:marLeft w:val="480"/>
          <w:marRight w:val="0"/>
          <w:marTop w:val="0"/>
          <w:marBottom w:val="0"/>
          <w:divBdr>
            <w:top w:val="none" w:sz="0" w:space="0" w:color="auto"/>
            <w:left w:val="none" w:sz="0" w:space="0" w:color="auto"/>
            <w:bottom w:val="none" w:sz="0" w:space="0" w:color="auto"/>
            <w:right w:val="none" w:sz="0" w:space="0" w:color="auto"/>
          </w:divBdr>
        </w:div>
        <w:div w:id="862593203">
          <w:marLeft w:val="480"/>
          <w:marRight w:val="0"/>
          <w:marTop w:val="0"/>
          <w:marBottom w:val="0"/>
          <w:divBdr>
            <w:top w:val="none" w:sz="0" w:space="0" w:color="auto"/>
            <w:left w:val="none" w:sz="0" w:space="0" w:color="auto"/>
            <w:bottom w:val="none" w:sz="0" w:space="0" w:color="auto"/>
            <w:right w:val="none" w:sz="0" w:space="0" w:color="auto"/>
          </w:divBdr>
        </w:div>
        <w:div w:id="274143423">
          <w:marLeft w:val="480"/>
          <w:marRight w:val="0"/>
          <w:marTop w:val="0"/>
          <w:marBottom w:val="0"/>
          <w:divBdr>
            <w:top w:val="none" w:sz="0" w:space="0" w:color="auto"/>
            <w:left w:val="none" w:sz="0" w:space="0" w:color="auto"/>
            <w:bottom w:val="none" w:sz="0" w:space="0" w:color="auto"/>
            <w:right w:val="none" w:sz="0" w:space="0" w:color="auto"/>
          </w:divBdr>
        </w:div>
        <w:div w:id="1767270502">
          <w:marLeft w:val="480"/>
          <w:marRight w:val="0"/>
          <w:marTop w:val="0"/>
          <w:marBottom w:val="0"/>
          <w:divBdr>
            <w:top w:val="none" w:sz="0" w:space="0" w:color="auto"/>
            <w:left w:val="none" w:sz="0" w:space="0" w:color="auto"/>
            <w:bottom w:val="none" w:sz="0" w:space="0" w:color="auto"/>
            <w:right w:val="none" w:sz="0" w:space="0" w:color="auto"/>
          </w:divBdr>
        </w:div>
        <w:div w:id="706375027">
          <w:marLeft w:val="480"/>
          <w:marRight w:val="0"/>
          <w:marTop w:val="0"/>
          <w:marBottom w:val="0"/>
          <w:divBdr>
            <w:top w:val="none" w:sz="0" w:space="0" w:color="auto"/>
            <w:left w:val="none" w:sz="0" w:space="0" w:color="auto"/>
            <w:bottom w:val="none" w:sz="0" w:space="0" w:color="auto"/>
            <w:right w:val="none" w:sz="0" w:space="0" w:color="auto"/>
          </w:divBdr>
        </w:div>
        <w:div w:id="205459411">
          <w:marLeft w:val="480"/>
          <w:marRight w:val="0"/>
          <w:marTop w:val="0"/>
          <w:marBottom w:val="0"/>
          <w:divBdr>
            <w:top w:val="none" w:sz="0" w:space="0" w:color="auto"/>
            <w:left w:val="none" w:sz="0" w:space="0" w:color="auto"/>
            <w:bottom w:val="none" w:sz="0" w:space="0" w:color="auto"/>
            <w:right w:val="none" w:sz="0" w:space="0" w:color="auto"/>
          </w:divBdr>
        </w:div>
        <w:div w:id="478036948">
          <w:marLeft w:val="480"/>
          <w:marRight w:val="0"/>
          <w:marTop w:val="0"/>
          <w:marBottom w:val="0"/>
          <w:divBdr>
            <w:top w:val="none" w:sz="0" w:space="0" w:color="auto"/>
            <w:left w:val="none" w:sz="0" w:space="0" w:color="auto"/>
            <w:bottom w:val="none" w:sz="0" w:space="0" w:color="auto"/>
            <w:right w:val="none" w:sz="0" w:space="0" w:color="auto"/>
          </w:divBdr>
        </w:div>
        <w:div w:id="1183476580">
          <w:marLeft w:val="480"/>
          <w:marRight w:val="0"/>
          <w:marTop w:val="0"/>
          <w:marBottom w:val="0"/>
          <w:divBdr>
            <w:top w:val="none" w:sz="0" w:space="0" w:color="auto"/>
            <w:left w:val="none" w:sz="0" w:space="0" w:color="auto"/>
            <w:bottom w:val="none" w:sz="0" w:space="0" w:color="auto"/>
            <w:right w:val="none" w:sz="0" w:space="0" w:color="auto"/>
          </w:divBdr>
        </w:div>
        <w:div w:id="142047672">
          <w:marLeft w:val="480"/>
          <w:marRight w:val="0"/>
          <w:marTop w:val="0"/>
          <w:marBottom w:val="0"/>
          <w:divBdr>
            <w:top w:val="none" w:sz="0" w:space="0" w:color="auto"/>
            <w:left w:val="none" w:sz="0" w:space="0" w:color="auto"/>
            <w:bottom w:val="none" w:sz="0" w:space="0" w:color="auto"/>
            <w:right w:val="none" w:sz="0" w:space="0" w:color="auto"/>
          </w:divBdr>
        </w:div>
        <w:div w:id="826826770">
          <w:marLeft w:val="480"/>
          <w:marRight w:val="0"/>
          <w:marTop w:val="0"/>
          <w:marBottom w:val="0"/>
          <w:divBdr>
            <w:top w:val="none" w:sz="0" w:space="0" w:color="auto"/>
            <w:left w:val="none" w:sz="0" w:space="0" w:color="auto"/>
            <w:bottom w:val="none" w:sz="0" w:space="0" w:color="auto"/>
            <w:right w:val="none" w:sz="0" w:space="0" w:color="auto"/>
          </w:divBdr>
        </w:div>
        <w:div w:id="818693562">
          <w:marLeft w:val="480"/>
          <w:marRight w:val="0"/>
          <w:marTop w:val="0"/>
          <w:marBottom w:val="0"/>
          <w:divBdr>
            <w:top w:val="none" w:sz="0" w:space="0" w:color="auto"/>
            <w:left w:val="none" w:sz="0" w:space="0" w:color="auto"/>
            <w:bottom w:val="none" w:sz="0" w:space="0" w:color="auto"/>
            <w:right w:val="none" w:sz="0" w:space="0" w:color="auto"/>
          </w:divBdr>
        </w:div>
        <w:div w:id="111676942">
          <w:marLeft w:val="480"/>
          <w:marRight w:val="0"/>
          <w:marTop w:val="0"/>
          <w:marBottom w:val="0"/>
          <w:divBdr>
            <w:top w:val="none" w:sz="0" w:space="0" w:color="auto"/>
            <w:left w:val="none" w:sz="0" w:space="0" w:color="auto"/>
            <w:bottom w:val="none" w:sz="0" w:space="0" w:color="auto"/>
            <w:right w:val="none" w:sz="0" w:space="0" w:color="auto"/>
          </w:divBdr>
        </w:div>
        <w:div w:id="696390687">
          <w:marLeft w:val="480"/>
          <w:marRight w:val="0"/>
          <w:marTop w:val="0"/>
          <w:marBottom w:val="0"/>
          <w:divBdr>
            <w:top w:val="none" w:sz="0" w:space="0" w:color="auto"/>
            <w:left w:val="none" w:sz="0" w:space="0" w:color="auto"/>
            <w:bottom w:val="none" w:sz="0" w:space="0" w:color="auto"/>
            <w:right w:val="none" w:sz="0" w:space="0" w:color="auto"/>
          </w:divBdr>
        </w:div>
        <w:div w:id="1807310578">
          <w:marLeft w:val="480"/>
          <w:marRight w:val="0"/>
          <w:marTop w:val="0"/>
          <w:marBottom w:val="0"/>
          <w:divBdr>
            <w:top w:val="none" w:sz="0" w:space="0" w:color="auto"/>
            <w:left w:val="none" w:sz="0" w:space="0" w:color="auto"/>
            <w:bottom w:val="none" w:sz="0" w:space="0" w:color="auto"/>
            <w:right w:val="none" w:sz="0" w:space="0" w:color="auto"/>
          </w:divBdr>
        </w:div>
        <w:div w:id="188103986">
          <w:marLeft w:val="480"/>
          <w:marRight w:val="0"/>
          <w:marTop w:val="0"/>
          <w:marBottom w:val="0"/>
          <w:divBdr>
            <w:top w:val="none" w:sz="0" w:space="0" w:color="auto"/>
            <w:left w:val="none" w:sz="0" w:space="0" w:color="auto"/>
            <w:bottom w:val="none" w:sz="0" w:space="0" w:color="auto"/>
            <w:right w:val="none" w:sz="0" w:space="0" w:color="auto"/>
          </w:divBdr>
        </w:div>
        <w:div w:id="1257404397">
          <w:marLeft w:val="480"/>
          <w:marRight w:val="0"/>
          <w:marTop w:val="0"/>
          <w:marBottom w:val="0"/>
          <w:divBdr>
            <w:top w:val="none" w:sz="0" w:space="0" w:color="auto"/>
            <w:left w:val="none" w:sz="0" w:space="0" w:color="auto"/>
            <w:bottom w:val="none" w:sz="0" w:space="0" w:color="auto"/>
            <w:right w:val="none" w:sz="0" w:space="0" w:color="auto"/>
          </w:divBdr>
        </w:div>
        <w:div w:id="1699358052">
          <w:marLeft w:val="480"/>
          <w:marRight w:val="0"/>
          <w:marTop w:val="0"/>
          <w:marBottom w:val="0"/>
          <w:divBdr>
            <w:top w:val="none" w:sz="0" w:space="0" w:color="auto"/>
            <w:left w:val="none" w:sz="0" w:space="0" w:color="auto"/>
            <w:bottom w:val="none" w:sz="0" w:space="0" w:color="auto"/>
            <w:right w:val="none" w:sz="0" w:space="0" w:color="auto"/>
          </w:divBdr>
        </w:div>
      </w:divsChild>
    </w:div>
    <w:div w:id="2059821701">
      <w:bodyDiv w:val="1"/>
      <w:marLeft w:val="0"/>
      <w:marRight w:val="0"/>
      <w:marTop w:val="0"/>
      <w:marBottom w:val="0"/>
      <w:divBdr>
        <w:top w:val="none" w:sz="0" w:space="0" w:color="auto"/>
        <w:left w:val="none" w:sz="0" w:space="0" w:color="auto"/>
        <w:bottom w:val="none" w:sz="0" w:space="0" w:color="auto"/>
        <w:right w:val="none" w:sz="0" w:space="0" w:color="auto"/>
      </w:divBdr>
      <w:divsChild>
        <w:div w:id="1102258787">
          <w:marLeft w:val="480"/>
          <w:marRight w:val="0"/>
          <w:marTop w:val="0"/>
          <w:marBottom w:val="0"/>
          <w:divBdr>
            <w:top w:val="none" w:sz="0" w:space="0" w:color="auto"/>
            <w:left w:val="none" w:sz="0" w:space="0" w:color="auto"/>
            <w:bottom w:val="none" w:sz="0" w:space="0" w:color="auto"/>
            <w:right w:val="none" w:sz="0" w:space="0" w:color="auto"/>
          </w:divBdr>
        </w:div>
        <w:div w:id="1261184385">
          <w:marLeft w:val="480"/>
          <w:marRight w:val="0"/>
          <w:marTop w:val="0"/>
          <w:marBottom w:val="0"/>
          <w:divBdr>
            <w:top w:val="none" w:sz="0" w:space="0" w:color="auto"/>
            <w:left w:val="none" w:sz="0" w:space="0" w:color="auto"/>
            <w:bottom w:val="none" w:sz="0" w:space="0" w:color="auto"/>
            <w:right w:val="none" w:sz="0" w:space="0" w:color="auto"/>
          </w:divBdr>
        </w:div>
        <w:div w:id="1389377597">
          <w:marLeft w:val="480"/>
          <w:marRight w:val="0"/>
          <w:marTop w:val="0"/>
          <w:marBottom w:val="0"/>
          <w:divBdr>
            <w:top w:val="none" w:sz="0" w:space="0" w:color="auto"/>
            <w:left w:val="none" w:sz="0" w:space="0" w:color="auto"/>
            <w:bottom w:val="none" w:sz="0" w:space="0" w:color="auto"/>
            <w:right w:val="none" w:sz="0" w:space="0" w:color="auto"/>
          </w:divBdr>
        </w:div>
        <w:div w:id="259532047">
          <w:marLeft w:val="480"/>
          <w:marRight w:val="0"/>
          <w:marTop w:val="0"/>
          <w:marBottom w:val="0"/>
          <w:divBdr>
            <w:top w:val="none" w:sz="0" w:space="0" w:color="auto"/>
            <w:left w:val="none" w:sz="0" w:space="0" w:color="auto"/>
            <w:bottom w:val="none" w:sz="0" w:space="0" w:color="auto"/>
            <w:right w:val="none" w:sz="0" w:space="0" w:color="auto"/>
          </w:divBdr>
        </w:div>
        <w:div w:id="1380668183">
          <w:marLeft w:val="480"/>
          <w:marRight w:val="0"/>
          <w:marTop w:val="0"/>
          <w:marBottom w:val="0"/>
          <w:divBdr>
            <w:top w:val="none" w:sz="0" w:space="0" w:color="auto"/>
            <w:left w:val="none" w:sz="0" w:space="0" w:color="auto"/>
            <w:bottom w:val="none" w:sz="0" w:space="0" w:color="auto"/>
            <w:right w:val="none" w:sz="0" w:space="0" w:color="auto"/>
          </w:divBdr>
        </w:div>
        <w:div w:id="1224637133">
          <w:marLeft w:val="480"/>
          <w:marRight w:val="0"/>
          <w:marTop w:val="0"/>
          <w:marBottom w:val="0"/>
          <w:divBdr>
            <w:top w:val="none" w:sz="0" w:space="0" w:color="auto"/>
            <w:left w:val="none" w:sz="0" w:space="0" w:color="auto"/>
            <w:bottom w:val="none" w:sz="0" w:space="0" w:color="auto"/>
            <w:right w:val="none" w:sz="0" w:space="0" w:color="auto"/>
          </w:divBdr>
        </w:div>
        <w:div w:id="768815762">
          <w:marLeft w:val="480"/>
          <w:marRight w:val="0"/>
          <w:marTop w:val="0"/>
          <w:marBottom w:val="0"/>
          <w:divBdr>
            <w:top w:val="none" w:sz="0" w:space="0" w:color="auto"/>
            <w:left w:val="none" w:sz="0" w:space="0" w:color="auto"/>
            <w:bottom w:val="none" w:sz="0" w:space="0" w:color="auto"/>
            <w:right w:val="none" w:sz="0" w:space="0" w:color="auto"/>
          </w:divBdr>
        </w:div>
        <w:div w:id="358512246">
          <w:marLeft w:val="480"/>
          <w:marRight w:val="0"/>
          <w:marTop w:val="0"/>
          <w:marBottom w:val="0"/>
          <w:divBdr>
            <w:top w:val="none" w:sz="0" w:space="0" w:color="auto"/>
            <w:left w:val="none" w:sz="0" w:space="0" w:color="auto"/>
            <w:bottom w:val="none" w:sz="0" w:space="0" w:color="auto"/>
            <w:right w:val="none" w:sz="0" w:space="0" w:color="auto"/>
          </w:divBdr>
        </w:div>
        <w:div w:id="1211764913">
          <w:marLeft w:val="480"/>
          <w:marRight w:val="0"/>
          <w:marTop w:val="0"/>
          <w:marBottom w:val="0"/>
          <w:divBdr>
            <w:top w:val="none" w:sz="0" w:space="0" w:color="auto"/>
            <w:left w:val="none" w:sz="0" w:space="0" w:color="auto"/>
            <w:bottom w:val="none" w:sz="0" w:space="0" w:color="auto"/>
            <w:right w:val="none" w:sz="0" w:space="0" w:color="auto"/>
          </w:divBdr>
        </w:div>
        <w:div w:id="1415971924">
          <w:marLeft w:val="480"/>
          <w:marRight w:val="0"/>
          <w:marTop w:val="0"/>
          <w:marBottom w:val="0"/>
          <w:divBdr>
            <w:top w:val="none" w:sz="0" w:space="0" w:color="auto"/>
            <w:left w:val="none" w:sz="0" w:space="0" w:color="auto"/>
            <w:bottom w:val="none" w:sz="0" w:space="0" w:color="auto"/>
            <w:right w:val="none" w:sz="0" w:space="0" w:color="auto"/>
          </w:divBdr>
        </w:div>
        <w:div w:id="498547876">
          <w:marLeft w:val="480"/>
          <w:marRight w:val="0"/>
          <w:marTop w:val="0"/>
          <w:marBottom w:val="0"/>
          <w:divBdr>
            <w:top w:val="none" w:sz="0" w:space="0" w:color="auto"/>
            <w:left w:val="none" w:sz="0" w:space="0" w:color="auto"/>
            <w:bottom w:val="none" w:sz="0" w:space="0" w:color="auto"/>
            <w:right w:val="none" w:sz="0" w:space="0" w:color="auto"/>
          </w:divBdr>
        </w:div>
      </w:divsChild>
    </w:div>
    <w:div w:id="2062970995">
      <w:bodyDiv w:val="1"/>
      <w:marLeft w:val="0"/>
      <w:marRight w:val="0"/>
      <w:marTop w:val="0"/>
      <w:marBottom w:val="0"/>
      <w:divBdr>
        <w:top w:val="none" w:sz="0" w:space="0" w:color="auto"/>
        <w:left w:val="none" w:sz="0" w:space="0" w:color="auto"/>
        <w:bottom w:val="none" w:sz="0" w:space="0" w:color="auto"/>
        <w:right w:val="none" w:sz="0" w:space="0" w:color="auto"/>
      </w:divBdr>
      <w:divsChild>
        <w:div w:id="1702827957">
          <w:marLeft w:val="0"/>
          <w:marRight w:val="0"/>
          <w:marTop w:val="0"/>
          <w:marBottom w:val="0"/>
          <w:divBdr>
            <w:top w:val="none" w:sz="0" w:space="0" w:color="auto"/>
            <w:left w:val="none" w:sz="0" w:space="0" w:color="auto"/>
            <w:bottom w:val="none" w:sz="0" w:space="0" w:color="auto"/>
            <w:right w:val="none" w:sz="0" w:space="0" w:color="auto"/>
          </w:divBdr>
          <w:divsChild>
            <w:div w:id="1279800276">
              <w:marLeft w:val="0"/>
              <w:marRight w:val="0"/>
              <w:marTop w:val="0"/>
              <w:marBottom w:val="0"/>
              <w:divBdr>
                <w:top w:val="none" w:sz="0" w:space="0" w:color="auto"/>
                <w:left w:val="none" w:sz="0" w:space="0" w:color="auto"/>
                <w:bottom w:val="none" w:sz="0" w:space="0" w:color="auto"/>
                <w:right w:val="none" w:sz="0" w:space="0" w:color="auto"/>
              </w:divBdr>
              <w:divsChild>
                <w:div w:id="99746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130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9DADD1-6858-134E-BB6A-F985978E23FD}">
  <we:reference id="wa104382081" version="1.55.1.0" store="en-US" storeType="OMEX"/>
  <we:alternateReferences>
    <we:reference id="wa104382081" version="1.55.1.0" store="" storeType="OMEX"/>
  </we:alternateReferences>
  <we:properties>
    <we:property name="MENDELEY_CITATIONS" value="[{&quot;citationID&quot;:&quot;MENDELEY_CITATION_d1468246-a6c7-4b70-bf42-7865105c223c&quot;,&quot;properties&quot;:{&quot;noteIndex&quot;:0},&quot;isEdited&quot;:false,&quot;manualOverride&quot;:{&quot;isManuallyOverridden&quot;:false,&quot;citeprocText&quot;:&quot;(Corkidi and Rincón 1997; Kawahara and Ezawa 2013)&quot;,&quot;manualOverrideText&quot;:&quot;&quot;},&quot;citationTag&quot;:&quot;MENDELEY_CITATION_v3_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&quot;,&quot;citationItems&quot;:[{&quot;id&quot;:&quot;cb85ef2a-f921-3e4b-9cb6-856887a21c8f&quot;,&quot;itemData&quot;:{&quot;type&quot;:&quot;article-journal&quot;,&quot;id&quot;:&quot;cb85ef2a-f921-3e4b-9cb6-856887a21c8f&quot;,&quot;title&quot;:&quot;Arbuscular mycorrhizae in a tropical sand dune ecosystem on the Gulf of Mexico: II. Effects of arbuscular mycorrhizal fungi on the growth of species distributed in different early successional stages&quot;,&quot;author&quot;:[{&quot;family&quot;:&quot;Corkidi&quot;,&quot;given&quot;:&quot;Lea&quot;,&quot;parse-names&quot;:false,&quot;dropping-particle&quot;:&quot;&quot;,&quot;non-dropping-particle&quot;:&quot;&quot;},{&quot;family&quot;:&quot;Rincón&quot;,&quot;given&quot;:&quot;Emmanuel&quot;,&quot;parse-names&quot;:false,&quot;dropping-particle&quot;:&quot;&quot;,&quot;non-dropping-particle&quot;:&quot;&quot;}],&quot;container-title&quot;:&quot;Mycorrhiza&quot;,&quot;container-title-short&quot;:&quot;Mycorrhiza&quot;,&quot;DOI&quot;:&quot;10.1007/s005720050158&quot;,&quot;ISSN&quot;:&quot;09406360&quot;,&quot;issued&quot;:{&quot;date-parts&quot;:[[1997]]},&quot;page&quot;:&quot;17-23&quot;,&quot;abstract&quot;:&quot;The effects of arbuscular mycorrhizal fungi on the growth of seven plant species established during the first stages of colonization in different areas of a tropical sand dune system on the Gulf of Mexico were investigated by comparing several growth parameters in 21- and 63-day old mycorrhizal and non-mycorrhizal plants. There were no significant differences between mycorrhizal and non-mycorrhizal plants in root, stem and leaf biomass after 21 days, but after 63 days, mycorrhizal responsiveness was evident. Ipomoea pes-ca-prae, Sporobolus virginicus and Canavalia rosea, stoloniferous pioneer species of the beach, embryo dunes and foredunes, were less responsive to the mycorrhizal treatment, following the trend predicted for early seral species. However, large increases in total dry weight, leaf area and relative growth rate of Chamaecrista chamaecristoides, Palafoxia lindenii and Trachypogon gouinii (plants from the beach, embryo dunes and foredunes as well as mobile dunes) suggest that mycorrhizal infection is also crucial for the growth of early successional species. Most species allocated the same or more biomass to shoots than to roots. With the exception of T. gouinii, this pattern of biomass allocation was not altered by the mycorrhizal treatment. C. rosea and S. virginicus showed a higher allocation to the roots in the non-mycorrhizal plants. The possible relationship between mycorrhizae and succession in this tropical sand dune ecosystem is discussed.&quot;,&quot;issue&quot;:&quot;1&quot;,&quot;volume&quot;:&quot;7&quot;},&quot;isTemporary&quot;:false},{&quot;id&quot;:&quot;3414ac23-a4f6-37ed-888f-113a0b9ffc1b&quot;,&quot;itemData&quot;:{&quot;type&quot;:&quot;article-journal&quot;,&quot;id&quot;:&quot;3414ac23-a4f6-37ed-888f-113a0b9ffc1b&quot;,&quot;title&quot;:&quot;Characterization of arbuscular mycorrhizal fungal communities with respect to zonal vegetation in a coastal dune ecosystem&quot;,&quot;author&quot;:[{&quot;family&quot;:&quot;Kawahara&quot;,&quot;given&quot;:&quot;Ai&quot;,&quot;parse-names&quot;:false,&quot;dropping-particle&quot;:&quot;&quot;,&quot;non-dropping-particle&quot;:&quot;&quot;},{&quot;family&quot;:&quot;Ezawa&quot;,&quot;given&quot;:&quot;Tatsuhiro&quot;,&quot;parse-names&quot;:false,&quot;dropping-particle&quot;:&quot;&quot;,&quot;non-dropping-particle&quot;:&quot;&quot;}],&quot;container-title&quot;:&quot;Oecologia&quot;,&quot;container-title-short&quot;:&quot;Oecologia&quot;,&quot;DOI&quot;:&quot;10.1007/s00442-013-2622-y&quot;,&quot;ISSN&quot;:&quot;00298549&quot;,&quot;PMID&quot;:&quot;23474896&quot;,&quot;issued&quot;:{&quot;date-parts&quot;:[[2013]]},&quot;page&quot;:&quot;533-543&quot;,&quot;abstract&quot;:&quot;Coastal dune vegetation distributes zonally along the environmental gradients of, e.g., soil disturbance. In the preset study, arbuscular mycorrhizal fungal communities in a coastal dune ecosystem were characterized with respect to tolerance to soil disturbance. Two grass species, Elymus mollis and Miscanthus sinensis, are distributed zonally in the seaward and landward slopes, respectively, in the primary dunes in Ishikari, Japan. The seaward slope is severely disturbed by wind, while the landward slope is stabilized by the thick root system of M. sinensis. The roots and rhizosphere soils of the two grasses were collected from the slopes. The soils were sieved to destruct the fungal hyphal networks, and soil trap culture was conducted to assess tolerance of the communities to disturbance, with parallel analysis of the field communities using a molecular ecological tool. In the landward communities, large shifts in the composition and increases in diversity were observed in the trap culture compared with the field, but in the seaward communities, the impact of trap culture was minimal. The landward field community was significantly nested within the landward trap culture community, implying that most members in the field community did not disappear in the trap culture. No nestedness was observed in the seaward communities. These observations suggest that disturbance-tolerant fungi have been preferentially selected in the seaward slope due to severe disturbance in the habitat. Whereas a limited number of fungi, which are not necessarily disturbance-sensitive, dominate in the stable landward slope, but high-potential diversity has been maintained in the habitat. © 2013 Springer-Verlag Berlin Heidelberg.&quot;,&quot;issue&quot;:&quot;2&quot;,&quot;volume&quot;:&quot;173&quot;},&quot;isTemporary&quot;:false}]},{&quot;citationID&quot;:&quot;MENDELEY_CITATION_1da910d8-caca-4317-bdc4-880aa1615e0f&quot;,&quot;properties&quot;:{&quot;noteIndex&quot;:0},&quot;isEdited&quot;:false,&quot;manualOverride&quot;:{&quot;isManuallyOverridden&quot;:false,&quot;citeprocText&quot;:&quot;(Fujiyoshi et al. 2006; Atunnisa and Ezawa 2019)&quot;,&quot;manualOverrideText&quot;:&quot;&quot;},&quot;citationTag&quot;:&quot;MENDELEY_CITATION_v3_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&quot;,&quot;citationItems&quot;:[{&quot;id&quot;:&quot;6a1a2491-6a74-3f57-b6ee-87ddc70e76c5&quot;,&quot;itemData&quot;:{&quot;type&quot;:&quot;article-journal&quot;,&quot;id&quot;:&quot;6a1a2491-6a74-3f57-b6ee-87ddc70e76c5&quot;,&quot;title&quot;:&quot;Nestedness in arbuscular mycorrhizal fungal communities in a volcanic ecosystem: Selection of disturbance-tolerant fungi along an elevation gradient&quot;,&quot;author&quot;:[{&quot;family&quot;:&quot;Atunnisa&quot;,&quot;given&quot;:&quot;Rifa&quot;,&quot;parse-names&quot;:false,&quot;dropping-particle&quot;:&quot;&quot;,&quot;non-dropping-particle&quot;:&quot;&quot;},{&quot;family&quot;:&quot;Ezawa&quot;,&quot;given&quot;:&quot;Tatsuhiro&quot;,&quot;parse-names&quot;:false,&quot;dropping-particle&quot;:&quot;&quot;,&quot;non-dropping-particle&quot;:&quot;&quot;}],&quot;container-title&quot;:&quot;Microbes and Environments&quot;,&quot;container-title-short&quot;:&quot;Microbes Environ&quot;,&quot;DOI&quot;:&quot;10.1264/jsme2.ME19073&quot;,&quot;ISSN&quot;:&quot;13474405&quot;,&quot;PMID&quot;:&quot;31413228&quot;,&quot;issued&quot;:{&quot;date-parts&quot;:[[2019]]},&quot;page&quot;:&quot;327-333&quot;,&quot;abstract&quot;:&quot;Arbuscular mycorrhizal (AM) fungi play a significant role in the establishment and resilience of vegetation in harsh environments, such as volcanic slopes, in which soil is frequently disturbed by ash falling and erosion. We characterized AM fungal communities associated with a pioneer grass in a volcanic slope based on the disturbance tolerance of the fungi, addressing the hypothesis that soil disturbance is a major ecological filter for AM fungi in volcanic ecosystems and, thus, fungi that are more tolerant to soil disturbance are selected at higher elevations (i.e. nearer to the crater). Paired soil-core samples were collected from the rhizosphere of Miscanthus sinensis between the vegetation limit and forest limit on a volcanic slope and used in a trap culture with M. sinensis seedlings, in which one of the paired samples was sieved to destroy hyphal networks (disturbance treatment), while the other was not (intact treatment). Seedlings were grown in a greenhouse for two months, and the roots were subjected to molecular analysis of fungal communities. AM fungal diversity decreased with increasing elevations, in which nested structure was observed. Community dissimilarity between the disturbed and intact communities decreased with increasing elevations, suggesting that communities at higher elevations were more robust against soil disturbance. These results suggest that AM fungi that are more tolerant to soil disturbance are more widely distributed across the ecosystem, that is, they are generalists. The wide distribution of disturbance-tolerant fungi may have significant implications for the rapid resilience of vegetation after disturbance in the ecosystem.&quot;,&quot;issue&quot;:&quot;3&quot;,&quot;volume&quot;:&quot;34&quot;},&quot;isTemporary&quot;:false},{&quot;id&quot;:&quot;033ed11e-1ac9-3b9c-ba07-94e1ee38b874&quot;,&quot;itemData&quot;:{&quot;type&quot;:&quot;article-journal&quot;,&quot;id&quot;:&quot;033ed11e-1ac9-3b9c-ba07-94e1ee38b874&quot;,&quot;title&quot;:&quot;Effects of arbuscular mycorrhizal fungi and soil developmental stages on herbaceous plants growing in the early stage of primary succession on Mount Fuji&quot;,&quot;author&quot;:[{&quot;family&quot;:&quot;Fujiyoshi&quot;,&quot;given&quot;:&quot;Masaaki&quot;,&quot;parse-names&quot;:false,&quot;dropping-particle&quot;:&quot;&quot;,&quot;non-dropping-particle&quot;:&quot;&quot;},{&quot;family&quot;:&quot;Kagawa&quot;,&quot;given&quot;:&quot;Atsushi&quot;,&quot;parse-names&quot;:false,&quot;dropping-particle&quot;:&quot;&quot;,&quot;non-dropping-particle&quot;:&quot;&quot;},{&quot;family&quot;:&quot;Nakatsubo&quot;,&quot;given&quot;:&quot;Takayuki&quot;,&quot;parse-names&quot;:false,&quot;dropping-particle&quot;:&quot;&quot;,&quot;non-dropping-particle&quot;:&quot;&quot;},{&quot;family&quot;:&quot;Masuzawa&quot;,&quot;given&quot;:&quot;Takehiro&quot;,&quot;parse-names&quot;:false,&quot;dropping-particle&quot;:&quot;&quot;,&quot;non-dropping-particle&quot;:&quot;&quot;}],&quot;container-title&quot;:&quot;Ecological Research&quot;,&quot;container-title-short&quot;:&quot;Ecol Res&quot;,&quot;DOI&quot;:&quot;10.1007/s11284-005-0117-y&quot;,&quot;ISSN&quot;:&quot;09123814&quot;,&quot;issued&quot;:{&quot;date-parts&quot;:[[2006]]},&quot;page&quot;:&quot;278-284&quot;,&quot;abstract&quot;:&quot;A pot culture experiment was conducted to examine the effects of arbuscular mycorrhizal (AM) fungi and soil developmental stages on the growth and nutrient absorption of pioneer plants growing in the early stage of primary succession on Mt. Fuji. Four herbaceous plants, Polygonum cuspidatum (Polygonaceae), Miscanthus oligostachyus (Gramineae), Aster ageratoides var. ovatus (Compositae), and Hedysarum vicioides (Leguminosae), were grown from seed in soils collected from two different successional stages, bare ground and an herbaceous plant community. Spores of indigenous AM fungi collected from the herbaceous plant community were used as inoculum. The initial colonizer P. cuspidatum showed very low levels of AM colonization (&lt;0.4%), whereas the average AM colonization levels of M. oligostachyus, A. ageratoides var. ovatus, and H. vicioides were within the range of 13-49%. AM fungi had positive effects on the growth and N acquisition of the leguminous species (H. vicioides) irrespective of soil developmental stages. In contrast, AM colonization did not increase the plant dry weight and N content of the non-leguminous species (P. cuspidatum, M. oligostachyus, and A. ageratoides var. ovatus) in both soil developmental stages. A positive effect of AM colonization on P content was observed in M. oligostachyus, A. ageratoides var. ovatus, and H. vicioides only in soil collected from the herbaceous plant community. P. cuspidatum showed no or a negative response to AM colonization in all cases. These results suggest that the effect of AM fungi on plant growth depends more on the plant species than soil developmental stages in the early stage of primary succession in this volcanic area. © The Ecological Society of Japan 2005.&quot;,&quot;issue&quot;:&quot;2&quot;,&quot;volume&quot;:&quot;21&quot;},&quot;isTemporary&quot;:false}]},{&quot;citationID&quot;:&quot;MENDELEY_CITATION_fb3f399d-dc5d-4c04-8440-ed5e8eccc183&quot;,&quot;properties&quot;:{&quot;noteIndex&quot;:0},&quot;isEdited&quot;:false,&quot;manualOverride&quot;:{&quot;isManuallyOverridden&quot;:false,&quot;citeprocText&quot;:&quot;(Bever et al. 2009; Kiers et al. 2011; Weber et al. 2024)&quot;,&quot;manualOverrideText&quot;:&quot;&quot;},&quot;citationItems&quot;:[{&quot;id&quot;:&quot;c7ab27de-9173-33f6-a1d8-dd69e2154b86&quot;,&quot;itemData&quot;:{&quot;type&quot;:&quot;article-journal&quot;,&quot;id&quot;:&quot;c7ab27de-9173-33f6-a1d8-dd69e2154b86&quot;,&quot;title&quot;:&quot;Preferential allocation to beneficial symbiont with spatial structure maintains mycorrhizal mutualism&quot;,&quot;author&quot;:[{&quot;family&quot;:&quot;Bever&quot;,&quot;given&quot;:&quot;James D.&quot;,&quot;parse-names&quot;:false,&quot;dropping-particle&quot;:&quot;&quot;,&quot;non-dropping-particle&quot;:&quot;&quot;},{&quot;family&quot;:&quot;Richardson&quot;,&quot;given&quot;:&quot;Sarah C.&quot;,&quot;parse-names&quot;:false,&quot;dropping-particle&quot;:&quot;&quot;,&quot;non-dropping-particle&quot;:&quot;&quot;},{&quot;family&quot;:&quot;Lawrence&quot;,&quot;given&quot;:&quot;Brandy M.&quot;,&quot;parse-names&quot;:false,&quot;dropping-particle&quot;:&quot;&quot;,&quot;non-dropping-particle&quot;:&quot;&quot;},{&quot;family&quot;:&quot;Holmes&quot;,&quot;given&quot;:&quot;Jonathan&quot;,&quot;parse-names&quot;:false,&quot;dropping-particle&quot;:&quot;&quot;,&quot;non-dropping-particle&quot;:&quot;&quot;},{&quot;family&quot;:&quot;Watson&quot;,&quot;given&quot;:&quot;Maxine&quot;,&quot;parse-names&quot;:false,&quot;dropping-particle&quot;:&quot;&quot;,&quot;non-dropping-particle&quot;:&quot;&quot;}],&quot;container-title&quot;:&quot;Ecology Letters&quot;,&quot;container-title-short&quot;:&quot;Ecol Lett&quot;,&quot;DOI&quot;:&quot;10.1111/j.1461-0248.2008.01254.x&quot;,&quot;ISSN&quot;:&quot;1461023X&quot;,&quot;PMID&quot;:&quot;19019195&quot;,&quot;issued&quot;:{&quot;date-parts&quot;:[[2009,1]]},&quot;page&quot;:&quot;13-21&quot;,&quot;abstract&quot;:&quot;Mutualisms, beneficial interactions between species, are expected to be unstable because delivery of benefit likely involves fitness costs and selection should favour partners that deliver less benefit. Yet, mutualisms are common and persistent, even in the largely promiscuous associations between plants and soil microorganisms such as arbuscular mycorrhizal fungi. In two different systems, we demonstrate preferential allocation of photosynthate by host plants to the more beneficial of two AM fungal symbionts. This preferential allocation could allow the persistence of the mutualism if it confers sufficient advantage to the beneficial symbiont that it overcomes the cost of mutualism. We find that the beneficial fungus does increase in biomass when the fungi are spatially separated within the root system. However, in well-mixed fungal communities, non-beneficial fungi proliferate as expected from their reduced cost of mutualism. Our findings suggest that preferential allocation within spatially structured microbial communities can stabilize mutualisms between plants and root symbionts. © 2008 Blackwell Publishing Ltd/CNRS.&quot;,&quot;issue&quot;:&quot;1&quot;,&quot;volume&quot;:&quot;12&quot;},&quot;isTemporary&quot;:false},{&quot;id&quot;:&quot;c8d3112f-b7c9-3dbe-8dd2-88b9ef4dbd30&quot;,&quot;itemData&quot;:{&quot;type&quot;:&quot;article-journal&quot;,&quot;id&quot;:&quot;c8d3112f-b7c9-3dbe-8dd2-88b9ef4dbd30&quot;,&quot;title&quot;:&quot;Plant choice between arbuscular mycorrhizal fungal species results in increased plant P acquisition&quot;,&quot;author&quot;:[{&quot;family&quot;:&quot;Weber&quot;,&quot;given&quot;:&quot;Sören Eliot&quot;,&quot;parse-names&quot;:false,&quot;dropping-particle&quot;:&quot;&quot;,&quot;non-dropping-particle&quot;:&quot;&quot;},{&quot;family&quot;:&quot;Bascompte&quot;,&quot;given&quot;:&quot;Jordi&quot;,&quot;parse-names&quot;:false,&quot;dropping-particle&quot;:&quot;&quot;,&quot;non-dropping-particle&quot;:&quot;&quot;},{&quot;family&quot;:&quot;Kahmen&quot;,&quot;given&quot;:&quot;Ansgar&quot;,&quot;parse-names&quot;:false,&quot;dropping-particle&quot;:&quot;&quot;,&quot;non-dropping-particle&quot;:&quot;&quot;},{&quot;family&quot;:&quot;Niklaus&quot;,&quot;given&quot;:&quot;Pascal A.&quot;,&quot;parse-names&quot;:false,&quot;dropping-particle&quot;:&quot;&quot;,&quot;non-dropping-particle&quot;:&quot;&quot;}],&quot;container-title&quot;:&quot;PLoS ONE&quot;,&quot;container-title-short&quot;:&quot;PLoS One&quot;,&quot;DOI&quot;:&quot;10.1371/journal.pone.0292811&quot;,&quot;ISSN&quot;:&quot;19326203&quot;,&quot;PMID&quot;:&quot;38295035&quot;,&quot;issued&quot;:{&quot;date-parts&quot;:[[2024,1,1]]},&quot;abstract&quot;:&quot;Arbuscular mycorrhizal fungi (AMF) are plant root symbionts that provide phosphorus (P) to plants in exchange for photosynthetically fixed carbon (C). Previous research has shown that plants-given a choice among AMF species-may preferentially allocate C to AMF species that provide more P. However, these investigations rested on a limited set of plant and AMF species, and it therefore remains unclear how general this phenomenon is. Here, we combined 4 plant and 6 AMF species in 24 distinct plant-AMF species compositions in splitroot microcosms, manipulating the species identity of AMF in either side of the root system. Using 14C and 32P/33P radioisotope tracers, we tracked the transfer of C and P between plants and AMF, respectively. We found that when plants had a choice of AMF species, AMF species which transferred more P acquired more C. Evidence for preferential C allocation to more beneficial AMF species within individual plant roots was equivocal. However, AMF species which transferred more P to plants did so at lower C-to-P ratios, highlighting the importance both of absolute and relative costs of P acquisition from AMF. When plants had a choice of AMF species, their shoots contained a larger total amount of P at higher concentrations. Our results thus highlight the benefits of plant C choice among AMF for plant P acquisition.&quot;,&quot;publisher&quot;:&quot;Public Library of Science&quot;,&quot;issue&quot;:&quot;1 January&quot;,&quot;volume&quot;:&quot;19&quot;},&quot;isTemporary&quot;:false},{&quot;id&quot;:&quot;d6f5dc1c-abcb-3914-920e-cadd24eef8e5&quot;,&quot;itemData&quot;:{&quot;type&quot;:&quot;article-journal&quot;,&quot;id&quot;:&quot;d6f5dc1c-abcb-3914-920e-cadd24eef8e5&quot;,&quot;title&quot;:&quot;Reciprocal rewards stabilize cooperation in the mycorrhizal symbiosis&quot;,&quot;author&quot;:[{&quot;family&quot;:&quot;Kiers&quot;,&quot;given&quot;:&quot;E. Toby&quot;,&quot;parse-names&quot;:false,&quot;dropping-particle&quot;:&quot;&quot;,&quot;non-dropping-particle&quot;:&quot;&quot;},{&quot;family&quot;:&quot;Duhamel&quot;,&quot;given&quot;:&quot;Marie&quot;,&quot;parse-names&quot;:false,&quot;dropping-particle&quot;:&quot;&quot;,&quot;non-dropping-particle&quot;:&quot;&quot;},{&quot;family&quot;:&quot;Beesetty&quot;,&quot;given&quot;:&quot;Yugandhar&quot;,&quot;parse-names&quot;:false,&quot;dropping-particle&quot;:&quot;&quot;,&quot;non-dropping-particle&quot;:&quot;&quot;},{&quot;family&quot;:&quot;Mensah&quot;,&quot;given&quot;:&quot;Jerry A.&quot;,&quot;parse-names&quot;:false,&quot;dropping-particle&quot;:&quot;&quot;,&quot;non-dropping-particle&quot;:&quot;&quot;},{&quot;family&quot;:&quot;Franken&quot;,&quot;given&quot;:&quot;Oscar&quot;,&quot;parse-names&quot;:false,&quot;dropping-particle&quot;:&quot;&quot;,&quot;non-dropping-particle&quot;:&quot;&quot;},{&quot;family&quot;:&quot;Verbruggen&quot;,&quot;given&quot;:&quot;Erik&quot;,&quot;parse-names&quot;:false,&quot;dropping-particle&quot;:&quot;&quot;,&quot;non-dropping-particle&quot;:&quot;&quot;},{&quot;family&quot;:&quot;Fellbaum&quot;,&quot;given&quot;:&quot;Carl R.&quot;,&quot;parse-names&quot;:false,&quot;dropping-particle&quot;:&quot;&quot;,&quot;non-dropping-particle&quot;:&quot;&quot;},{&quot;family&quot;:&quot;Kowalchuk&quot;,&quot;given&quot;:&quot;George A.&quot;,&quot;parse-names&quot;:false,&quot;dropping-particle&quot;:&quot;&quot;,&quot;non-dropping-particle&quot;:&quot;&quot;},{&quot;family&quot;:&quot;Hart&quot;,&quot;given&quot;:&quot;Miranda M.&quot;,&quot;parse-names&quot;:false,&quot;dropping-particle&quot;:&quot;&quot;,&quot;non-dropping-particle&quot;:&quot;&quot;},{&quot;family&quot;:&quot;Bago&quot;,&quot;given&quot;:&quot;Alberto&quot;,&quot;parse-names&quot;:false,&quot;dropping-particle&quot;:&quot;&quot;,&quot;non-dropping-particle&quot;:&quot;&quot;},{&quot;family&quot;:&quot;Palmer&quot;,&quot;given&quot;:&quot;Todd M.&quot;,&quot;parse-names&quot;:false,&quot;dropping-particle&quot;:&quot;&quot;,&quot;non-dropping-particle&quot;:&quot;&quot;},{&quot;family&quot;:&quot;West&quot;,&quot;given&quot;:&quot;Stuart A.&quot;,&quot;parse-names&quot;:false,&quot;dropping-particle&quot;:&quot;&quot;,&quot;non-dropping-particle&quot;:&quot;&quot;},{&quot;family&quot;:&quot;Vandenkoornhuyse&quot;,&quot;given&quot;:&quot;Philippe&quot;,&quot;parse-names&quot;:false,&quot;dropping-particle&quot;:&quot;&quot;,&quot;non-dropping-particle&quot;:&quot;&quot;},{&quot;family&quot;:&quot;Jansa&quot;,&quot;given&quot;:&quot;Jan&quot;,&quot;parse-names&quot;:false,&quot;dropping-particle&quot;:&quot;&quot;,&quot;non-dropping-particle&quot;:&quot;&quot;},{&quot;family&quot;:&quot;Bücking&quot;,&quot;given&quot;:&quot;Heike&quot;,&quot;parse-names&quot;:false,&quot;dropping-particle&quot;:&quot;&quot;,&quot;non-dropping-particle&quot;:&quot;&quot;}],&quot;container-title&quot;:&quot;Science&quot;,&quot;container-title-short&quot;:&quot;Science (1979)&quot;,&quot;DOI&quot;:&quot;10.1126/science.1208473&quot;,&quot;ISSN&quot;:&quot;00368075&quot;,&quot;PMID&quot;:&quot;21836016&quot;,&quot;issued&quot;:{&quot;date-parts&quot;:[[2011,8,12]]},&quot;page&quot;:&quot;880-882&quot;,&quot;abstract&quot;:&quot;Plants and their arbuscular mycorrhizal fungal symbionts interact in complex underground networks involving multiple partners. This increases the potential for exploitation and defection by individuals, raising the question of how partners maintain a fair, two-way transfer of resources. We manipulated cooperation in plants and fungal partners to show that plants can detect, discriminate, and reward the best fungal partners with more carbohydrates. In turn, their fungal partners enforce cooperation by increasing nutrient transfer only to those roots providing more carbohydrates. On the basis of these observations we conclude that, unlike many other mutualisms, the symbiont cannot be \&quot;enslaved.\&quot; Rather, the mutualism is evolutionarily stable because control is bidirectional, and partners offering the best rate of exchange are rewarded.&quot;,&quot;issue&quot;:&quot;6044&quot;,&quot;volume&quot;:&quot;333&quot;},&quot;isTemporary&quot;:false}],&quot;citationTag&quot;:&quot;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&quot;},{&quot;citationID&quot;:&quot;MENDELEY_CITATION_6ddb5cc3-ce48-4132-b577-8bdd1ead72bd&quot;,&quot;properties&quot;:{&quot;noteIndex&quot;:0},&quot;isEdited&quot;:false,&quot;manualOverride&quot;:{&quot;isManuallyOverridden&quot;:false,&quot;citeprocText&quot;:&quot;(Zheng et al. 2015)&quot;,&quot;manualOverrideText&quot;:&quot;&quot;},&quot;citationTag&quot;:&quot;MENDELEY_CITATION_v3_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&quot;,&quot;citationItems&quot;:[{&quot;id&quot;:&quot;4795e4c7-f01e-372b-8bae-32b8d9f3ee37&quot;,&quot;itemData&quot;:{&quot;type&quot;:&quot;article-journal&quot;,&quot;id&quot;:&quot;4795e4c7-f01e-372b-8bae-32b8d9f3ee37&quot;,&quot;title&quot;:&quot;Shading decreases plant carbon preferential allocation towards the most beneficial mycorrhizal mutualist&quot;,&quot;author&quot;:[{&quot;family&quot;:&quot;Zheng&quot;,&quot;given&quot;:&quot;Chaoyuan&quot;,&quot;parse-names&quot;:false,&quot;dropping-particle&quot;:&quot;&quot;,&quot;non-dropping-particle&quot;:&quot;&quot;},{&quot;family&quot;:&quot;Ji&quot;,&quot;given&quot;:&quot;Baoming&quot;,&quot;parse-names&quot;:false,&quot;dropping-particle&quot;:&quot;&quot;,&quot;non-dropping-particle&quot;:&quot;&quot;},{&quot;family&quot;:&quot;Zhang&quot;,&quot;given&quot;:&quot;Junling&quot;,&quot;parse-names&quot;:false,&quot;dropping-particle&quot;:&quot;&quot;,&quot;non-dropping-particle&quot;:&quot;&quot;},{&quot;family&quot;:&quot;Zhang&quot;,&quot;given&quot;:&quot;Fusuo&quot;,&quot;parse-names&quot;:false,&quot;dropping-particle&quot;:&quot;&quot;,&quot;non-dropping-particle&quot;:&quot;&quot;},{&quot;family&quot;:&quot;Bever&quot;,&quot;given&quot;:&quot;James D.&quot;,&quot;parse-names&quot;:false,&quot;dropping-particle&quot;:&quot;&quot;,&quot;non-dropping-particle&quot;:&quot;&quot;}],&quot;container-title&quot;:&quot;New Phytologist&quot;,&quot;DOI&quot;:&quot;10.1111/nph.13025&quot;,&quot;ISSN&quot;:&quot;14698137&quot;,&quot;PMID&quot;:&quot;25243653&quot;,&quot;issued&quot;:{&quot;date-parts&quot;:[[2015,1,1]]},&quot;page&quot;:&quot;361-368&quot;,&quot;abstract&quot;:&quot;Preferential allocation towards the most beneficial mutualist could maintain mycorrhizal mutualism. Context dependence of preferential allocation could then determine environmental patterns in abundance of mycorrhizal mutualists. We assessed the preferential allocation of carbon (C) and differential phosphorus (P) uptake across four light treatments between the host plant Allium vineale and two arbuscular mycorrhizal (AM) fungi within a split-root system. The ratios of C allocation and P uptake between the beneficial and nonbeneficial AM fungi were measured using isotopic labelling. Allium vineale preferentially allocated more C towards roots infected with the most beneficial AM fungus in high light and, in return, received more P from the beneficial fungus. Preferential allocation declined with shading, as A. vineale allocated 25% of labelled C to roots infected with beneficial AM fungi in high light, but only 15% with shading, a similar percentage to that allocated to roots infected with nonbeneficial fungi regardless of shading. Our findings demonstrate that plant preferential allocation towards the most beneficial mycorrhizal mutualist depends upon above-ground resources, suggesting that the abundance of beneficial mycorrhizal fungi will increase with amount of above-ground resources, with implications for mycorrhizal mediation of plant productivity with anthropogenic change.&quot;,&quot;publisher&quot;:&quot;Blackwell Publishing Ltd&quot;,&quot;issue&quot;:&quot;1&quot;,&quot;volume&quot;:&quot;205&quot;},&quot;isTemporary&quot;:false}]},{&quot;citationID&quot;:&quot;MENDELEY_CITATION_99d4acd0-c896-46bc-af92-69ae197955f3&quot;,&quot;properties&quot;:{&quot;noteIndex&quot;:0},&quot;isEdited&quot;:false,&quot;manualOverride&quot;:{&quot;isManuallyOverridden&quot;:false,&quot;citeprocText&quot;:&quot;(Konvalinková et al. 2015; Konvalinková and Jansa 2016)&quot;,&quot;manualOverrideText&quot;:&quot;&quot;},&quot;citationTag&quot;:&quot;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&quot;,&quot;citationItems&quot;:[{&quot;id&quot;:&quot;6c760f2b-bc7e-385e-8bcc-f936577cd31b&quot;,&quot;itemData&quot;:{&quot;type&quot;:&quot;article&quot;,&quot;id&quot;:&quot;6c760f2b-bc7e-385e-8bcc-f936577cd31b&quot;,&quot;title&quot;:&quot;Lights off for arbuscular mycorrhiza: On its symbiotic functioning under light deprivation&quot;,&quot;author&quot;:[{&quot;family&quot;:&quot;Konvalinková&quot;,&quot;given&quot;:&quot;Tereza&quot;,&quot;parse-names&quot;:false,&quot;dropping-particle&quot;:&quot;&quot;,&quot;non-dropping-particle&quot;:&quot;&quot;},{&quot;family&quot;:&quot;Jansa&quot;,&quot;given&quot;:&quot;Jan&quot;,&quot;parse-names&quot;:false,&quot;dropping-particle&quot;:&quot;&quot;,&quot;non-dropping-particle&quot;:&quot;&quot;}],&quot;container-title&quot;:&quot;Frontiers in Plant Science&quot;,&quot;container-title-short&quot;:&quot;Front Plant Sci&quot;,&quot;DOI&quot;:&quot;10.3389/fpls.2016.00782&quot;,&quot;ISSN&quot;:&quot;1664462X&quot;,&quot;issued&quot;:{&quot;date-parts&quot;:[[2016,6,6]]},&quot;abstract&quot;:&quot;Plants are often exposed to shade over different time scales and this may substantially affect not only their own growth, but also development and functioning of the energetically dependent organisms. Among those, the root symbionts such as arbuscular mycorrhizal (AM) fungi and rhizobia represent particularly important cases—on the one hand, they consume a significant share of plant carbon (C) budget and, on the other, they generate a number of important nutritional feedbacks on their plant hosts, often resulting in a net positive effect on their host growth and/or fitness. Here we discuss our previous results comparing mycorrhizal performance under different intensities and durations of shade (Konvalinková et al., 2015) in a broader context of previously published literature. Additionally, we review publicly available knowledge on the root colonization and mycorrhizal growth responses in AM plants under light deprivation. Experimental evidence shows that sudden and intensive decrease of light availability to a mycorrhizal plant triggers rapid deactivation of phosphorus transfer from the AM fungus to the plant already within a few days, implying active and rapid response of the AM fungus to the energetic status of its plant host. When AM plants are exposed to intensive shading on longer time scales (weeks to months), positive mycorrhizal growth responses (MGR) are often decreasing and may eventually become negative. This is most likely due to the high C cost of the symbiosis relative to the C availability, and failure of plants to fully compensate for the fungal C demand under low light. Root colonization by AM fungi often declines under low light intensities, although the active role of plants in regulating the extent of root colonization has not yet been unequivocally demonstrated. Quantitative information on the rates and dynamics of C transfer from the plant to the fungus is mostly missing, as is the knowledge on the involved molecular mechanisms. Therefore, these subjects deserve particular attention in the future.&quot;,&quot;publisher&quot;:&quot;Frontiers Research Foundation&quot;,&quot;issue&quot;:&quot;June2016&quot;,&quot;volume&quot;:&quot;7&quot;},&quot;isTemporary&quot;:false},{&quot;id&quot;:&quot;4dc603a8-d413-3f51-9e74-f359e0148227&quot;,&quot;itemData&quot;:{&quot;type&quot;:&quot;article-journal&quot;,&quot;id&quot;:&quot;4dc603a8-d413-3f51-9e74-f359e0148227&quot;,&quot;title&quot;:&quot;Duration and intensity of shade differentially affects mycorrhizal growth- and phosphorus uptake responses of Medicago truncatula&quot;,&quot;author&quot;:[{&quot;family&quot;:&quot;Konvalinková&quot;,&quot;given&quot;:&quot;Tereza&quot;,&quot;parse-names&quot;:false,&quot;dropping-particle&quot;:&quot;&quot;,&quot;non-dropping-particle&quot;:&quot;&quot;},{&quot;family&quot;:&quot;Püschel&quot;,&quot;given&quot;:&quot;David&quot;,&quot;parse-names&quot;:false,&quot;dropping-particle&quot;:&quot;&quot;,&quot;non-dropping-particle&quot;:&quot;&quot;},{&quot;family&quot;:&quot;Janoušková&quot;,&quot;given&quot;:&quot;Martina&quot;,&quot;parse-names&quot;:false,&quot;dropping-particle&quot;:&quot;&quot;,&quot;non-dropping-particle&quot;:&quot;&quot;},{&quot;family&quot;:&quot;Gryndler&quot;,&quot;given&quot;:&quot;Milan&quot;,&quot;parse-names&quot;:false,&quot;dropping-particle&quot;:&quot;&quot;,&quot;non-dropping-particle&quot;:&quot;&quot;},{&quot;family&quot;:&quot;Jansa&quot;,&quot;given&quot;:&quot;Jan&quot;,&quot;parse-names&quot;:false,&quot;dropping-particle&quot;:&quot;&quot;,&quot;non-dropping-particle&quot;:&quot;&quot;}],&quot;container-title&quot;:&quot;Frontiers in Plant Science&quot;,&quot;container-title-short&quot;:&quot;Front Plant Sci&quot;,&quot;DOI&quot;:&quot;10.3389/fpls.2015.00065&quot;,&quot;ISSN&quot;:&quot;1664462X&quot;,&quot;issued&quot;:{&quot;date-parts&quot;:[[2015,2,13]]},&quot;abstract&quot;:&quot;Plant and fungal partners in arbuscular mycorrhizal symbiosis trade mineral nutrients for carbon, with the outcome of this relationship for plant growth and nutrition being highly context-dependent and changing with the availability of resources as well as with the specific requirements of the different partners. Here we studied how the model legume Medicago truncatula, inoculated or not with a mycorrhizal fungus Rhizophagus irregularis, responded to a gradient of light intensities applied over different periods of time, in terms of growth, phosphorus nutrition and the levels of root colonization by the mycorrhizal fungus. Short-term (6 d) shading, depending on its intensity, resulted in a rapid decline of phosphorus uptake to the shoots of mycorrhizal plants and simultaneous accumulation of phosphorus in the roots (most likely in the fungal tissues), as compared to the non-mycorrhizal controls. There was, however, no significant change in the levels of mycorrhizal colonization of roots due to short-term shading. Long-term (38 d) shading, depending on its intensity, provoked a multitude of plant compensatory mechanisms, which were further boosted by the mycorrhizal symbiosis. Mycorrhizal growth- and phosphorus uptake benefits, however, vanished at 10% of the full light intensity applied over a long-term. Levels of root colonization by the mycorrhizal fungus were significantly reduced by long-term shading. Our results indicate that even short periods of shade could have important consequences for the functioning of mycorrhizal symbiosis in terms of phosphorus transfer between the fungus and the plants, without any apparent changes in root colonization parameters or mycorrhizal growth response, and call for more focused research on temporal dynamics of mycorrhizal functioning under changing environmental conditions.&quot;,&quot;publisher&quot;:&quot;Frontiers Research Foundation&quot;,&quot;issue&quot;:&quot;FEB&quot;,&quot;volume&quot;:&quot;6&quot;},&quot;isTemporary&quot;:false}]},{&quot;citationID&quot;:&quot;MENDELEY_CITATION_b59a7b87-bdce-481e-83f4-8815a13b0ba1&quot;,&quot;properties&quot;:{&quot;noteIndex&quot;:0},&quot;isEdited&quot;:false,&quot;manualOverride&quot;:{&quot;isManuallyOverridden&quot;:false,&quot;citeprocText&quot;:&quot;(Hart and Reader 2002a)&quot;,&quot;manualOverrideText&quot;:&quot;&quot;},&quot;citationTag&quot;:&quot;MENDELEY_CITATION_v3_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&quot;,&quot;citationItems&quot;:[{&quot;id&quot;:&quot;10d2dc02-e3a2-3a93-bad2-ee8f45957050&quot;,&quot;itemData&quot;:{&quot;type&quot;:&quot;article-journal&quot;,&quot;id&quot;:&quot;10d2dc02-e3a2-3a93-bad2-ee8f45957050&quot;,&quot;title&quot;:&quot;Taxonomic basis for variation in the colonization strategy of arbuscular mycorrhizal fungi&quot;,&quot;author&quot;:[{&quot;family&quot;:&quot;Hart&quot;,&quot;given&quot;:&quot;Miranda M.&quot;,&quot;parse-names&quot;:false,&quot;dropping-particle&quot;:&quot;&quot;,&quot;non-dropping-particle&quot;:&quot;&quot;},{&quot;family&quot;:&quot;Reader&quot;,&quot;given&quot;:&quot;Richard J.&quot;,&quot;parse-names&quot;:false,&quot;dropping-particle&quot;:&quot;&quot;,&quot;non-dropping-particle&quot;:&quot;&quot;}],&quot;container-title&quot;:&quot;New Phytologist&quot;,&quot;DOI&quot;:&quot;10.1046/j.0028-646X.2001.00312.x&quot;,&quot;ISSN&quot;:&quot;0028646X&quot;,&quot;issued&quot;:{&quot;date-parts&quot;:[[2002]]},&quot;page&quot;:&quot;335-344&quot;,&quot;abstract&quot;:&quot;Arbuscular mycorrhizal fungi (AMF) are important components of terrestrial communities but the basic ecology of individual AMF, including their colonization strategy, remains unclear. The colonizing behaviours of 21 AMF isolates from three families (Acaulosporaceae, Gigasporaceae and Glomaceae) were compared to test for a relationship between AMF taxonomy and colonization strategy. Both the rate and extent of colonization were considered by measuring percentage root colonization, root fungal biomass, soil hyphal length and soil fungal biomass over 12 wk. Most Glomaceae isolates colonized roots before Acaulosporaceae and Gigasporaceae isolates. The fastest colonizers were also often the most extensive. Taxonomic differences were apparent in the amount and proportion of fungal biomass found in roots vs in soil. Glomaceae isolates had high root colonization but low soil colonization, Gigasporaceae isolates showed the opposite trend whereas Acaulosporaceae isolates had low root and soil colonization. These results were similar for four different host plants. The results indicate that the colonizing strategies of AM fungi differ considerably and that this variation is taxonomically based at the family level. Arbuscular mycorrhizal fungal taxonomy therefore has a functional basis. © New Phytologist (2002).&quot;,&quot;issue&quot;:&quot;2&quot;,&quot;volume&quot;:&quot;153&quot;},&quot;isTemporary&quot;:false}]},{&quot;citationID&quot;:&quot;MENDELEY_CITATION_057381e3-e0c1-4fe4-bec2-3362635c9a09&quot;,&quot;properties&quot;:{&quot;noteIndex&quot;:0},&quot;isEdited&quot;:false,&quot;manualOverride&quot;:{&quot;isManuallyOverridden&quot;:false,&quot;citeprocText&quot;:&quot;(Hart and Reader 2002b)&quot;,&quot;manualOverrideText&quot;:&quot;&quot;},&quot;citationTag&quot;:&quot;MENDELEY_CITATION_v3_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&quot;,&quot;citationItems&quot;:[{&quot;id&quot;:&quot;5dd587ce-ff34-3105-abb7-52b7c9960923&quot;,&quot;itemData&quot;:{&quot;type&quot;:&quot;article-journal&quot;,&quot;id&quot;:&quot;5dd587ce-ff34-3105-abb7-52b7c9960923&quot;,&quot;title&quot;:&quot;Host plant benefit from association with arbuscular mycorrhizal fungi: Variation due to differences in size of mycelium&quot;,&quot;author&quot;:[{&quot;family&quot;:&quot;Hart&quot;,&quot;given&quot;:&quot;Miranda M.&quot;,&quot;parse-names&quot;:false,&quot;dropping-particle&quot;:&quot;&quot;,&quot;non-dropping-particle&quot;:&quot;&quot;},{&quot;family&quot;:&quot;Reader&quot;,&quot;given&quot;:&quot;Richard J.&quot;,&quot;parse-names&quot;:false,&quot;dropping-particle&quot;:&quot;&quot;,&quot;non-dropping-particle&quot;:&quot;&quot;}],&quot;container-title&quot;:&quot;Biology and Fertility of Soils&quot;,&quot;container-title-short&quot;:&quot;Biol Fertil Soils&quot;,&quot;DOI&quot;:&quot;10.1007/s00374-002-0539-4&quot;,&quot;ISSN&quot;:&quot;01782762&quot;,&quot;issued&quot;:{&quot;date-parts&quot;:[[2002]]},&quot;page&quot;:&quot;357-366&quot;,&quot;abstract&quot;:&quot;Plants differ in the benefit they receive from an association with arbuscular mycorrhizal fungi (AMF) but it is unclear what factors determine host response. We tested whether this difference is due in part to differences among AMF families (Glomaceae, Gigasporaceae, and Acaulosporaceae) in the size of their mycelium. For example, an AMF with a large mycelium might be better able to transfer nutrients to its host. Alternatively, the large mycelium might present a large carbon drain for the host. It might also be the location of AMF mycelium that is important: whether it occurs in the root or in the soil. In a greenhouse experiment, four different host plant species were inoculated with each of 21 AMF isolates representing different mycelial sizes and we measured both host plant biomass and foliar phosphorus concentration over 12 weeks. AMF family significantly affected host biomass with larger internal mycelia conferring greater host benefit. However, both intra-family variation in AMF effect and host identity also influenced host response. For foliar P, AMF family did not affect host response significantly. Our results show that differences in mycelial size among AMF families may contribute to variation in host responsiveness to AMF, but other factors are also important.&quot;,&quot;issue&quot;:&quot;5&quot;,&quot;volume&quot;:&quot;36&quot;},&quot;isTemporary&quot;:false}]},{&quot;citationID&quot;:&quot;MENDELEY_CITATION_136d7248-b867-4cb8-af76-bf616a901b3f&quot;,&quot;properties&quot;:{&quot;noteIndex&quot;:0},&quot;isEdited&quot;:false,&quot;manualOverride&quot;:{&quot;isManuallyOverridden&quot;:true,&quot;citeprocText&quot;:&quot;(Chagnon et al. 2013)&quot;,&quot;manualOverrideText&quot;:&quot;Chagnon et al. (2013)&quot;},&quot;citationTag&quot;:&quot;MENDELEY_CITATION_v3_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&quot;,&quot;citationItems&quot;:[{&quot;id&quot;:&quot;209121ca-0764-3834-a25d-b0556b449238&quot;,&quot;itemData&quot;:{&quot;type&quot;:&quot;article-journal&quot;,&quot;id&quot;:&quot;209121ca-0764-3834-a25d-b0556b449238&quot;,&quot;title&quot;:&quot;A trait-based framework to understand life history of mycorrhizal fungi&quot;,&quot;author&quot;:[{&quot;family&quot;:&quot;Chagnon&quot;,&quot;given&quot;:&quot;Pierre Luc&quot;,&quot;parse-names&quot;:false,&quot;dropping-particle&quot;:&quot;&quot;,&quot;non-dropping-particle&quot;:&quot;&quot;},{&quot;family&quot;:&quot;Bradley&quot;,&quot;given&quot;:&quot;Robert L.&quot;,&quot;parse-names&quot;:false,&quot;dropping-particle&quot;:&quot;&quot;,&quot;non-dropping-particle&quot;:&quot;&quot;},{&quot;family&quot;:&quot;Maherali&quot;,&quot;given&quot;:&quot;Hafiz&quot;,&quot;parse-names&quot;:false,&quot;dropping-particle&quot;:&quot;&quot;,&quot;non-dropping-particle&quot;:&quot;&quot;},{&quot;family&quot;:&quot;Klironomos&quot;,&quot;given&quot;:&quot;John N.&quot;,&quot;parse-names&quot;:false,&quot;dropping-particle&quot;:&quot;&quot;,&quot;non-dropping-particle&quot;:&quot;&quot;}],&quot;container-title&quot;:&quot;Trends in Plant Science&quot;,&quot;container-title-short&quot;:&quot;Trends Plant Sci&quot;,&quot;DOI&quot;:&quot;10.1016/j.tplants.2013.05.001&quot;,&quot;ISSN&quot;:&quot;13601385&quot;,&quot;PMID&quot;:&quot;23756036&quot;,&quot;URL&quot;:&quot;http://dx.doi.org/10.1016/j.tplants.2013.05.001&quot;,&quot;issued&quot;:{&quot;date-parts&quot;:[[2013]]},&quot;page&quot;:&quot;484-491&quot;,&quot;abstract&quot;:&quot;Despite the growing appreciation for the functional diversity of arbuscular mycorrhizal (AM) fungi, our understanding of the causes and consequences of this diversity is still poor. In this opinion article, we review published data on AM fungal functional traits and attempt to identify major axes of life history variation. We propose that a life history classification system based on the grouping of functional traits, such as Grime's C-S-R (competitor, stress tolerator, ruderal) framework, can help to explain life history diversification in AM fungi, successional dynamics, and the spatial structure of AM fungal assemblages. Using a common life history classification framework for both plants and AM fungi could also help in predicting probable species associations in natural communities and increase our fundamental understanding of the interaction between land plants and AM fungi. © 2013 Elsevier Ltd.&quot;,&quot;publisher&quot;:&quot;Elsevier Ltd&quot;,&quot;issue&quot;:&quot;9&quot;,&quot;volume&quot;:&quot;18&quot;},&quot;isTemporary&quot;:false}]},{&quot;citationID&quot;:&quot;MENDELEY_CITATION_e0290a4a-ea27-4d2a-b49c-a2189f4210d7&quot;,&quot;properties&quot;:{&quot;noteIndex&quot;:0},&quot;isEdited&quot;:false,&quot;manualOverride&quot;:{&quot;isManuallyOverridden&quot;:false,&quot;citeprocText&quot;:&quot;(Nakano-Hylander and Olsson 2007)&quot;,&quot;manualOverrideText&quot;:&quot;&quot;},&quot;citationTag&quot;:&quot;MENDELEY_CITATION_v3_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&quot;,&quot;citationItems&quot;:[{&quot;id&quot;:&quot;de70e96c-9389-34cd-8fc9-bf6ebfcb71f9&quot;,&quot;itemData&quot;:{&quot;type&quot;:&quot;article-journal&quot;,&quot;id&quot;:&quot;de70e96c-9389-34cd-8fc9-bf6ebfcb71f9&quot;,&quot;title&quot;:&quot;Carbon allocation in mycelia of arbuscular mycorrhizal fungi during colonisation of plant seedlings&quot;,&quot;author&quot;:[{&quot;family&quot;:&quot;Nakano-Hylander&quot;,&quot;given&quot;:&quot;Aiko&quot;,&quot;parse-names&quot;:false,&quot;dropping-particle&quot;:&quot;&quot;,&quot;non-dropping-particle&quot;:&quot;&quot;},{&quot;family&quot;:&quot;Olsson&quot;,&quot;given&quot;:&quot;Pål Axel&quot;,&quot;parse-names&quot;:false,&quot;dropping-particle&quot;:&quot;&quot;,&quot;non-dropping-particle&quot;:&quot;&quot;}],&quot;container-title&quot;:&quot;Soil Biology and Biochemistry&quot;,&quot;container-title-short&quot;:&quot;Soil Biol Biochem&quot;,&quot;DOI&quot;:&quot;10.1016/j.soilbio.2006.12.031&quot;,&quot;ISSN&quot;:&quot;00380717&quot;,&quot;issued&quot;:{&quot;date-parts&quot;:[[2007,7]]},&quot;page&quot;:&quot;1450-1458&quot;,&quot;abstract&quot;:&quot;The direction of carbon (C) allocation in mycorrhizal mycelia is of fundamental importance to coexistence of individual plants. We therefore investigated the transfer of C from established plants to plant seedlings through fungal mycelia. C allocation by the arbuscular mycorrhizal (AM) fungus Glomus intraradices, from 'donor' plants to mycelia in soil and two different species of introduced 'receiver' seedlings, was investigated in a pot experiment using 13C labelling and fatty acid analysis. After 13CO2 application to the shoots of Trifolium subterraneum or Plantago lanceolata, used as donor plants, T. subterraneum and P. lanceolata receiver seedlings were introduced. Samples were collected 4-20 days after 13CO2 application and analysed regarding 13C and the fatty acid 16:1ω5, the signature of AM fungi. 13C transfer from T. subterraneum donor plants was demonstrated by 13C enrichment of the roots of the receiver seedlings, but not from the P. lanceolata donor plants. 13C allocation to the neutral lipid fatty acid 16:1ω5 was only 1 ng in each receiver seedling, but 2 μg of the fatty acid in whole soil. The results indicate that C allocation through mycelial networks is influenced by the donor plant species, but is not directed towards receiver seedlings to any higher degree than towards other directions. The importance of the extraradical AM fungal mycelium as a C sink was demonstrated. © 2007 Elsevier Ltd. All rights reserved.&quot;,&quot;issue&quot;:&quot;7&quot;,&quot;volume&quot;:&quot;39&quot;},&quot;isTemporary&quot;:false}]},{&quot;citationID&quot;:&quot;MENDELEY_CITATION_3f4609de-1159-40b8-b8d8-5258d525166f&quot;,&quot;properties&quot;:{&quot;noteIndex&quot;:0},&quot;isEdited&quot;:false,&quot;manualOverride&quot;:{&quot;isManuallyOverridden&quot;:false,&quot;citeprocText&quot;:&quot;(Kawahara and Ezawa 2013)&quot;,&quot;manualOverrideText&quot;:&quot;&quot;},&quot;citationTag&quot;:&quot;MENDELEY_CITATION_v3_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&quot;,&quot;citationItems&quot;:[{&quot;id&quot;:&quot;3414ac23-a4f6-37ed-888f-113a0b9ffc1b&quot;,&quot;itemData&quot;:{&quot;type&quot;:&quot;article-journal&quot;,&quot;id&quot;:&quot;3414ac23-a4f6-37ed-888f-113a0b9ffc1b&quot;,&quot;title&quot;:&quot;Characterization of arbuscular mycorrhizal fungal communities with respect to zonal vegetation in a coastal dune ecosystem&quot;,&quot;author&quot;:[{&quot;family&quot;:&quot;Kawahara&quot;,&quot;given&quot;:&quot;Ai&quot;,&quot;parse-names&quot;:false,&quot;dropping-particle&quot;:&quot;&quot;,&quot;non-dropping-particle&quot;:&quot;&quot;},{&quot;family&quot;:&quot;Ezawa&quot;,&quot;given&quot;:&quot;Tatsuhiro&quot;,&quot;parse-names&quot;:false,&quot;dropping-particle&quot;:&quot;&quot;,&quot;non-dropping-particle&quot;:&quot;&quot;}],&quot;container-title&quot;:&quot;Oecologia&quot;,&quot;container-title-short&quot;:&quot;Oecologia&quot;,&quot;DOI&quot;:&quot;10.1007/s00442-013-2622-y&quot;,&quot;ISSN&quot;:&quot;00298549&quot;,&quot;PMID&quot;:&quot;23474896&quot;,&quot;issued&quot;:{&quot;date-parts&quot;:[[2013]]},&quot;page&quot;:&quot;533-543&quot;,&quot;abstract&quot;:&quot;Coastal dune vegetation distributes zonally along the environmental gradients of, e.g., soil disturbance. In the preset study, arbuscular mycorrhizal fungal communities in a coastal dune ecosystem were characterized with respect to tolerance to soil disturbance. Two grass species, Elymus mollis and Miscanthus sinensis, are distributed zonally in the seaward and landward slopes, respectively, in the primary dunes in Ishikari, Japan. The seaward slope is severely disturbed by wind, while the landward slope is stabilized by the thick root system of M. sinensis. The roots and rhizosphere soils of the two grasses were collected from the slopes. The soils were sieved to destruct the fungal hyphal networks, and soil trap culture was conducted to assess tolerance of the communities to disturbance, with parallel analysis of the field communities using a molecular ecological tool. In the landward communities, large shifts in the composition and increases in diversity were observed in the trap culture compared with the field, but in the seaward communities, the impact of trap culture was minimal. The landward field community was significantly nested within the landward trap culture community, implying that most members in the field community did not disappear in the trap culture. No nestedness was observed in the seaward communities. These observations suggest that disturbance-tolerant fungi have been preferentially selected in the seaward slope due to severe disturbance in the habitat. Whereas a limited number of fungi, which are not necessarily disturbance-sensitive, dominate in the stable landward slope, but high-potential diversity has been maintained in the habitat. © 2013 Springer-Verlag Berlin Heidelberg.&quot;,&quot;issue&quot;:&quot;2&quot;,&quot;volume&quot;:&quot;173&quot;},&quot;isTemporary&quot;:false}]},{&quot;citationID&quot;:&quot;MENDELEY_CITATION_9cf24492-25a5-4781-b28c-44f5a3ec257d&quot;,&quot;properties&quot;:{&quot;noteIndex&quot;:0},&quot;isEdited&quot;:false,&quot;manualOverride&quot;:{&quot;citeprocText&quot;:&quot;(Niwa et al. 2018)&quot;,&quot;isManuallyOverridden&quot;:false,&quot;manualOverrideText&quot;:&quot;&quot;},&quot;citationTag&quot;:&quot;MENDELEY_CITATION_v3_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&quot;,&quot;citationItems&quot;:[{&quot;id&quot;:&quot;7708f263-a4fb-3aca-a15a-a509e1943d40&quot;,&quot;itemData&quot;:{&quot;DOI&quot;:&quot;10.1038/s41598-018-25701-4&quot;,&quot;ISSN&quot;:&quot;20452322&quot;,&quot;PMID&quot;:&quot;29743529&quot;,&quot;abstract&quot;:&quot;Arbuscular mycorrhizal (AM) fungi associate with most land plants and deliver phosphorus to the host. Identification of biotic/abiotic factors that determine crop responses to AM fungal inoculation is an essential step for successful application of the fungi in sustainable agriculture. We conducted three field trials on soybean with a commercial inoculum and developed a new molecular tool to dissect interactions between the inoculum and indigenous fungi on the MiSeq sequencing platform. Regression analysis indicated that sequence read abundance of the inoculum fungus was the most significant factor that determined soybean yield responses to the inoculation, suggesting that dominance of the inoculum fungus is a necessary condition for positive yield responses. Agricultural practices (fallow/cropping in the previous year) greatly affected the colonization levels (i.e. read abundances) of the inoculum fungus via altering the propagule density of indigenous AM fungi. Analysis of niche competition revealed that the inoculum fungus competed mainly with the indigenous fungi that are commonly distributed in the trial sites, probably because their life-history strategy is the same as that of the inoculum fungus. In conclusion, we provide a new framework for evaluating the significance of environmental factors towards successful application of AM fungi in agriculture.&quot;,&quot;author&quot;:[{&quot;dropping-particle&quot;:&quot;&quot;,&quot;family&quot;:&quot;Niwa&quot;,&quot;given&quot;:&quot;Rieko&quot;,&quot;non-dropping-particle&quot;:&quot;&quot;,&quot;parse-names&quot;:false,&quot;suffix&quot;:&quot;&quot;},{&quot;dropping-particle&quot;:&quot;&quot;,&quot;family&quot;:&quot;Koyama&quot;,&quot;given&quot;:&quot;Takuya&quot;,&quot;non-dropping-particle&quot;:&quot;&quot;,&quot;parse-names&quot;:false,&quot;suffix&quot;:&quot;&quot;},{&quot;dropping-particle&quot;:&quot;&quot;,&quot;family&quot;:&quot;Sato&quot;,&quot;given&quot;:&quot;Takumi&quot;,&quot;non-dropping-particle&quot;:&quot;&quot;,&quot;parse-names&quot;:false,&quot;suffix&quot;:&quot;&quot;},{&quot;dropping-particle&quot;:&quot;&quot;,&quot;family&quot;:&quot;Adachi&quot;,&quot;given&quot;:&quot;Katsuki&quot;,&quot;non-dropping-particle&quot;:&quot;&quot;,&quot;parse-names&quot;:false,&quot;suffix&quot;:&quot;&quot;},{&quot;dropping-particle&quot;:&quot;&quot;,&quot;family&quot;:&quot;Tawaraya&quot;,&quot;given&quot;:&quot;Keitaro&quot;,&quot;non-dropping-particle&quot;:&quot;&quot;,&quot;parse-names&quot;:false,&quot;suffix&quot;:&quot;&quot;},{&quot;dropping-particle&quot;:&quot;&quot;,&quot;family&quot;:&quot;Sato&quot;,&quot;given&quot;:&quot;Shusei&quot;,&quot;non-dropping-particle&quot;:&quot;&quot;,&quot;parse-names&quot;:false,&quot;suffix&quot;:&quot;&quot;},{&quot;dropping-particle&quot;:&quot;&quot;,&quot;family&quot;:&quot;Hirakawa&quot;,&quot;given&quot;:&quot;Hideki&quot;,&quot;non-dropping-particle&quot;:&quot;&quot;,&quot;parse-names&quot;:false,&quot;suffix&quot;:&quot;&quot;},{&quot;dropping-particle&quot;:&quot;&quot;,&quot;family&quot;:&quot;Yoshida&quot;,&quot;given&quot;:&quot;Shigenobu&quot;,&quot;non-dropping-particle&quot;:&quot;&quot;,&quot;parse-names&quot;:false,&quot;suffix&quot;:&quot;&quot;},{&quot;dropping-particle&quot;:&quot;&quot;,&quot;family&quot;:&quot;Ezawa&quot;,&quot;given&quot;:&quot;Tatsuhiro&quot;,&quot;non-dropping-particle&quot;:&quot;&quot;,&quot;parse-names&quot;:false,&quot;suffix&quot;:&quot;&quot;}],&quot;container-title&quot;:&quot;Scientific Reports&quot;,&quot;id&quot;:&quot;7708f263-a4fb-3aca-a15a-a509e1943d40&quot;,&quot;issue&quot;:&quot;1&quot;,&quot;issued&quot;:{&quot;date-parts&quot;:[[&quot;2018&quot;]]},&quot;page&quot;:&quot;2-5&quot;,&quot;title&quot;:&quot;Dissection of niche competition between introduced and indigenous arbuscular mycorrhizal fungi with respect to soybean yield responses&quot;,&quot;type&quot;:&quot;article-journal&quot;,&quot;volume&quot;:&quot;8&quot;,&quot;container-title-short&quot;:&quot;Sci Rep&quot;},&quot;uris&quot;:[&quot;http://www.mendeley.com/documents/?uuid=20b7be3d-baec-4e2d-bb59-225f01144b98&quot;],&quot;isTemporary&quot;:false,&quot;legacyDesktopId&quot;:&quot;20b7be3d-baec-4e2d-bb59-225f01144b98&quot;}]},{&quot;citationID&quot;:&quot;MENDELEY_CITATION_b575956f-8a54-459e-8a3c-2a07905e35ee&quot;,&quot;properties&quot;:{&quot;noteIndex&quot;:0},&quot;isEdited&quot;:false,&quot;manualOverride&quot;:{&quot;isManuallyOverridden&quot;:false,&quot;citeprocText&quot;:&quot;(Kawahara and Ezawa 2013; Cahyaningtyas and Ezawa 2024)&quot;,&quot;manualOverrideText&quot;:&quot;&quot;},&quot;citationItems&quot;:[{&quot;id&quot;:&quot;5089b209-5eb3-39cd-a91e-3bda29b52a6b&quot;,&quot;itemData&quot;:{&quot;type&quot;:&quot;article-journal&quot;,&quot;id&quot;:&quot;5089b209-5eb3-39cd-a91e-3bda29b52a6b&quot;,&quot;title&quot;:&quot;Disturbance tolerance of arbuscular mycorrhizal fungi: characterization of life-history strategies along a disturbance gradient in a coastal dune ecosystem&quot;,&quot;author&quot;:[{&quot;family&quot;:&quot;Cahyaningtyas&quot;,&quot;given&quot;:&quot;A.&quot;,&quot;parse-names&quot;:false,&quot;dropping-particle&quot;:&quot;&quot;,&quot;non-dropping-particle&quot;:&quot;&quot;},{&quot;family&quot;:&quot;Ezawa&quot;,&quot;given&quot;:&quot;T.&quot;,&quot;parse-names&quot;:false,&quot;dropping-particle&quot;:&quot;&quot;,&quot;non-dropping-particle&quot;:&quot;&quot;}],&quot;container-title&quot;:&quot;Plant and Soil&quot;,&quot;container-title-short&quot;:&quot;Plant Soil&quot;,&quot;DOI&quot;:&quot;10.1007/s11104-023-06337-4&quot;,&quot;ISSN&quot;:&quot;15735036&quot;,&quot;issued&quot;:{&quot;date-parts&quot;:[[2024]]},&quot;abstract&quot;:&quot;Purpose: Arbuscular mycorrhizal fungi that regenerate rapidly after disturbance play a significant role in vegetation resilience. We employed the fungi inhabiting a coastal dune ecosystem to characterize their strategies for survival and regeneration after disturbance. Methods: Root-soil samples were collected from the seaward and landward slopes that differ in disturbance severity. The native grass Miscanthus sinensis (donor plants) were grown in the soil samples for two months, and from a half of the plants, disturbance-tolerant fungi that regenerate from spores and extraradical hyphae (soil propagule-mediated regenerators, SP) and those that regenerate from the colonized roots (root-direct regenerators, RD) were trapped separately with new seedlings (assessment plants). The other half of the donor plants were further grown without destruction for four months together with assessment plants, during which the fungi trapped by the plants were categorized as disturbance-sensitive slow regenerators (SL). DNA was extracted from the assessment plants for identification based on LSU rDNA sequences. Results: All the fungi that occurred widely in the seaward samples belonged to the Glomeraceae and Paraglomeraceae and preferred the RD strategy to the SP strategy. In the landward samples diverse taxa that employed diverse strategies occurred, and among them, Gigasporaceae fungi showed a distinct preference for the SP strategy. Conclusion: These observations suggest that not only soil-borne propagules but also colonized roots play a key role in the rapid regeneration of the fungi after disturbance, providing a new insight into the life-history strategies of AM fungi in frequently disturbed environments.&quot;,&quot;issue&quot;:&quot;1-2&quot;,&quot;volume&quot;:&quot;495&quot;},&quot;isTemporary&quot;:false},{&quot;id&quot;:&quot;3414ac23-a4f6-37ed-888f-113a0b9ffc1b&quot;,&quot;itemData&quot;:{&quot;type&quot;:&quot;article-journal&quot;,&quot;id&quot;:&quot;3414ac23-a4f6-37ed-888f-113a0b9ffc1b&quot;,&quot;title&quot;:&quot;Characterization of arbuscular mycorrhizal fungal communities with respect to zonal vegetation in a coastal dune ecosystem&quot;,&quot;author&quot;:[{&quot;family&quot;:&quot;Kawahara&quot;,&quot;given&quot;:&quot;Ai&quot;,&quot;parse-names&quot;:false,&quot;dropping-particle&quot;:&quot;&quot;,&quot;non-dropping-particle&quot;:&quot;&quot;},{&quot;family&quot;:&quot;Ezawa&quot;,&quot;given&quot;:&quot;Tatsuhiro&quot;,&quot;parse-names&quot;:false,&quot;dropping-particle&quot;:&quot;&quot;,&quot;non-dropping-particle&quot;:&quot;&quot;}],&quot;container-title&quot;:&quot;Oecologia&quot;,&quot;container-title-short&quot;:&quot;Oecologia&quot;,&quot;DOI&quot;:&quot;10.1007/s00442-013-2622-y&quot;,&quot;ISSN&quot;:&quot;00298549&quot;,&quot;PMID&quot;:&quot;23474896&quot;,&quot;issued&quot;:{&quot;date-parts&quot;:[[2013]]},&quot;page&quot;:&quot;533-543&quot;,&quot;abstract&quot;:&quot;Coastal dune vegetation distributes zonally along the environmental gradients of, e.g., soil disturbance. In the preset study, arbuscular mycorrhizal fungal communities in a coastal dune ecosystem were characterized with respect to tolerance to soil disturbance. Two grass species, Elymus mollis and Miscanthus sinensis, are distributed zonally in the seaward and landward slopes, respectively, in the primary dunes in Ishikari, Japan. The seaward slope is severely disturbed by wind, while the landward slope is stabilized by the thick root system of M. sinensis. The roots and rhizosphere soils of the two grasses were collected from the slopes. The soils were sieved to destruct the fungal hyphal networks, and soil trap culture was conducted to assess tolerance of the communities to disturbance, with parallel analysis of the field communities using a molecular ecological tool. In the landward communities, large shifts in the composition and increases in diversity were observed in the trap culture compared with the field, but in the seaward communities, the impact of trap culture was minimal. The landward field community was significantly nested within the landward trap culture community, implying that most members in the field community did not disappear in the trap culture. No nestedness was observed in the seaward communities. These observations suggest that disturbance-tolerant fungi have been preferentially selected in the seaward slope due to severe disturbance in the habitat. Whereas a limited number of fungi, which are not necessarily disturbance-sensitive, dominate in the stable landward slope, but high-potential diversity has been maintained in the habitat. © 2013 Springer-Verlag Berlin Heidelberg.&quot;,&quot;issue&quot;:&quot;2&quot;,&quot;volume&quot;:&quot;173&quot;},&quot;isTemporary&quot;:false}],&quot;citationTag&quot;:&quot;MENDELEY_CITATION_v3_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&quot;},{&quot;citationID&quot;:&quot;MENDELEY_CITATION_26f511d6-aeb2-4037-926a-9b657d8d6419&quot;,&quot;properties&quot;:{&quot;noteIndex&quot;:0},&quot;isEdited&quot;:false,&quot;manualOverride&quot;:{&quot;isManuallyOverridden&quot;:true,&quot;citeprocText&quot;:&quot;(Cahyaningtyas and Ezawa 2024)&quot;,&quot;manualOverrideText&quot;:&quot;Cahyaningtyas and Ezawa (2024)&quot;},&quot;citationTag&quot;:&quot;MENDELEY_CITATION_v3_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&quot;,&quot;citationItems&quot;:[{&quot;id&quot;:&quot;5089b209-5eb3-39cd-a91e-3bda29b52a6b&quot;,&quot;itemData&quot;:{&quot;type&quot;:&quot;article-journal&quot;,&quot;id&quot;:&quot;5089b209-5eb3-39cd-a91e-3bda29b52a6b&quot;,&quot;title&quot;:&quot;Disturbance tolerance of arbuscular mycorrhizal fungi: characterization of life-history strategies along a disturbance gradient in a coastal dune ecosystem&quot;,&quot;author&quot;:[{&quot;family&quot;:&quot;Cahyaningtyas&quot;,&quot;given&quot;:&quot;A.&quot;,&quot;parse-names&quot;:false,&quot;dropping-particle&quot;:&quot;&quot;,&quot;non-dropping-particle&quot;:&quot;&quot;},{&quot;family&quot;:&quot;Ezawa&quot;,&quot;given&quot;:&quot;T.&quot;,&quot;parse-names&quot;:false,&quot;dropping-particle&quot;:&quot;&quot;,&quot;non-dropping-particle&quot;:&quot;&quot;}],&quot;container-title&quot;:&quot;Plant and Soil&quot;,&quot;container-title-short&quot;:&quot;Plant Soil&quot;,&quot;DOI&quot;:&quot;10.1007/s11104-023-06337-4&quot;,&quot;ISSN&quot;:&quot;15735036&quot;,&quot;issued&quot;:{&quot;date-parts&quot;:[[2024]]},&quot;abstract&quot;:&quot;Purpose: Arbuscular mycorrhizal fungi that regenerate rapidly after disturbance play a significant role in vegetation resilience. We employed the fungi inhabiting a coastal dune ecosystem to characterize their strategies for survival and regeneration after disturbance. Methods: Root-soil samples were collected from the seaward and landward slopes that differ in disturbance severity. The native grass Miscanthus sinensis (donor plants) were grown in the soil samples for two months, and from a half of the plants, disturbance-tolerant fungi that regenerate from spores and extraradical hyphae (soil propagule-mediated regenerators, SP) and those that regenerate from the colonized roots (root-direct regenerators, RD) were trapped separately with new seedlings (assessment plants). The other half of the donor plants were further grown without destruction for four months together with assessment plants, during which the fungi trapped by the plants were categorized as disturbance-sensitive slow regenerators (SL). DNA was extracted from the assessment plants for identification based on LSU rDNA sequences. Results: All the fungi that occurred widely in the seaward samples belonged to the Glomeraceae and Paraglomeraceae and preferred the RD strategy to the SP strategy. In the landward samples diverse taxa that employed diverse strategies occurred, and among them, Gigasporaceae fungi showed a distinct preference for the SP strategy. Conclusion: These observations suggest that not only soil-borne propagules but also colonized roots play a key role in the rapid regeneration of the fungi after disturbance, providing a new insight into the life-history strategies of AM fungi in frequently disturbed environments.&quot;,&quot;issue&quot;:&quot;1-2&quot;,&quot;volume&quot;:&quot;495&quot;},&quot;isTemporary&quot;:false}]},{&quot;citationID&quot;:&quot;MENDELEY_CITATION_4cd20f27-2aa0-4cad-9413-ffe9131b44aa&quot;,&quot;properties&quot;:{&quot;noteIndex&quot;:0},&quot;isEdited&quot;:false,&quot;manualOverride&quot;:{&quot;isManuallyOverridden&quot;:true,&quot;citeprocText&quot;:&quot;(Kawahara and Ezawa 2013)&quot;,&quot;manualOverrideText&quot;:&quot;Kawahara and Ezawa (2013&quot;},&quot;citationItems&quot;:[{&quot;id&quot;:&quot;3414ac23-a4f6-37ed-888f-113a0b9ffc1b&quot;,&quot;itemData&quot;:{&quot;type&quot;:&quot;article-journal&quot;,&quot;id&quot;:&quot;3414ac23-a4f6-37ed-888f-113a0b9ffc1b&quot;,&quot;title&quot;:&quot;Characterization of arbuscular mycorrhizal fungal communities with respect to zonal vegetation in a coastal dune ecosystem&quot;,&quot;author&quot;:[{&quot;family&quot;:&quot;Kawahara&quot;,&quot;given&quot;:&quot;Ai&quot;,&quot;parse-names&quot;:false,&quot;dropping-particle&quot;:&quot;&quot;,&quot;non-dropping-particle&quot;:&quot;&quot;},{&quot;family&quot;:&quot;Ezawa&quot;,&quot;given&quot;:&quot;Tatsuhiro&quot;,&quot;parse-names&quot;:false,&quot;dropping-particle&quot;:&quot;&quot;,&quot;non-dropping-particle&quot;:&quot;&quot;}],&quot;container-title&quot;:&quot;Oecologia&quot;,&quot;container-title-short&quot;:&quot;Oecologia&quot;,&quot;DOI&quot;:&quot;10.1007/s00442-013-2622-y&quot;,&quot;ISSN&quot;:&quot;00298549&quot;,&quot;PMID&quot;:&quot;23474896&quot;,&quot;issued&quot;:{&quot;date-parts&quot;:[[2013]]},&quot;page&quot;:&quot;533-543&quot;,&quot;abstract&quot;:&quot;Coastal dune vegetation distributes zonally along the environmental gradients of, e.g., soil disturbance. In the preset study, arbuscular mycorrhizal fungal communities in a coastal dune ecosystem were characterized with respect to tolerance to soil disturbance. Two grass species, Elymus mollis and Miscanthus sinensis, are distributed zonally in the seaward and landward slopes, respectively, in the primary dunes in Ishikari, Japan. The seaward slope is severely disturbed by wind, while the landward slope is stabilized by the thick root system of M. sinensis. The roots and rhizosphere soils of the two grasses were collected from the slopes. The soils were sieved to destruct the fungal hyphal networks, and soil trap culture was conducted to assess tolerance of the communities to disturbance, with parallel analysis of the field communities using a molecular ecological tool. In the landward communities, large shifts in the composition and increases in diversity were observed in the trap culture compared with the field, but in the seaward communities, the impact of trap culture was minimal. The landward field community was significantly nested within the landward trap culture community, implying that most members in the field community did not disappear in the trap culture. No nestedness was observed in the seaward communities. These observations suggest that disturbance-tolerant fungi have been preferentially selected in the seaward slope due to severe disturbance in the habitat. Whereas a limited number of fungi, which are not necessarily disturbance-sensitive, dominate in the stable landward slope, but high-potential diversity has been maintained in the habitat. © 2013 Springer-Verlag Berlin Heidelberg.&quot;,&quot;issue&quot;:&quot;2&quot;,&quot;volume&quot;:&quot;173&quot;},&quot;isTemporary&quot;:false}],&quot;citationTag&quot;:&quot;MENDELEY_CITATION_v3_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&quot;},{&quot;citationID&quot;:&quot;MENDELEY_CITATION_970bb51a-6454-4b64-928e-0a069346b13b&quot;,&quot;properties&quot;:{&quot;noteIndex&quot;:0},&quot;isEdited&quot;:false,&quot;manualOverride&quot;:{&quot;isManuallyOverridden&quot;:false,&quot;citeprocText&quot;:&quot;(Ho et al. 2019)&quot;,&quot;manualOverrideText&quot;:&quot;&quot;},&quot;citationTag&quot;:&quot;MENDELEY_CITATION_v3_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&quot;,&quot;citationItems&quot;:[{&quot;id&quot;:&quot;30863db0-ed55-3c55-85d9-27ffdd9b676b&quot;,&quot;itemData&quot;:{&quot;type&quot;:&quot;article&quot;,&quot;id&quot;:&quot;30863db0-ed55-3c55-85d9-27ffdd9b676b&quot;,&quot;title&quot;:&quot;Moving beyond P values: data analysis with estimation graphics&quot;,&quot;author&quot;:[{&quot;family&quot;:&quot;Ho&quot;,&quot;given&quot;:&quot;Joses&quot;,&quot;parse-names&quot;:false,&quot;dropping-particle&quot;:&quot;&quot;,&quot;non-dropping-particle&quot;:&quot;&quot;},{&quot;family&quot;:&quot;Tumkaya&quot;,&quot;given&quot;:&quot;Tayfun&quot;,&quot;parse-names&quot;:false,&quot;dropping-particle&quot;:&quot;&quot;,&quot;non-dropping-particle&quot;:&quot;&quot;},{&quot;family&quot;:&quot;Aryal&quot;,&quot;given&quot;:&quot;Sameer&quot;,&quot;parse-names&quot;:false,&quot;dropping-particle&quot;:&quot;&quot;,&quot;non-dropping-particle&quot;:&quot;&quot;},{&quot;family&quot;:&quot;Choi&quot;,&quot;given&quot;:&quot;Hyungwon&quot;,&quot;parse-names&quot;:false,&quot;dropping-particle&quot;:&quot;&quot;,&quot;non-dropping-particle&quot;:&quot;&quot;},{&quot;family&quot;:&quot;Claridge-Chang&quot;,&quot;given&quot;:&quot;Adam&quot;,&quot;parse-names&quot;:false,&quot;dropping-particle&quot;:&quot;&quot;,&quot;non-dropping-particle&quot;:&quot;&quot;}],&quot;container-title&quot;:&quot;Nature Methods&quot;,&quot;container-title-short&quot;:&quot;Nat Methods&quot;,&quot;DOI&quot;:&quot;10.1038/s41592-019-0470-3&quot;,&quot;ISSN&quot;:&quot;15487105&quot;,&quot;PMID&quot;:&quot;31217592&quot;,&quot;issued&quot;:{&quot;date-parts&quot;:[[2019,7,1]]},&quot;page&quot;:&quot;565-566&quot;,&quot;publisher&quot;:&quot;Nature Publishing Group&quot;,&quot;issue&quot;:&quot;7&quot;,&quot;volume&quot;:&quot;16&quot;},&quot;isTemporary&quot;:false}]},{&quot;citationID&quot;:&quot;MENDELEY_CITATION_21359fc3-a5ce-4fd6-a817-ce28f68a3085&quot;,&quot;properties&quot;:{&quot;noteIndex&quot;:0},&quot;isEdited&quot;:false,&quot;manualOverride&quot;:{&quot;isManuallyOverridden&quot;:false,&quot;citeprocText&quot;:&quot;(Podani et al. 2013)&quot;,&quot;manualOverrideText&quot;:&quot;&quot;},&quot;citationTag&quot;:&quot;MENDELEY_CITATION_v3_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&quot;,&quot;citationItems&quot;:[{&quot;id&quot;:&quot;a680b32e-5675-30c4-8579-94c2f7038e88&quot;,&quot;itemData&quot;:{&quot;type&quot;:&quot;article-journal&quot;,&quot;id&quot;:&quot;a680b32e-5675-30c4-8579-94c2f7038e88&quot;,&quot;title&quot;:&quot;A general framework for analyzing beta diversity, nestedness and related community-level phenomena based on abundance data&quot;,&quot;author&quot;:[{&quot;family&quot;:&quot;Podani&quot;,&quot;given&quot;:&quot;János&quot;,&quot;parse-names&quot;:false,&quot;dropping-particle&quot;:&quot;&quot;,&quot;non-dropping-particle&quot;:&quot;&quot;},{&quot;family&quot;:&quot;Ricotta&quot;,&quot;given&quot;:&quot;Carlo&quot;,&quot;parse-names&quot;:false,&quot;dropping-particle&quot;:&quot;&quot;,&quot;non-dropping-particle&quot;:&quot;&quot;},{&quot;family&quot;:&quot;Schmera&quot;,&quot;given&quot;:&quot;Dénes&quot;,&quot;parse-names&quot;:false,&quot;dropping-particle&quot;:&quot;&quot;,&quot;non-dropping-particle&quot;:&quot;&quot;}],&quot;container-title&quot;:&quot;Ecological Complexity&quot;,&quot;DOI&quot;:&quot;10.1016/j.ecocom.2013.03.002&quot;,&quot;ISSN&quot;:&quot;1476945X&quot;,&quot;issued&quot;:{&quot;date-parts&quot;:[[2013]]},&quot;page&quot;:&quot;52-61&quot;,&quot;abstract&quot;:&quot;We describe a procedure for evaluating the relative importance of beta diversity, nestedness, and similarity properties of ecological data matrices containing density, cover or biomass scores of species. Our goals are achieved by extension of the simplex approach - originally proposed for presence-absence data - to abundances. Basically, the method involves decomposition of the Marczewski-Steinhaus coefficient of dissimilarity between pairs of sites into two fractions, one derived from differences between total abundance and the other from differences due to abundance replacement. These are contrasted by the similarity function counterpart, known as the Ruzicka coefficient, and are displayed graphically using ternary (or 2D simplex) plots. Interpretation is aided by calculating percentage contributions from these components to the (dis)similarity structure. Measures of replacement and nestedness are new for abundance data; these are considered complementary phenomena reflecting antithetic ecological processes that are analogous to those operating at the presence-absence level. The method is illustrated by artificial data and a range of actual ecological data sets representing different groups of organisms, different scales and different types of data. While the simplex diagrams and associated coefficients are meaningful by themselves, their comparison with presence-absence based results gives additional insight into data structure and background factors. © 2013 Elsevier B.V.&quot;,&quot;volume&quot;:&quot;15&quot;,&quot;container-title-short&quot;:&quot;&quot;},&quot;isTemporary&quot;:false}]},{&quot;citationID&quot;:&quot;MENDELEY_CITATION_4dcc9462-5bb0-4ea1-81a0-ffe547890bf7&quot;,&quot;properties&quot;:{&quot;noteIndex&quot;:0},&quot;isEdited&quot;:false,&quot;manualOverride&quot;:{&quot;isManuallyOverridden&quot;:false,&quot;citeprocText&quot;:&quot;(Liu et al. 2014; Neuenkamp et al. 2021)&quot;,&quot;manualOverrideText&quot;:&quot;&quot;},&quot;citationTag&quot;:&quot;MENDELEY_CITATION_v3_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&quot;,&quot;citationItems&quot;:[{&quot;id&quot;:&quot;b8343f03-e5f3-3110-b763-723df5b6e922&quot;,&quot;itemData&quot;:{&quot;type&quot;:&quot;article-journal&quot;,&quot;id&quot;:&quot;b8343f03-e5f3-3110-b763-723df5b6e922&quot;,&quot;title&quot;:&quot;Resource availability differentially drives community assemblages of plants and their root-associated arbuscular mycorrhizal fungi&quot;,&quot;author&quot;:[{&quot;family&quot;:&quot;Liu&quot;,&quot;given&quot;:&quot;Yongjun&quot;,&quot;parse-names&quot;:false,&quot;dropping-particle&quot;:&quot;&quot;,&quot;non-dropping-particle&quot;:&quot;&quot;},{&quot;family&quot;:&quot;Mao&quot;,&quot;given&quot;:&quot;Lin&quot;,&quot;parse-names&quot;:false,&quot;dropping-particle&quot;:&quot;&quot;,&quot;non-dropping-particle&quot;:&quot;&quot;},{&quot;family&quot;:&quot;Li&quot;,&quot;given&quot;:&quot;Junyong&quot;,&quot;parse-names&quot;:false,&quot;dropping-particle&quot;:&quot;&quot;,&quot;non-dropping-particle&quot;:&quot;&quot;},{&quot;family&quot;:&quot;Shi&quot;,&quot;given&quot;:&quot;Guoxi&quot;,&quot;parse-names&quot;:false,&quot;dropping-particle&quot;:&quot;&quot;,&quot;non-dropping-particle&quot;:&quot;&quot;},{&quot;family&quot;:&quot;Jiang&quot;,&quot;given&quot;:&quot;Shengjing&quot;,&quot;parse-names&quot;:false,&quot;dropping-particle&quot;:&quot;&quot;,&quot;non-dropping-particle&quot;:&quot;&quot;},{&quot;family&quot;:&quot;Ma&quot;,&quot;given&quot;:&quot;Xiaojun&quot;,&quot;parse-names&quot;:false,&quot;dropping-particle&quot;:&quot;&quot;,&quot;non-dropping-particle&quot;:&quot;&quot;},{&quot;family&quot;:&quot;An&quot;,&quot;given&quot;:&quot;Lizhe&quot;,&quot;parse-names&quot;:false,&quot;dropping-particle&quot;:&quot;&quot;,&quot;non-dropping-particle&quot;:&quot;&quot;},{&quot;family&quot;:&quot;Du&quot;,&quot;given&quot;:&quot;Guozhen&quot;,&quot;parse-names&quot;:false,&quot;dropping-particle&quot;:&quot;&quot;,&quot;non-dropping-particle&quot;:&quot;&quot;},{&quot;family&quot;:&quot;Feng&quot;,&quot;given&quot;:&quot;Huyuan&quot;,&quot;parse-names&quot;:false,&quot;dropping-particle&quot;:&quot;&quot;,&quot;non-dropping-particle&quot;:&quot;&quot;}],&quot;container-title&quot;:&quot;Plant and Soil&quot;,&quot;container-title-short&quot;:&quot;Plant Soil&quot;,&quot;DOI&quot;:&quot;10.1007/s11104-014-2261-z&quot;,&quot;ISSN&quot;:&quot;15735036&quot;,&quot;issued&quot;:{&quot;date-parts&quot;:[[2014,12,18]]},&quot;page&quot;:&quot;341-355&quot;,&quot;abstract&quot;:&quot;Background and aims: Understanding the role of resource availability in structuring biotic communities is of importance in community ecology. This study investigates how light and soil nutrient availability drive assemblages of both plants and their root-associated arbuscular mycorrhizal fungi (AMF).\nMethods: We conducted a 4-year light [full light or shade] and soil fertility [unfertilized or fertilized with (NH4)2HPO4] interactive manipulations in an alpine meadow ecosystem. Species and phylogenetic compositions of plant and AMF communities were simultaneously measured, and the primary ecological processes structuring both communities were inferred from the community phylogenetic analysis.\nResults: Reducing light and/or increasing soil fertility significantly reduced species richness and changed community compositions of both plant and AMF. Plant community phylogenetic structure shifted from random in untreated control to overdispersion in other treatments, whereas AMF communities were phylogenetically clustered and random in unfertilized and fertilized plots, respectively. These results suggest that plant communities in treated plots were mainly determined by competitive exclusion, and that AMF communities in unfertilized and fertilized plots were determined by environmental filtering and random process, respectively.\nConclusions: We observed strong effects of light and soil nutrient availability on both plant and AMF communities, and our findings highlight that the primary ecological processes that drive plant and AMF assemblages should be highly dependent on the level of resource availability.&quot;,&quot;publisher&quot;:&quot;Kluwer Academic Publishers&quot;,&quot;issue&quot;:&quot;1-2&quot;,&quot;volume&quot;:&quot;386&quot;},&quot;isTemporary&quot;:false},{&quot;id&quot;:&quot;79189ff2-bac0-3ccd-b37b-0c6ffdcf82c3&quot;,&quot;itemData&quot;:{&quot;type&quot;:&quot;article&quot;,&quot;id&quot;:&quot;79189ff2-bac0-3ccd-b37b-0c6ffdcf82c3&quot;,&quot;title&quot;:&quot;Light availability and light demand of plants shape the arbuscular mycorrhizal fungal communities in their roots&quot;,&quot;author&quot;:[{&quot;family&quot;:&quot;Neuenkamp&quot;,&quot;given&quot;:&quot;Lena&quot;,&quot;parse-names&quot;:false,&quot;dropping-particle&quot;:&quot;&quot;,&quot;non-dropping-particle&quot;:&quot;&quot;},{&quot;family&quot;:&quot;Zobel&quot;,&quot;given&quot;:&quot;Martin&quot;,&quot;parse-names&quot;:false,&quot;dropping-particle&quot;:&quot;&quot;,&quot;non-dropping-particle&quot;:&quot;&quot;},{&quot;family&quot;:&quot;Koorem&quot;,&quot;given&quot;:&quot;Kadri&quot;,&quot;parse-names&quot;:false,&quot;dropping-particle&quot;:&quot;&quot;,&quot;non-dropping-particle&quot;:&quot;&quot;},{&quot;family&quot;:&quot;Jairus&quot;,&quot;given&quot;:&quot;Teele&quot;,&quot;parse-names&quot;:false,&quot;dropping-particle&quot;:&quot;&quot;,&quot;non-dropping-particle&quot;:&quot;&quot;},{&quot;family&quot;:&quot;Davison&quot;,&quot;given&quot;:&quot;John&quot;,&quot;parse-names&quot;:false,&quot;dropping-particle&quot;:&quot;&quot;,&quot;non-dropping-particle&quot;:&quot;&quot;},{&quot;family&quot;:&quot;Öpik&quot;,&quot;given&quot;:&quot;Maarja&quot;,&quot;parse-names&quot;:false,&quot;dropping-particle&quot;:&quot;&quot;,&quot;non-dropping-particle&quot;:&quot;&quot;},{&quot;family&quot;:&quot;Vasar&quot;,&quot;given&quot;:&quot;Martti&quot;,&quot;parse-names&quot;:false,&quot;dropping-particle&quot;:&quot;&quot;,&quot;non-dropping-particle&quot;:&quot;&quot;},{&quot;family&quot;:&quot;Moora&quot;,&quot;given&quot;:&quot;Mari&quot;,&quot;parse-names&quot;:false,&quot;dropping-particle&quot;:&quot;&quot;,&quot;non-dropping-particle&quot;:&quot;&quot;}],&quot;container-title&quot;:&quot;Ecology Letters&quot;,&quot;container-title-short&quot;:&quot;Ecol Lett&quot;,&quot;DOI&quot;:&quot;10.1111/ele.13656&quot;,&quot;ISSN&quot;:&quot;14610248&quot;,&quot;PMID&quot;:&quot;33319429&quot;,&quot;issued&quot;:{&quot;date-parts&quot;:[[2021,3,1]]},&quot;page&quot;:&quot;426-437&quot;,&quot;abstract&quot;:&quot;Plants involved in the arbuscular mycorrhizal (AM) symbiosis trade photosynthetically derived carbon for fungal-provided soil nutrients. However, little is known about how plant light demand and ambient light conditions influence root-associating AM fungal communities. We conducted a manipulative field experiment to test whether plants’ shade-tolerance influences their root AM fungal communities in open and shaded grassland sites. We found similar light-dependent shifts in AM fungal community structure for experimental bait plant roots and the surrounding soil. Yet, deviation from the surrounding soil towards lower AM fungal beta-diversity in the roots of shade-intolerant plants in shade suggested preferential carbon allocation to specific AM fungi in conditions where plant-assimilated carbon available to fungi was limited. We conclude that favourable environmental conditions widen the plant biotic niche, as demonstrated here with optimal light availability reducing plants’ selectivity for specific AM fungi, and promote compatibility with a larger number of AM fungal taxa.&quot;,&quot;publisher&quot;:&quot;John Wiley and Sons Inc&quot;,&quot;issue&quot;:&quot;3&quot;,&quot;volume&quot;:&quot;24&quot;},&quot;isTemporary&quot;:false}]},{&quot;citationID&quot;:&quot;MENDELEY_CITATION_83521499-40b8-4bd5-b44a-dafb961d19ea&quot;,&quot;properties&quot;:{&quot;noteIndex&quot;:0},&quot;isEdited&quot;:false,&quot;manualOverride&quot;:{&quot;isManuallyOverridden&quot;:false,&quot;citeprocText&quot;:&quot;(Koorem et al. 2017)&quot;,&quot;manualOverrideText&quot;:&quot;&quot;},&quot;citationTag&quot;:&quot;MENDELEY_CITATION_v3_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&quot;,&quot;citationItems&quot;:[{&quot;id&quot;:&quot;acd6c02f-ab06-369b-bd62-f8da3a1afdf2&quot;,&quot;itemData&quot;:{&quot;type&quot;:&quot;article-journal&quot;,&quot;id&quot;:&quot;acd6c02f-ab06-369b-bd62-f8da3a1afdf2&quot;,&quot;title&quot;:&quot;Arbuscular mycorrhizal fungal communities in forest plant roots are simultaneously shaped by host characteristics and canopy-mediated light availability&quot;,&quot;author&quot;:[{&quot;family&quot;:&quot;Koorem&quot;,&quot;given&quot;:&quot;Kadri&quot;,&quot;parse-names&quot;:false,&quot;dropping-particle&quot;:&quot;&quot;,&quot;non-dropping-particle&quot;:&quot;&quot;},{&quot;family&quot;:&quot;Tulva&quot;,&quot;given&quot;:&quot;Ingmar&quot;,&quot;parse-names&quot;:false,&quot;dropping-particle&quot;:&quot;&quot;,&quot;non-dropping-particle&quot;:&quot;&quot;},{&quot;family&quot;:&quot;Davison&quot;,&quot;given&quot;:&quot;John&quot;,&quot;parse-names&quot;:false,&quot;dropping-particle&quot;:&quot;&quot;,&quot;non-dropping-particle&quot;:&quot;&quot;},{&quot;family&quot;:&quot;Jairus&quot;,&quot;given&quot;:&quot;Teele&quot;,&quot;parse-names&quot;:false,&quot;dropping-particle&quot;:&quot;&quot;,&quot;non-dropping-particle&quot;:&quot;&quot;},{&quot;family&quot;:&quot;Öpik&quot;,&quot;given&quot;:&quot;Maarja&quot;,&quot;parse-names&quot;:false,&quot;dropping-particle&quot;:&quot;&quot;,&quot;non-dropping-particle&quot;:&quot;&quot;},{&quot;family&quot;:&quot;Vasar&quot;,&quot;given&quot;:&quot;Martti&quot;,&quot;parse-names&quot;:false,&quot;dropping-particle&quot;:&quot;&quot;,&quot;non-dropping-particle&quot;:&quot;&quot;},{&quot;family&quot;:&quot;Zobel&quot;,&quot;given&quot;:&quot;Martin&quot;,&quot;parse-names&quot;:false,&quot;dropping-particle&quot;:&quot;&quot;,&quot;non-dropping-particle&quot;:&quot;&quot;},{&quot;family&quot;:&quot;Moora&quot;,&quot;given&quot;:&quot;Mari&quot;,&quot;parse-names&quot;:false,&quot;dropping-particle&quot;:&quot;&quot;,&quot;non-dropping-particle&quot;:&quot;&quot;}],&quot;container-title&quot;:&quot;Plant and Soil&quot;,&quot;container-title-short&quot;:&quot;Plant Soil&quot;,&quot;DOI&quot;:&quot;10.1007/s11104-016-3004-0&quot;,&quot;ISSN&quot;:&quot;15735036&quot;,&quot;issued&quot;:{&quot;date-parts&quot;:[[2017,1,1]]},&quot;page&quot;:&quot;259-271&quot;,&quot;abstract&quot;:&quot;Background and aims: The majority of terrestrial plant species associate with arbuscular mycorrhizal (AM) fungi, to exchange carbon compounds with nutrients. However, the factors that determine the composition of AM fungal communities in individual plant roots remain poorly understood. We hypothesized that AM fungal communities are simultaneously influenced by environmental conditions, such as light availability, and the photosynthetic capacity of host plant species. Methods: We sampled individuals of shade-tolerant and shade-avoidant plant species, growing in the presence and absence of forest canopy, representing conditions of low and high light availability. We recorded photosynthetic parameters, shoot biomass and root AM fungal colonisation of these plant individuals and used 454-sequencing to characterise AM fungal communities in the roots of these plants. Results: Shade-avoidant plant species increased their photosynthetic capacity more than shade-tolerant plant species as a response to increased light availability due to canopy removal. Root AM fungal colonisation of all plants was higher when the forest canopy was absent, but canopy status had little influence on AM fungal richness in plant roots. The composition of AM fungal communities associating with shade-tolerant plants was significantly influenced by canopy status, while a less pronounced difference was observed among shade-avoidant plants. Conclusions: We suggest that both environmental conditions and the ability of plant species to exploit available resources determine the dynamics of mutualistic associations between host plant species and AM fungal taxa.&quot;,&quot;publisher&quot;:&quot;Springer International Publishing&quot;,&quot;issue&quot;:&quot;1-2&quot;,&quot;volume&quot;:&quot;410&quot;},&quot;isTemporary&quot;:false}]},{&quot;citationID&quot;:&quot;MENDELEY_CITATION_39de15ff-0f2d-481b-bace-aaf8726d88c7&quot;,&quot;properties&quot;:{&quot;noteIndex&quot;:0},&quot;isEdited&quot;:false,&quot;manualOverride&quot;:{&quot;isManuallyOverridden&quot;:true,&quot;citeprocText&quot;:&quot;(Olsson et al. 2014)&quot;,&quot;manualOverrideText&quot;:&quot;Olsson et al. (2014)&quot;},&quot;citationTag&quot;:&quot;MENDELEY_CITATION_v3_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&quot;,&quot;citationItems&quot;:[{&quot;id&quot;:&quot;e490841f-d4b5-3fac-abc3-73435d4420eb&quot;,&quot;itemData&quot;:{&quot;type&quot;:&quot;article-journal&quot;,&quot;id&quot;:&quot;e490841f-d4b5-3fac-abc3-73435d4420eb&quot;,&quot;title&quot;:&quot;Phosphorus and carbon availability regulate structural composition and complexity of AM fungal mycelium&quot;,&quot;author&quot;:[{&quot;family&quot;:&quot;Olsson&quot;,&quot;given&quot;:&quot;Ola&quot;,&quot;parse-names&quot;:false,&quot;dropping-particle&quot;:&quot;&quot;,&quot;non-dropping-particle&quot;:&quot;&quot;},{&quot;family&quot;:&quot;Olsson&quot;,&quot;given&quot;:&quot;Pål Axel&quot;,&quot;parse-names&quot;:false,&quot;dropping-particle&quot;:&quot;&quot;,&quot;non-dropping-particle&quot;:&quot;&quot;},{&quot;family&quot;:&quot;Hammer&quot;,&quot;given&quot;:&quot;Edith C.&quot;,&quot;parse-names&quot;:false,&quot;dropping-particle&quot;:&quot;&quot;,&quot;non-dropping-particle&quot;:&quot;&quot;}],&quot;container-title&quot;:&quot;Mycorrhiza&quot;,&quot;container-title-short&quot;:&quot;Mycorrhiza&quot;,&quot;DOI&quot;:&quot;10.1007/s00572-014-0557-8&quot;,&quot;ISSN&quot;:&quot;14321890&quot;,&quot;PMID&quot;:&quot;24435931&quot;,&quot;issued&quot;:{&quot;date-parts&quot;:[[2014,8,1]]},&quot;page&quot;:&quot;443-451&quot;,&quot;abstract&quot;:&quot;The regulation of the structural composition and complexity of the mycelium of arbuscular mycorrhizal (AM) fungi is not well understood due to their obligate biotrophic nature. The aimof this study was to investigate the structure of extraradical mycelium at high and low availability of carbon (C) to the roots and phosphorus (P) to the fungus. We used monoxenic cultures of the AM fungus Rhizophagus irregularis (formerly Glomus intraradices) with transformed carrot roots as the host in a cultivation system including a rootfree compartment into which the extraradical mycelium could grow. We found that high C availability increased hyphal length and spore production and anastomosis formation within individual mycelia. High P availability increased the formation of branched absorbing structures and reduced spore production and the overall length of runner hyphae. The complexity of the mycelium, as indicated by its fractal dimensions, increased with both high C and P availability. The results indicate that low P availability induces a growth pattern that reflects foraging for both P and C. Low C availability to AM roots could still support the explorative development of the mycelium when P availability was low. These findings help us to better understand the development of AM fungi in ecosystems with high P input and/orwhen plants are subjected to shading, grazing or any management practice that reduces the photosynthetic ability of the plant.&quot;,&quot;publisher&quot;:&quot;Springer Verlag&quot;,&quot;issue&quot;:&quot;6&quot;,&quot;volume&quot;:&quot;24&quot;},&quot;isTemporary&quot;:false}]},{&quot;citationID&quot;:&quot;MENDELEY_CITATION_73844872-71d3-4b93-9239-69d795de9a04&quot;,&quot;properties&quot;:{&quot;noteIndex&quot;:0},&quot;isEdited&quot;:false,&quot;manualOverride&quot;:{&quot;isManuallyOverridden&quot;:false,&quot;citeprocText&quot;:&quot;(Chagnon et al. 2013)&quot;,&quot;manualOverrideText&quot;:&quot;&quot;},&quot;citationItems&quot;:[{&quot;id&quot;:&quot;209121ca-0764-3834-a25d-b0556b449238&quot;,&quot;itemData&quot;:{&quot;type&quot;:&quot;article-journal&quot;,&quot;id&quot;:&quot;209121ca-0764-3834-a25d-b0556b449238&quot;,&quot;title&quot;:&quot;A trait-based framework to understand life history of mycorrhizal fungi&quot;,&quot;author&quot;:[{&quot;family&quot;:&quot;Chagnon&quot;,&quot;given&quot;:&quot;Pierre Luc&quot;,&quot;parse-names&quot;:false,&quot;dropping-particle&quot;:&quot;&quot;,&quot;non-dropping-particle&quot;:&quot;&quot;},{&quot;family&quot;:&quot;Bradley&quot;,&quot;given&quot;:&quot;Robert L.&quot;,&quot;parse-names&quot;:false,&quot;dropping-particle&quot;:&quot;&quot;,&quot;non-dropping-particle&quot;:&quot;&quot;},{&quot;family&quot;:&quot;Maherali&quot;,&quot;given&quot;:&quot;Hafiz&quot;,&quot;parse-names&quot;:false,&quot;dropping-particle&quot;:&quot;&quot;,&quot;non-dropping-particle&quot;:&quot;&quot;},{&quot;family&quot;:&quot;Klironomos&quot;,&quot;given&quot;:&quot;John N.&quot;,&quot;parse-names&quot;:false,&quot;dropping-particle&quot;:&quot;&quot;,&quot;non-dropping-particle&quot;:&quot;&quot;}],&quot;container-title&quot;:&quot;Trends in Plant Science&quot;,&quot;container-title-short&quot;:&quot;Trends Plant Sci&quot;,&quot;DOI&quot;:&quot;10.1016/j.tplants.2013.05.001&quot;,&quot;ISSN&quot;:&quot;13601385&quot;,&quot;PMID&quot;:&quot;23756036&quot;,&quot;URL&quot;:&quot;http://dx.doi.org/10.1016/j.tplants.2013.05.001&quot;,&quot;issued&quot;:{&quot;date-parts&quot;:[[2013]]},&quot;page&quot;:&quot;484-491&quot;,&quot;abstract&quot;:&quot;Despite the growing appreciation for the functional diversity of arbuscular mycorrhizal (AM) fungi, our understanding of the causes and consequences of this diversity is still poor. In this opinion article, we review published data on AM fungal functional traits and attempt to identify major axes of life history variation. We propose that a life history classification system based on the grouping of functional traits, such as Grime's C-S-R (competitor, stress tolerator, ruderal) framework, can help to explain life history diversification in AM fungi, successional dynamics, and the spatial structure of AM fungal assemblages. Using a common life history classification framework for both plants and AM fungi could also help in predicting probable species associations in natural communities and increase our fundamental understanding of the interaction between land plants and AM fungi. © 2013 Elsevier Ltd.&quot;,&quot;publisher&quot;:&quot;Elsevier Ltd&quot;,&quot;issue&quot;:&quot;9&quot;,&quot;volume&quot;:&quot;18&quot;},&quot;isTemporary&quot;:false}],&quot;citationTag&quot;:&quot;MENDELEY_CITATION_v3_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&quot;},{&quot;citationID&quot;:&quot;MENDELEY_CITATION_67ea65a6-5d60-4fa4-83c6-75f72b8e0ece&quot;,&quot;properties&quot;:{&quot;noteIndex&quot;:0},&quot;isEdited&quot;:false,&quot;manualOverride&quot;:{&quot;isManuallyOverridden&quot;:false,&quot;citeprocText&quot;:&quot;(Hart and Reader 2002b)&quot;,&quot;manualOverrideText&quot;:&quot;&quot;},&quot;citationTag&quot;:&quot;MENDELEY_CITATION_v3_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&quot;,&quot;citationItems&quot;:[{&quot;id&quot;:&quot;5dd587ce-ff34-3105-abb7-52b7c9960923&quot;,&quot;itemData&quot;:{&quot;type&quot;:&quot;article-journal&quot;,&quot;id&quot;:&quot;5dd587ce-ff34-3105-abb7-52b7c9960923&quot;,&quot;title&quot;:&quot;Host plant benefit from association with arbuscular mycorrhizal fungi: Variation due to differences in size of mycelium&quot;,&quot;author&quot;:[{&quot;family&quot;:&quot;Hart&quot;,&quot;given&quot;:&quot;Miranda M.&quot;,&quot;parse-names&quot;:false,&quot;dropping-particle&quot;:&quot;&quot;,&quot;non-dropping-particle&quot;:&quot;&quot;},{&quot;family&quot;:&quot;Reader&quot;,&quot;given&quot;:&quot;Richard J.&quot;,&quot;parse-names&quot;:false,&quot;dropping-particle&quot;:&quot;&quot;,&quot;non-dropping-particle&quot;:&quot;&quot;}],&quot;container-title&quot;:&quot;Biology and Fertility of Soils&quot;,&quot;container-title-short&quot;:&quot;Biol Fertil Soils&quot;,&quot;DOI&quot;:&quot;10.1007/s00374-002-0539-4&quot;,&quot;ISSN&quot;:&quot;01782762&quot;,&quot;issued&quot;:{&quot;date-parts&quot;:[[2002]]},&quot;page&quot;:&quot;357-366&quot;,&quot;abstract&quot;:&quot;Plants differ in the benefit they receive from an association with arbuscular mycorrhizal fungi (AMF) but it is unclear what factors determine host response. We tested whether this difference is due in part to differences among AMF families (Glomaceae, Gigasporaceae, and Acaulosporaceae) in the size of their mycelium. For example, an AMF with a large mycelium might be better able to transfer nutrients to its host. Alternatively, the large mycelium might present a large carbon drain for the host. It might also be the location of AMF mycelium that is important: whether it occurs in the root or in the soil. In a greenhouse experiment, four different host plant species were inoculated with each of 21 AMF isolates representing different mycelial sizes and we measured both host plant biomass and foliar phosphorus concentration over 12 weeks. AMF family significantly affected host biomass with larger internal mycelia conferring greater host benefit. However, both intra-family variation in AMF effect and host identity also influenced host response. For foliar P, AMF family did not affect host response significantly. Our results show that differences in mycelial size among AMF families may contribute to variation in host responsiveness to AMF, but other factors are also important.&quot;,&quot;issue&quot;:&quot;5&quot;,&quot;volume&quot;:&quot;36&quot;},&quot;isTemporary&quot;:false}]}]"/>
    <we:property name="MENDELEY_CITATIONS_LOCALE_CODE" value="&quot;en-US&quot;"/>
    <we:property name="MENDELEY_CITATIONS_STYLE" value="{&quot;id&quot;:&quot;https://www.zotero.org/styles/plant-and-soil&quot;,&quot;title&quot;:&quot;Plant and Soil&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kik</b:Tag>
    <b:SourceType>JournalArticle</b:SourceType>
    <b:Guid>{3952C0AC-A949-4BDE-8D06-D75773C3D5AF}</b:Guid>
    <b:Author>
      <b:Author>
        <b:NameList>
          <b:Person>
            <b:Last>kikuchi</b:Last>
          </b:Person>
        </b:NameList>
      </b:Author>
    </b:Author>
    <b:RefOrder>1</b:RefOrder>
  </b:Source>
</b:Sources>
</file>

<file path=customXml/itemProps1.xml><?xml version="1.0" encoding="utf-8"?>
<ds:datastoreItem xmlns:ds="http://schemas.openxmlformats.org/officeDocument/2006/customXml" ds:itemID="{C468093E-E6D9-F04E-AA71-50F5E7EB7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253</Words>
  <Characters>1444</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Cahyaningtyas Anjar</dc:creator>
  <cp:keywords/>
  <dc:description/>
  <cp:lastModifiedBy>Trupti Sudge</cp:lastModifiedBy>
  <cp:revision>2</cp:revision>
  <cp:lastPrinted>2023-03-28T05:20:00Z</cp:lastPrinted>
  <dcterms:created xsi:type="dcterms:W3CDTF">2024-08-02T09:09:00Z</dcterms:created>
  <dcterms:modified xsi:type="dcterms:W3CDTF">2024-08-02T09:09:00Z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10ffff5f-a0e9-3831-85d5-7571ba507af5</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