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C47DF7" w14:textId="77777777" w:rsidR="00C771CC" w:rsidRPr="00F571C6" w:rsidRDefault="00C771CC" w:rsidP="00C771CC">
      <w:pPr>
        <w:pStyle w:val="Heading1"/>
        <w:ind w:left="432" w:hanging="432"/>
        <w:rPr>
          <w:rFonts w:ascii="Times New Roman" w:hAnsi="Times New Roman" w:cs="Times New Roman"/>
          <w:sz w:val="24"/>
          <w:szCs w:val="24"/>
        </w:rPr>
      </w:pPr>
      <w:r w:rsidRPr="00F571C6">
        <w:rPr>
          <w:rFonts w:ascii="Times New Roman" w:hAnsi="Times New Roman" w:cs="Times New Roman"/>
          <w:sz w:val="24"/>
          <w:szCs w:val="24"/>
        </w:rPr>
        <w:t>6</w:t>
      </w:r>
      <w:r w:rsidRPr="00F571C6">
        <w:rPr>
          <w:rFonts w:ascii="Times New Roman" w:hAnsi="Times New Roman" w:cs="Times New Roman"/>
          <w:sz w:val="24"/>
          <w:szCs w:val="24"/>
        </w:rPr>
        <w:tab/>
        <w:t>Appendices</w:t>
      </w:r>
    </w:p>
    <w:p w14:paraId="02215CD4" w14:textId="77777777" w:rsidR="00C771CC" w:rsidRPr="00F571C6" w:rsidRDefault="00C771CC" w:rsidP="00C771CC">
      <w:pPr>
        <w:rPr>
          <w:rFonts w:ascii="Times New Roman" w:hAnsi="Times New Roman" w:cs="Times New Roman"/>
          <w:b/>
          <w:color w:val="000000" w:themeColor="text1"/>
          <w:sz w:val="20"/>
          <w:szCs w:val="20"/>
        </w:rPr>
      </w:pPr>
      <w:r w:rsidRPr="00F571C6">
        <w:rPr>
          <w:rFonts w:ascii="Times New Roman" w:hAnsi="Times New Roman" w:cs="Times New Roman"/>
          <w:b/>
          <w:color w:val="000000" w:themeColor="text1"/>
          <w:sz w:val="20"/>
          <w:szCs w:val="20"/>
        </w:rPr>
        <w:t>List of appendices</w:t>
      </w:r>
      <w:r>
        <w:rPr>
          <w:rFonts w:ascii="Times New Roman" w:hAnsi="Times New Roman" w:cs="Times New Roman"/>
          <w:b/>
          <w:color w:val="000000" w:themeColor="text1"/>
          <w:sz w:val="20"/>
          <w:szCs w:val="20"/>
        </w:rPr>
        <w:t>:</w:t>
      </w:r>
    </w:p>
    <w:p w14:paraId="54F2DA4D" w14:textId="77777777" w:rsidR="00C771CC" w:rsidRPr="00F571C6" w:rsidRDefault="00C771CC" w:rsidP="00C771CC">
      <w:pPr>
        <w:rPr>
          <w:rFonts w:ascii="Times New Roman" w:hAnsi="Times New Roman" w:cs="Times New Roman"/>
          <w:bCs/>
          <w:color w:val="000000" w:themeColor="text1"/>
          <w:sz w:val="20"/>
          <w:szCs w:val="20"/>
        </w:rPr>
      </w:pPr>
      <w:r w:rsidRPr="00F571C6">
        <w:rPr>
          <w:rFonts w:ascii="Times New Roman" w:hAnsi="Times New Roman" w:cs="Times New Roman"/>
          <w:b/>
          <w:color w:val="000000" w:themeColor="text1"/>
          <w:sz w:val="20"/>
          <w:szCs w:val="20"/>
        </w:rPr>
        <w:t>Appendix 1</w:t>
      </w:r>
      <w:r w:rsidRPr="00F571C6">
        <w:rPr>
          <w:rFonts w:ascii="Times New Roman" w:hAnsi="Times New Roman" w:cs="Times New Roman"/>
          <w:bCs/>
          <w:color w:val="000000" w:themeColor="text1"/>
          <w:sz w:val="20"/>
          <w:szCs w:val="20"/>
        </w:rPr>
        <w:t xml:space="preserve"> Syntaxes of the search strings</w:t>
      </w:r>
    </w:p>
    <w:p w14:paraId="03AD990A" w14:textId="77777777" w:rsidR="00C771CC" w:rsidRPr="00F571C6" w:rsidRDefault="00C771CC" w:rsidP="00C771CC">
      <w:pPr>
        <w:rPr>
          <w:rFonts w:ascii="Times New Roman" w:hAnsi="Times New Roman" w:cs="Times New Roman"/>
          <w:b/>
          <w:bCs/>
          <w:sz w:val="20"/>
          <w:szCs w:val="20"/>
        </w:rPr>
      </w:pPr>
      <w:r w:rsidRPr="00F571C6">
        <w:rPr>
          <w:rFonts w:ascii="Times New Roman" w:hAnsi="Times New Roman" w:cs="Times New Roman"/>
          <w:b/>
          <w:bCs/>
          <w:sz w:val="20"/>
          <w:szCs w:val="20"/>
        </w:rPr>
        <w:t xml:space="preserve">Appendix 2 </w:t>
      </w:r>
      <w:r w:rsidRPr="00F571C6">
        <w:rPr>
          <w:rFonts w:ascii="Times New Roman" w:hAnsi="Times New Roman" w:cs="Times New Roman"/>
          <w:sz w:val="20"/>
          <w:szCs w:val="20"/>
        </w:rPr>
        <w:t>Study goals, settings, and the involvement and roles of non-user, user, and primary stakeholders</w:t>
      </w:r>
      <w:r w:rsidRPr="00F571C6">
        <w:rPr>
          <w:rFonts w:ascii="Times New Roman" w:hAnsi="Times New Roman" w:cs="Times New Roman"/>
          <w:b/>
          <w:bCs/>
          <w:sz w:val="20"/>
          <w:szCs w:val="20"/>
        </w:rPr>
        <w:t xml:space="preserve"> </w:t>
      </w:r>
    </w:p>
    <w:p w14:paraId="35D4CFAD" w14:textId="77777777" w:rsidR="00C771CC" w:rsidRPr="00F571C6" w:rsidRDefault="00C771CC" w:rsidP="00C771CC">
      <w:pPr>
        <w:rPr>
          <w:rFonts w:ascii="Times New Roman" w:hAnsi="Times New Roman" w:cs="Times New Roman"/>
          <w:color w:val="000000" w:themeColor="text1"/>
          <w:sz w:val="20"/>
          <w:szCs w:val="20"/>
        </w:rPr>
      </w:pPr>
      <w:r w:rsidRPr="00F571C6">
        <w:rPr>
          <w:rFonts w:ascii="Times New Roman" w:hAnsi="Times New Roman" w:cs="Times New Roman"/>
          <w:b/>
          <w:bCs/>
          <w:sz w:val="20"/>
          <w:szCs w:val="20"/>
        </w:rPr>
        <w:t>Appendix 3</w:t>
      </w:r>
      <w:r w:rsidRPr="00F571C6">
        <w:rPr>
          <w:rFonts w:ascii="Times New Roman" w:hAnsi="Times New Roman" w:cs="Times New Roman"/>
          <w:sz w:val="20"/>
          <w:szCs w:val="20"/>
        </w:rPr>
        <w:t xml:space="preserve"> T</w:t>
      </w:r>
      <w:r w:rsidRPr="00F571C6">
        <w:rPr>
          <w:rFonts w:ascii="Times New Roman" w:hAnsi="Times New Roman" w:cs="Times New Roman"/>
          <w:color w:val="000000" w:themeColor="text1"/>
          <w:sz w:val="20"/>
          <w:szCs w:val="20"/>
        </w:rPr>
        <w:t>he description of the real-world use cases and applications where AI-enabled systems or Proof of concepts (POCs) are used as extracted from our 45 included articles</w:t>
      </w:r>
    </w:p>
    <w:p w14:paraId="402FFEC8" w14:textId="77777777" w:rsidR="00C771CC" w:rsidRPr="00F571C6" w:rsidRDefault="00C771CC" w:rsidP="00C771CC">
      <w:pPr>
        <w:rPr>
          <w:rFonts w:ascii="Times New Roman" w:hAnsi="Times New Roman" w:cs="Times New Roman"/>
          <w:sz w:val="20"/>
          <w:szCs w:val="20"/>
        </w:rPr>
      </w:pPr>
      <w:r w:rsidRPr="00F571C6">
        <w:rPr>
          <w:rFonts w:ascii="Times New Roman" w:hAnsi="Times New Roman" w:cs="Times New Roman"/>
          <w:b/>
          <w:bCs/>
          <w:sz w:val="20"/>
          <w:szCs w:val="20"/>
        </w:rPr>
        <w:t>Appendix 4</w:t>
      </w:r>
      <w:r w:rsidRPr="00F571C6">
        <w:rPr>
          <w:rFonts w:ascii="Times New Roman" w:hAnsi="Times New Roman" w:cs="Times New Roman"/>
          <w:sz w:val="20"/>
          <w:szCs w:val="20"/>
        </w:rPr>
        <w:t xml:space="preserve"> Overview of 45 included articles and the main themes of suggested Responsible AI practices </w:t>
      </w:r>
    </w:p>
    <w:p w14:paraId="0C4E1DD2" w14:textId="77777777" w:rsidR="00C771CC" w:rsidRDefault="00C771CC" w:rsidP="00C771CC">
      <w:pPr>
        <w:rPr>
          <w:rFonts w:ascii="Times New Roman" w:hAnsi="Times New Roman" w:cs="Times New Roman"/>
          <w:b/>
          <w:color w:val="000000" w:themeColor="text1"/>
          <w:sz w:val="20"/>
          <w:szCs w:val="20"/>
        </w:rPr>
      </w:pPr>
    </w:p>
    <w:p w14:paraId="2BDAA8A1" w14:textId="77777777" w:rsidR="00C771CC" w:rsidRDefault="00C771CC" w:rsidP="00C771CC">
      <w:pPr>
        <w:rPr>
          <w:rFonts w:ascii="Times New Roman" w:hAnsi="Times New Roman" w:cs="Times New Roman"/>
          <w:b/>
          <w:color w:val="000000" w:themeColor="text1"/>
          <w:sz w:val="20"/>
          <w:szCs w:val="20"/>
        </w:rPr>
        <w:sectPr w:rsidR="00C771CC" w:rsidSect="00C771CC">
          <w:pgSz w:w="16838" w:h="11906" w:orient="landscape"/>
          <w:pgMar w:top="1417" w:right="1417" w:bottom="1417" w:left="1417" w:header="708" w:footer="708" w:gutter="0"/>
          <w:cols w:space="708"/>
          <w:docGrid w:linePitch="360"/>
        </w:sectPr>
      </w:pPr>
    </w:p>
    <w:p w14:paraId="7E83E9D2" w14:textId="77777777" w:rsidR="00C771CC" w:rsidRPr="00A364C2" w:rsidRDefault="00C771CC" w:rsidP="00C771CC">
      <w:pPr>
        <w:rPr>
          <w:rFonts w:ascii="Times New Roman" w:hAnsi="Times New Roman" w:cs="Times New Roman"/>
          <w:color w:val="000000" w:themeColor="text1"/>
          <w:sz w:val="20"/>
          <w:szCs w:val="20"/>
        </w:rPr>
      </w:pPr>
      <w:r w:rsidRPr="00A364C2">
        <w:rPr>
          <w:rFonts w:ascii="Times New Roman" w:hAnsi="Times New Roman" w:cs="Times New Roman"/>
          <w:b/>
          <w:color w:val="000000" w:themeColor="text1"/>
          <w:sz w:val="20"/>
          <w:szCs w:val="20"/>
        </w:rPr>
        <w:lastRenderedPageBreak/>
        <w:t xml:space="preserve">Appendix 1 </w:t>
      </w:r>
      <w:r w:rsidRPr="00A364C2">
        <w:rPr>
          <w:rFonts w:ascii="Times New Roman" w:hAnsi="Times New Roman" w:cs="Times New Roman"/>
          <w:color w:val="000000" w:themeColor="text1"/>
          <w:sz w:val="20"/>
          <w:szCs w:val="20"/>
        </w:rPr>
        <w:t>Syntaxes for ACM Digital Library</w:t>
      </w:r>
    </w:p>
    <w:tbl>
      <w:tblPr>
        <w:tblStyle w:val="TableGrid"/>
        <w:tblW w:w="0" w:type="auto"/>
        <w:tblLook w:val="04A0" w:firstRow="1" w:lastRow="0" w:firstColumn="1" w:lastColumn="0" w:noHBand="0" w:noVBand="1"/>
      </w:tblPr>
      <w:tblGrid>
        <w:gridCol w:w="2342"/>
        <w:gridCol w:w="11662"/>
      </w:tblGrid>
      <w:tr w:rsidR="00C771CC" w:rsidRPr="00E46978" w14:paraId="525D5181" w14:textId="77777777" w:rsidTr="006B7AD6">
        <w:tc>
          <w:tcPr>
            <w:tcW w:w="2376" w:type="dxa"/>
            <w:tcBorders>
              <w:left w:val="nil"/>
              <w:right w:val="nil"/>
            </w:tcBorders>
          </w:tcPr>
          <w:p w14:paraId="25AE2C7B" w14:textId="77777777" w:rsidR="00C771CC" w:rsidRPr="00E46978" w:rsidRDefault="00C771CC" w:rsidP="006B7AD6">
            <w:pPr>
              <w:pStyle w:val="pf0"/>
              <w:rPr>
                <w:color w:val="000000" w:themeColor="text1"/>
                <w:sz w:val="20"/>
                <w:szCs w:val="20"/>
                <w:lang w:val="en-GB"/>
              </w:rPr>
            </w:pPr>
            <w:r w:rsidRPr="00E46978">
              <w:rPr>
                <w:color w:val="000000" w:themeColor="text1"/>
                <w:sz w:val="20"/>
                <w:szCs w:val="20"/>
                <w:lang w:val="en-GB"/>
              </w:rPr>
              <w:t xml:space="preserve">ACM Digital Library </w:t>
            </w:r>
          </w:p>
        </w:tc>
        <w:tc>
          <w:tcPr>
            <w:tcW w:w="11844" w:type="dxa"/>
            <w:tcBorders>
              <w:left w:val="nil"/>
              <w:right w:val="nil"/>
            </w:tcBorders>
          </w:tcPr>
          <w:p w14:paraId="25ED22A8" w14:textId="77777777" w:rsidR="00C771CC" w:rsidRPr="00E46978" w:rsidRDefault="00C771CC" w:rsidP="006B7AD6">
            <w:pPr>
              <w:pStyle w:val="pf0"/>
              <w:rPr>
                <w:sz w:val="20"/>
                <w:szCs w:val="20"/>
                <w:lang w:val="en-US"/>
              </w:rPr>
            </w:pPr>
            <w:r w:rsidRPr="00E46978">
              <w:rPr>
                <w:rStyle w:val="cf01"/>
                <w:rFonts w:ascii="Times New Roman" w:hAnsi="Times New Roman" w:cs="Times New Roman"/>
                <w:sz w:val="20"/>
                <w:szCs w:val="20"/>
                <w:lang w:val="en-US"/>
              </w:rPr>
              <w:t>"query": {Abstract:("artificial intelligence" or "AI") AND Fulltext:("responsible" OR "ethic*" OR "trustworth*") AND Fulltext:("transparen*" OR "fair" OR "accountab*" OR "bias" OR "accurate" OR "accuracy" OR "robust" OR "explainab*" OR "interpretab*" OR "secure" OR "security" OR "privacy" OR "benefic*" OR "explicab*" OR "justice" OR "non-maleficence" OR "controllab*" OR "diversity" OR "non-discriminative") AND Fulltext:("manage" OR "practical" OR "in practice" OR "step" OR "organize" OR "organise" OR "activities" OR "frontline" OR "do" OR "how to" OR "document" OR "reproduceab*" OR "monitor" OR "practice*") AND Fulltext:("industry") }</w:t>
            </w:r>
          </w:p>
          <w:p w14:paraId="155754CF" w14:textId="77777777" w:rsidR="00C771CC" w:rsidRPr="00E46978" w:rsidRDefault="00C771CC" w:rsidP="006B7AD6">
            <w:pPr>
              <w:pStyle w:val="pf0"/>
              <w:rPr>
                <w:sz w:val="20"/>
                <w:szCs w:val="20"/>
                <w:lang w:val="en-US"/>
              </w:rPr>
            </w:pPr>
            <w:r w:rsidRPr="00E46978">
              <w:rPr>
                <w:rStyle w:val="cf01"/>
                <w:rFonts w:ascii="Times New Roman" w:hAnsi="Times New Roman" w:cs="Times New Roman"/>
                <w:sz w:val="20"/>
                <w:szCs w:val="20"/>
                <w:lang w:val="en-US"/>
              </w:rPr>
              <w:t>"filter": { E-Publication Date: (01/01/2012 TO 11/30/2023), ACM Content: DL }</w:t>
            </w:r>
          </w:p>
        </w:tc>
      </w:tr>
      <w:tr w:rsidR="00C771CC" w:rsidRPr="00E46978" w14:paraId="7CDCAB58" w14:textId="77777777" w:rsidTr="006B7AD6">
        <w:tc>
          <w:tcPr>
            <w:tcW w:w="2376" w:type="dxa"/>
            <w:tcBorders>
              <w:left w:val="nil"/>
              <w:right w:val="nil"/>
            </w:tcBorders>
          </w:tcPr>
          <w:p w14:paraId="610CA691" w14:textId="77777777" w:rsidR="00C771CC" w:rsidRPr="00E46978" w:rsidRDefault="00C771CC" w:rsidP="006B7AD6">
            <w:pPr>
              <w:pStyle w:val="pf0"/>
              <w:rPr>
                <w:color w:val="000000" w:themeColor="text1"/>
                <w:sz w:val="20"/>
                <w:szCs w:val="20"/>
                <w:lang w:val="en-GB"/>
              </w:rPr>
            </w:pPr>
            <w:r w:rsidRPr="00E46978">
              <w:rPr>
                <w:color w:val="000000" w:themeColor="text1"/>
                <w:sz w:val="20"/>
                <w:szCs w:val="20"/>
                <w:lang w:val="en-GB"/>
              </w:rPr>
              <w:t>Scopus</w:t>
            </w:r>
          </w:p>
        </w:tc>
        <w:tc>
          <w:tcPr>
            <w:tcW w:w="11844" w:type="dxa"/>
            <w:tcBorders>
              <w:left w:val="nil"/>
              <w:right w:val="nil"/>
            </w:tcBorders>
          </w:tcPr>
          <w:p w14:paraId="3D5EE750" w14:textId="77777777" w:rsidR="00C771CC" w:rsidRPr="00E46978" w:rsidRDefault="00C771CC" w:rsidP="006B7AD6">
            <w:pPr>
              <w:spacing w:before="100" w:beforeAutospacing="1" w:after="100" w:afterAutospacing="1"/>
              <w:rPr>
                <w:rStyle w:val="CommentReference"/>
                <w:rFonts w:ascii="Times New Roman" w:eastAsia="Times New Roman" w:hAnsi="Times New Roman" w:cs="Times New Roman"/>
                <w:sz w:val="20"/>
                <w:szCs w:val="20"/>
                <w:lang w:val="en-US" w:eastAsia="nb-NO"/>
              </w:rPr>
            </w:pPr>
            <w:r w:rsidRPr="00E46978">
              <w:rPr>
                <w:rFonts w:ascii="Times New Roman" w:eastAsia="Times New Roman" w:hAnsi="Times New Roman" w:cs="Times New Roman"/>
                <w:color w:val="323232"/>
                <w:sz w:val="20"/>
                <w:szCs w:val="20"/>
                <w:lang w:val="en-US" w:eastAsia="nb-NO"/>
              </w:rPr>
              <w:t>( ( ( TITLE-ABS-KEY ( "ai" ) OR TITLE-ABS-KEY ( "artificial intelligence" ) ) ) AND ( ( TITLE-ABS-KEY ( responsible ) OR TITLE-ABS-KEY ( ethic* ) OR TITLE-ABS-KEY ( trustworth* ) ) ) AND ( ( TITLE-ABS-KEY ( transparent* ) OR TITLE-ABS-KEY ( fair* ) OR TITLE-ABS-KEY ( accountab* ) OR TITLE-ABS-KEY ( bias ) OR TITLE-ABS-KEY ( accurate ) OR TITLE-ABS-KEY ( accuracy ) OR TITLE-ABS-KEY ( robust* ) OR TITLE-ABS-KEY ( explainab* ) OR TITLE-ABS-KEY ( interpretab* ) OR TITLE-ABS-KEY ( secure* ) OR TITLE-ABS-KEY ( security ) OR TITLE-ABS-KEY ( privacy ) OR TITLE-ABS-KEY ( benefic* ) OR TITLE-ABS-KEY ( explicab* ) OR TITLE-ABS-KEY ( justice ) OR TITLE-ABS-KEY ( "non-maleficence" ) OR TITLE-ABS-KEY ( controllab* ) OR TITLE-ABS-KEY ( diversity ) OR TITLE-ABS-KEY ( "non-discriminative" ) ) ) ) AND ( ( ( TITLE-ABS-KEY ( manage* ) OR TITLE-ABS-KEY ( practical ) OR TITLE-ABS-KEY ( "in practice" ) OR TITLE-ABS-KEY ( step* ) OR TITLE-ABS-KEY ( organize ) OR TITLE-ABS-KEY ( organise ) OR TITLE-ABS-KEY ( activities ) OR TITLE-AB</w:t>
            </w:r>
          </w:p>
        </w:tc>
      </w:tr>
      <w:tr w:rsidR="00C771CC" w:rsidRPr="00E46978" w14:paraId="02A70FF4" w14:textId="77777777" w:rsidTr="006B7AD6">
        <w:tc>
          <w:tcPr>
            <w:tcW w:w="2376" w:type="dxa"/>
            <w:tcBorders>
              <w:left w:val="nil"/>
              <w:right w:val="nil"/>
            </w:tcBorders>
          </w:tcPr>
          <w:p w14:paraId="38A65385" w14:textId="77777777" w:rsidR="00C771CC" w:rsidRPr="00E46978" w:rsidRDefault="00C771CC" w:rsidP="006B7AD6">
            <w:pPr>
              <w:pStyle w:val="pf0"/>
              <w:rPr>
                <w:color w:val="000000" w:themeColor="text1"/>
                <w:sz w:val="20"/>
                <w:szCs w:val="20"/>
                <w:lang w:val="en-GB"/>
              </w:rPr>
            </w:pPr>
            <w:r w:rsidRPr="00E46978">
              <w:rPr>
                <w:color w:val="000000" w:themeColor="text1"/>
                <w:sz w:val="20"/>
                <w:szCs w:val="20"/>
                <w:lang w:val="en-GB"/>
              </w:rPr>
              <w:t>Pubmed</w:t>
            </w:r>
          </w:p>
        </w:tc>
        <w:tc>
          <w:tcPr>
            <w:tcW w:w="11844" w:type="dxa"/>
            <w:tcBorders>
              <w:left w:val="nil"/>
              <w:right w:val="nil"/>
            </w:tcBorders>
          </w:tcPr>
          <w:p w14:paraId="5FDED53B" w14:textId="77777777" w:rsidR="00C771CC" w:rsidRPr="00E46978" w:rsidRDefault="00C771CC" w:rsidP="006B7AD6">
            <w:pPr>
              <w:pStyle w:val="pf0"/>
              <w:rPr>
                <w:rStyle w:val="CommentReference"/>
                <w:rFonts w:eastAsiaTheme="minorEastAsia"/>
                <w:sz w:val="20"/>
                <w:szCs w:val="20"/>
                <w:lang w:val="en-GB" w:eastAsia="en-US"/>
              </w:rPr>
            </w:pPr>
            <w:r w:rsidRPr="00E46978">
              <w:rPr>
                <w:rStyle w:val="CommentReference"/>
                <w:rFonts w:eastAsiaTheme="minorEastAsia"/>
                <w:sz w:val="20"/>
                <w:szCs w:val="20"/>
                <w:lang w:val="en-GB" w:eastAsia="en-US"/>
              </w:rPr>
              <w:t>((((((("AI"[Title/Abstract]) OR ("artificial intelligence"[Title/Abstract]))) AND (((("AI"[Title/Abstract]) OR ("artificial intelligence"[Title/Abstract])) AND (2010:2024[pdat])))) AND ((((responsible*[Title/Abstract]) OR (ethic*[Title/Abstract])) OR (trustworth*[Title/Abstract])))) AND ((((((((((((((((((((transparen*[Title/Abstract]) OR (fair*[Title/Abstract])) OR (accountab*[Title/Abstract])) OR (bias[Title/Abstract])) OR ("accurate"[Title/Abstract])) OR ("accuracy"[Title/Abstract])) OR (robust*[Title/Abstract])) OR (explainab*[Title/Abstract])) OR (interpretab*[Title/Abstract])) OR (secure*[Title/Abstract])) OR (security[Title/Abstract])) OR (privacy[Title/Abstract])) OR (benefic*[Title/Abstract])) OR (explicab*[Title/Abstract])) OR (justice[Title/Abstract])) OR ("non-maleficence"[Title/Abstract])) OR (controllab*[Title/Abstract])) OR (diversity[Title/Abstract])) OR ("non-discriminative"[Title/Abstract])))) AND ((((((((((((((manage*[Title/Abstract]) OR (practic*[Title/Abstract])) OR ("in practice"[Title/Abstract])) OR (step*[Title/Abstract])) OR (organize[Title/Abstract])) OR (organise[Title/Abstract])) OR (activities[Title/Abstract])) OR (frontline*[Title/Abstract])) OR (do*[Title/Abstract])) OR ("how to"[Title/Abstract])) OR (document*[Title/Abstract])) OR (reproduceab*[Title/Abstract])) OR (monitor*[Title/Abstract])))) AND (((((((((human*[Title/Abstract]) OR (stakeholder*[Title/Abstract])) OR (society[Title/Abstract])) OR (environment[Title/Abstract])) OR (user*[Title/Abstract])) OR (participant*[Title/Abstract])) OR (team*[Title/Abstract])) OR (operator*[Title/Abstract])))</w:t>
            </w:r>
          </w:p>
        </w:tc>
      </w:tr>
    </w:tbl>
    <w:p w14:paraId="5E1BBD1C" w14:textId="77777777" w:rsidR="00C771CC" w:rsidRPr="00A364C2" w:rsidRDefault="00C771CC" w:rsidP="00C771CC">
      <w:pPr>
        <w:rPr>
          <w:rFonts w:ascii="Times New Roman" w:hAnsi="Times New Roman" w:cs="Times New Roman"/>
          <w:color w:val="000000" w:themeColor="text1"/>
          <w:sz w:val="20"/>
          <w:szCs w:val="20"/>
        </w:rPr>
      </w:pPr>
    </w:p>
    <w:p w14:paraId="6932C139" w14:textId="77777777" w:rsidR="00C771CC" w:rsidRPr="00A364C2" w:rsidRDefault="00C771CC" w:rsidP="00C771CC">
      <w:pPr>
        <w:spacing w:after="0" w:line="240" w:lineRule="auto"/>
        <w:textAlignment w:val="baseline"/>
        <w:rPr>
          <w:rFonts w:ascii="Times New Roman" w:eastAsia="Times New Roman" w:hAnsi="Times New Roman" w:cs="Times New Roman"/>
          <w:lang w:eastAsia="nb-NO"/>
        </w:rPr>
      </w:pPr>
      <w:r w:rsidRPr="00A364C2">
        <w:rPr>
          <w:rFonts w:ascii="Times New Roman" w:eastAsia="Times New Roman" w:hAnsi="Times New Roman" w:cs="Times New Roman"/>
          <w:lang w:eastAsia="nb-NO"/>
        </w:rPr>
        <w:t> </w:t>
      </w:r>
    </w:p>
    <w:p w14:paraId="5B2BA7AF" w14:textId="77777777" w:rsidR="00C771CC" w:rsidRPr="00A364C2" w:rsidRDefault="00C771CC" w:rsidP="00C771CC">
      <w:pPr>
        <w:rPr>
          <w:rFonts w:ascii="Times New Roman" w:hAnsi="Times New Roman" w:cs="Times New Roman"/>
          <w:color w:val="000000" w:themeColor="text1"/>
          <w:sz w:val="18"/>
          <w:szCs w:val="18"/>
        </w:rPr>
      </w:pPr>
    </w:p>
    <w:p w14:paraId="34CCC7B5" w14:textId="77777777" w:rsidR="00C771CC" w:rsidRDefault="00C771CC" w:rsidP="00C771CC">
      <w:pPr>
        <w:rPr>
          <w:rFonts w:ascii="Times New Roman" w:hAnsi="Times New Roman" w:cs="Times New Roman"/>
          <w:b/>
          <w:bCs/>
          <w:sz w:val="18"/>
          <w:szCs w:val="18"/>
        </w:rPr>
        <w:sectPr w:rsidR="00C771CC" w:rsidSect="00C771CC">
          <w:pgSz w:w="16838" w:h="11906" w:orient="landscape"/>
          <w:pgMar w:top="1417" w:right="1417" w:bottom="1417" w:left="1417" w:header="708" w:footer="708" w:gutter="0"/>
          <w:cols w:space="708"/>
          <w:docGrid w:linePitch="360"/>
        </w:sectPr>
      </w:pPr>
    </w:p>
    <w:p w14:paraId="2F162A25" w14:textId="77777777" w:rsidR="00C771CC" w:rsidRPr="00A364C2" w:rsidRDefault="00C771CC" w:rsidP="00C771CC">
      <w:pPr>
        <w:rPr>
          <w:rFonts w:ascii="Times New Roman" w:hAnsi="Times New Roman" w:cs="Times New Roman"/>
          <w:b/>
          <w:bCs/>
          <w:sz w:val="18"/>
          <w:szCs w:val="18"/>
        </w:rPr>
      </w:pPr>
      <w:r w:rsidRPr="00A364C2">
        <w:rPr>
          <w:rFonts w:ascii="Times New Roman" w:hAnsi="Times New Roman" w:cs="Times New Roman"/>
          <w:b/>
          <w:bCs/>
          <w:sz w:val="18"/>
          <w:szCs w:val="18"/>
        </w:rPr>
        <w:lastRenderedPageBreak/>
        <w:t xml:space="preserve">Appendix 2 </w:t>
      </w:r>
      <w:r w:rsidRPr="00A364C2">
        <w:rPr>
          <w:rFonts w:ascii="Times New Roman" w:hAnsi="Times New Roman" w:cs="Times New Roman"/>
          <w:sz w:val="18"/>
          <w:szCs w:val="18"/>
        </w:rPr>
        <w:t>Study goals, settings, and the involvement and roles of non-user, user, and primary stakeholders</w:t>
      </w:r>
      <w:r w:rsidRPr="00A364C2">
        <w:rPr>
          <w:rFonts w:ascii="Times New Roman" w:hAnsi="Times New Roman" w:cs="Times New Roman"/>
          <w:b/>
          <w:bCs/>
          <w:sz w:val="18"/>
          <w:szCs w:val="18"/>
        </w:rPr>
        <w:t xml:space="preserve"> </w:t>
      </w:r>
    </w:p>
    <w:tbl>
      <w:tblPr>
        <w:tblStyle w:val="TableGrid"/>
        <w:tblW w:w="13760" w:type="dxa"/>
        <w:jc w:val="center"/>
        <w:tblLook w:val="04A0" w:firstRow="1" w:lastRow="0" w:firstColumn="1" w:lastColumn="0" w:noHBand="0" w:noVBand="1"/>
      </w:tblPr>
      <w:tblGrid>
        <w:gridCol w:w="587"/>
        <w:gridCol w:w="2678"/>
        <w:gridCol w:w="2211"/>
        <w:gridCol w:w="1191"/>
        <w:gridCol w:w="1159"/>
        <w:gridCol w:w="1159"/>
        <w:gridCol w:w="1632"/>
        <w:gridCol w:w="1574"/>
        <w:gridCol w:w="1569"/>
      </w:tblGrid>
      <w:tr w:rsidR="00C771CC" w:rsidRPr="00A364C2" w14:paraId="0CEBEE49" w14:textId="77777777" w:rsidTr="006B7AD6">
        <w:trPr>
          <w:jc w:val="center"/>
        </w:trPr>
        <w:tc>
          <w:tcPr>
            <w:tcW w:w="587" w:type="dxa"/>
            <w:vAlign w:val="center"/>
          </w:tcPr>
          <w:p w14:paraId="005B9A8C" w14:textId="77777777" w:rsidR="00C771CC" w:rsidRPr="00A364C2" w:rsidRDefault="00C771CC" w:rsidP="006B7AD6">
            <w:pPr>
              <w:jc w:val="center"/>
              <w:rPr>
                <w:rFonts w:ascii="Times New Roman" w:hAnsi="Times New Roman" w:cs="Times New Roman"/>
                <w:b/>
                <w:bCs/>
                <w:sz w:val="18"/>
                <w:szCs w:val="18"/>
              </w:rPr>
            </w:pPr>
          </w:p>
        </w:tc>
        <w:tc>
          <w:tcPr>
            <w:tcW w:w="2678" w:type="dxa"/>
            <w:vAlign w:val="center"/>
          </w:tcPr>
          <w:p w14:paraId="55449CD0"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Title (alphabetically)</w:t>
            </w:r>
          </w:p>
        </w:tc>
        <w:tc>
          <w:tcPr>
            <w:tcW w:w="2211" w:type="dxa"/>
            <w:vAlign w:val="center"/>
          </w:tcPr>
          <w:p w14:paraId="4440BAFE"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Study goal</w:t>
            </w:r>
          </w:p>
        </w:tc>
        <w:tc>
          <w:tcPr>
            <w:tcW w:w="1191" w:type="dxa"/>
            <w:vAlign w:val="center"/>
          </w:tcPr>
          <w:p w14:paraId="02528BED"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Settings</w:t>
            </w:r>
          </w:p>
        </w:tc>
        <w:tc>
          <w:tcPr>
            <w:tcW w:w="1159" w:type="dxa"/>
            <w:vAlign w:val="center"/>
          </w:tcPr>
          <w:p w14:paraId="33CEBAEC"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Target non-users involved?</w:t>
            </w:r>
          </w:p>
          <w:p w14:paraId="1CE5AF94"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(Yes=27, No=16, N/A=2)</w:t>
            </w:r>
          </w:p>
        </w:tc>
        <w:tc>
          <w:tcPr>
            <w:tcW w:w="1159" w:type="dxa"/>
            <w:vAlign w:val="center"/>
          </w:tcPr>
          <w:p w14:paraId="328D81F4"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Target user involved?</w:t>
            </w:r>
          </w:p>
          <w:p w14:paraId="79BF4887"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(Yes=31, No=9, N/A=5)</w:t>
            </w:r>
          </w:p>
        </w:tc>
        <w:tc>
          <w:tcPr>
            <w:tcW w:w="1632" w:type="dxa"/>
            <w:vAlign w:val="center"/>
          </w:tcPr>
          <w:p w14:paraId="3A4E498C"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Target non-user stakeholder roles</w:t>
            </w:r>
          </w:p>
        </w:tc>
        <w:tc>
          <w:tcPr>
            <w:tcW w:w="1574" w:type="dxa"/>
            <w:vAlign w:val="center"/>
          </w:tcPr>
          <w:p w14:paraId="686845EA"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Target user stakeholder roles</w:t>
            </w:r>
          </w:p>
        </w:tc>
        <w:tc>
          <w:tcPr>
            <w:tcW w:w="1569" w:type="dxa"/>
            <w:vAlign w:val="center"/>
          </w:tcPr>
          <w:p w14:paraId="034F1BD8"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Target primary stakeholder roles</w:t>
            </w:r>
            <w:r w:rsidRPr="007F24C1">
              <w:rPr>
                <w:rFonts w:ascii="Times New Roman" w:hAnsi="Times New Roman" w:cs="Times New Roman"/>
                <w:color w:val="000000" w:themeColor="text1"/>
                <w:sz w:val="20"/>
                <w:szCs w:val="20"/>
                <w:vertAlign w:val="superscript"/>
              </w:rPr>
              <w:t>a</w:t>
            </w:r>
          </w:p>
        </w:tc>
      </w:tr>
      <w:tr w:rsidR="00C771CC" w:rsidRPr="00A364C2" w14:paraId="093B79BD" w14:textId="77777777" w:rsidTr="006B7AD6">
        <w:trPr>
          <w:jc w:val="center"/>
        </w:trPr>
        <w:tc>
          <w:tcPr>
            <w:tcW w:w="587" w:type="dxa"/>
            <w:vAlign w:val="center"/>
          </w:tcPr>
          <w:p w14:paraId="52211E9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1</w:t>
            </w:r>
          </w:p>
        </w:tc>
        <w:tc>
          <w:tcPr>
            <w:tcW w:w="2678" w:type="dxa"/>
            <w:vAlign w:val="center"/>
          </w:tcPr>
          <w:p w14:paraId="5B9E8C69"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A Care Robot with Ethical Sensing System for Older Adults at Home </w:t>
            </w:r>
            <w:r>
              <w:rPr>
                <w:rFonts w:ascii="Times New Roman" w:hAnsi="Times New Roman" w:cs="Times New Roman"/>
                <w:noProof/>
                <w:color w:val="000000" w:themeColor="text1"/>
                <w:sz w:val="18"/>
                <w:szCs w:val="18"/>
              </w:rPr>
              <w:t>[11]</w:t>
            </w:r>
          </w:p>
        </w:tc>
        <w:tc>
          <w:tcPr>
            <w:tcW w:w="2211" w:type="dxa"/>
            <w:vAlign w:val="center"/>
          </w:tcPr>
          <w:p w14:paraId="6C7D90B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28252D3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3543AEE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0099C8A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632" w:type="dxa"/>
            <w:vAlign w:val="center"/>
          </w:tcPr>
          <w:p w14:paraId="26B3AEB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Clinicians</w:t>
            </w:r>
          </w:p>
        </w:tc>
        <w:tc>
          <w:tcPr>
            <w:tcW w:w="1574" w:type="dxa"/>
            <w:vAlign w:val="center"/>
          </w:tcPr>
          <w:p w14:paraId="5642B2F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c>
          <w:tcPr>
            <w:tcW w:w="1569" w:type="dxa"/>
            <w:vAlign w:val="center"/>
          </w:tcPr>
          <w:p w14:paraId="57D7B4A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5A34A621" w14:textId="77777777" w:rsidTr="006B7AD6">
        <w:trPr>
          <w:jc w:val="center"/>
        </w:trPr>
        <w:tc>
          <w:tcPr>
            <w:tcW w:w="587" w:type="dxa"/>
            <w:vAlign w:val="center"/>
          </w:tcPr>
          <w:p w14:paraId="49BA0B2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2</w:t>
            </w:r>
          </w:p>
        </w:tc>
        <w:tc>
          <w:tcPr>
            <w:tcW w:w="2678" w:type="dxa"/>
            <w:vAlign w:val="center"/>
          </w:tcPr>
          <w:p w14:paraId="014B63B7"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sz w:val="18"/>
                <w:szCs w:val="18"/>
              </w:rPr>
              <w:t xml:space="preserve">A Multi-Institutional Study Using Artificial Intelligence to Provide Reliable and Fair Feedback to Surgeons </w:t>
            </w:r>
            <w:r>
              <w:rPr>
                <w:rFonts w:ascii="Times New Roman" w:hAnsi="Times New Roman" w:cs="Times New Roman"/>
                <w:noProof/>
                <w:sz w:val="18"/>
                <w:szCs w:val="18"/>
              </w:rPr>
              <w:t>[43]</w:t>
            </w:r>
          </w:p>
        </w:tc>
        <w:tc>
          <w:tcPr>
            <w:tcW w:w="2211" w:type="dxa"/>
            <w:vAlign w:val="center"/>
          </w:tcPr>
          <w:p w14:paraId="443D16F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76A686A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6D897FB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159" w:type="dxa"/>
            <w:vAlign w:val="center"/>
          </w:tcPr>
          <w:p w14:paraId="4EF4E2B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23ABA8C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Not stated</w:t>
            </w:r>
          </w:p>
        </w:tc>
        <w:tc>
          <w:tcPr>
            <w:tcW w:w="1574" w:type="dxa"/>
            <w:vAlign w:val="center"/>
          </w:tcPr>
          <w:p w14:paraId="0B77C48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Clinicians*</w:t>
            </w:r>
          </w:p>
        </w:tc>
        <w:tc>
          <w:tcPr>
            <w:tcW w:w="1569" w:type="dxa"/>
            <w:vAlign w:val="center"/>
          </w:tcPr>
          <w:p w14:paraId="0CBA17E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 and clinicians</w:t>
            </w:r>
          </w:p>
        </w:tc>
      </w:tr>
      <w:tr w:rsidR="00C771CC" w:rsidRPr="00A364C2" w14:paraId="453D1AA0" w14:textId="77777777" w:rsidTr="006B7AD6">
        <w:trPr>
          <w:jc w:val="center"/>
        </w:trPr>
        <w:tc>
          <w:tcPr>
            <w:tcW w:w="587" w:type="dxa"/>
            <w:vAlign w:val="center"/>
          </w:tcPr>
          <w:p w14:paraId="30D6215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3</w:t>
            </w:r>
          </w:p>
        </w:tc>
        <w:tc>
          <w:tcPr>
            <w:tcW w:w="2678" w:type="dxa"/>
            <w:vAlign w:val="center"/>
          </w:tcPr>
          <w:p w14:paraId="21C91EC2"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Considerations in the Reliability and Fairness Audits of Predictive Models for Advance Care Planning </w:t>
            </w:r>
            <w:r>
              <w:rPr>
                <w:rFonts w:ascii="Times New Roman" w:hAnsi="Times New Roman" w:cs="Times New Roman"/>
                <w:noProof/>
                <w:color w:val="000000" w:themeColor="text1"/>
                <w:sz w:val="18"/>
                <w:szCs w:val="18"/>
              </w:rPr>
              <w:t>[66]</w:t>
            </w:r>
          </w:p>
        </w:tc>
        <w:tc>
          <w:tcPr>
            <w:tcW w:w="2211" w:type="dxa"/>
            <w:vAlign w:val="center"/>
          </w:tcPr>
          <w:p w14:paraId="3BADB56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1214B10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3ED7D1A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159" w:type="dxa"/>
            <w:vAlign w:val="center"/>
          </w:tcPr>
          <w:p w14:paraId="7893B0E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54F6DD6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Decision makers</w:t>
            </w:r>
          </w:p>
        </w:tc>
        <w:tc>
          <w:tcPr>
            <w:tcW w:w="1574" w:type="dxa"/>
            <w:vAlign w:val="center"/>
          </w:tcPr>
          <w:p w14:paraId="1D98442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Clinicians</w:t>
            </w:r>
          </w:p>
        </w:tc>
        <w:tc>
          <w:tcPr>
            <w:tcW w:w="1569" w:type="dxa"/>
            <w:vAlign w:val="center"/>
          </w:tcPr>
          <w:p w14:paraId="757C866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09104249" w14:textId="77777777" w:rsidTr="006B7AD6">
        <w:trPr>
          <w:jc w:val="center"/>
        </w:trPr>
        <w:tc>
          <w:tcPr>
            <w:tcW w:w="587" w:type="dxa"/>
            <w:vAlign w:val="center"/>
          </w:tcPr>
          <w:p w14:paraId="543333A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4</w:t>
            </w:r>
          </w:p>
        </w:tc>
        <w:tc>
          <w:tcPr>
            <w:tcW w:w="2678" w:type="dxa"/>
            <w:vAlign w:val="center"/>
          </w:tcPr>
          <w:p w14:paraId="4B5285F5"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Developing an Automated Assessment of In-session Patient Activation for Psychological Therapy: Codevelopment Approach </w:t>
            </w:r>
            <w:r>
              <w:rPr>
                <w:rFonts w:ascii="Times New Roman" w:hAnsi="Times New Roman" w:cs="Times New Roman"/>
                <w:noProof/>
                <w:color w:val="000000" w:themeColor="text1"/>
                <w:sz w:val="18"/>
                <w:szCs w:val="18"/>
              </w:rPr>
              <w:t>[63]</w:t>
            </w:r>
          </w:p>
        </w:tc>
        <w:tc>
          <w:tcPr>
            <w:tcW w:w="2211" w:type="dxa"/>
            <w:vAlign w:val="center"/>
          </w:tcPr>
          <w:p w14:paraId="37E9E97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23AF1FF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1069885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3B9F598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6B3967A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Researchers</w:t>
            </w:r>
          </w:p>
        </w:tc>
        <w:tc>
          <w:tcPr>
            <w:tcW w:w="1574" w:type="dxa"/>
            <w:vAlign w:val="center"/>
          </w:tcPr>
          <w:p w14:paraId="144B526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 professionals</w:t>
            </w:r>
          </w:p>
        </w:tc>
        <w:tc>
          <w:tcPr>
            <w:tcW w:w="1569" w:type="dxa"/>
            <w:vAlign w:val="center"/>
          </w:tcPr>
          <w:p w14:paraId="28A6261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25E70772" w14:textId="77777777" w:rsidTr="006B7AD6">
        <w:trPr>
          <w:jc w:val="center"/>
        </w:trPr>
        <w:tc>
          <w:tcPr>
            <w:tcW w:w="587" w:type="dxa"/>
            <w:vAlign w:val="center"/>
          </w:tcPr>
          <w:p w14:paraId="4FCB9CA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5</w:t>
            </w:r>
          </w:p>
        </w:tc>
        <w:tc>
          <w:tcPr>
            <w:tcW w:w="2678" w:type="dxa"/>
            <w:vAlign w:val="center"/>
          </w:tcPr>
          <w:p w14:paraId="514553A3"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Engaging Multidisciplinary Clinical Users in the Design of an Artificial Intelligence-Powered Graphical User Interface for Intensive Care Unit Instability Decision Support </w:t>
            </w:r>
            <w:r>
              <w:rPr>
                <w:rFonts w:ascii="Times New Roman" w:hAnsi="Times New Roman" w:cs="Times New Roman"/>
                <w:noProof/>
                <w:color w:val="000000" w:themeColor="text1"/>
                <w:sz w:val="18"/>
                <w:szCs w:val="18"/>
              </w:rPr>
              <w:t>[61]</w:t>
            </w:r>
          </w:p>
        </w:tc>
        <w:tc>
          <w:tcPr>
            <w:tcW w:w="2211" w:type="dxa"/>
            <w:vAlign w:val="center"/>
          </w:tcPr>
          <w:p w14:paraId="6BA66B0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6A65E5E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6232C06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 xml:space="preserve">No </w:t>
            </w:r>
          </w:p>
        </w:tc>
        <w:tc>
          <w:tcPr>
            <w:tcW w:w="1159" w:type="dxa"/>
            <w:vAlign w:val="center"/>
          </w:tcPr>
          <w:p w14:paraId="500B898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65A6F72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 xml:space="preserve">Not stated </w:t>
            </w:r>
          </w:p>
        </w:tc>
        <w:tc>
          <w:tcPr>
            <w:tcW w:w="1574" w:type="dxa"/>
            <w:vAlign w:val="center"/>
          </w:tcPr>
          <w:p w14:paraId="51644C1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Clinicians</w:t>
            </w:r>
          </w:p>
        </w:tc>
        <w:tc>
          <w:tcPr>
            <w:tcW w:w="1569" w:type="dxa"/>
            <w:vAlign w:val="center"/>
          </w:tcPr>
          <w:p w14:paraId="0FC8D02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108906DE" w14:textId="77777777" w:rsidTr="006B7AD6">
        <w:trPr>
          <w:jc w:val="center"/>
        </w:trPr>
        <w:tc>
          <w:tcPr>
            <w:tcW w:w="587" w:type="dxa"/>
            <w:vAlign w:val="center"/>
          </w:tcPr>
          <w:p w14:paraId="2B1563A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6</w:t>
            </w:r>
          </w:p>
        </w:tc>
        <w:tc>
          <w:tcPr>
            <w:tcW w:w="2678" w:type="dxa"/>
            <w:vAlign w:val="center"/>
          </w:tcPr>
          <w:p w14:paraId="6E9BC857"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Ethical Considerations in Implementing AI for Mortality Prediction in the Emergency Department: Linking Theory and Practice </w:t>
            </w:r>
            <w:r>
              <w:rPr>
                <w:rFonts w:ascii="Times New Roman" w:hAnsi="Times New Roman" w:cs="Times New Roman"/>
                <w:noProof/>
                <w:color w:val="000000" w:themeColor="text1"/>
                <w:sz w:val="18"/>
                <w:szCs w:val="18"/>
              </w:rPr>
              <w:t>[8]</w:t>
            </w:r>
          </w:p>
        </w:tc>
        <w:tc>
          <w:tcPr>
            <w:tcW w:w="2211" w:type="dxa"/>
            <w:vAlign w:val="center"/>
          </w:tcPr>
          <w:p w14:paraId="69619BE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60A7C9B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1FF2133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24D75B5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74D76A2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Decision makers</w:t>
            </w:r>
          </w:p>
        </w:tc>
        <w:tc>
          <w:tcPr>
            <w:tcW w:w="1574" w:type="dxa"/>
            <w:vAlign w:val="center"/>
          </w:tcPr>
          <w:p w14:paraId="07101C5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Clinicians</w:t>
            </w:r>
          </w:p>
        </w:tc>
        <w:tc>
          <w:tcPr>
            <w:tcW w:w="1569" w:type="dxa"/>
            <w:vAlign w:val="center"/>
          </w:tcPr>
          <w:p w14:paraId="101BAB5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350373DA" w14:textId="77777777" w:rsidTr="006B7AD6">
        <w:trPr>
          <w:jc w:val="center"/>
        </w:trPr>
        <w:tc>
          <w:tcPr>
            <w:tcW w:w="587" w:type="dxa"/>
            <w:vAlign w:val="center"/>
          </w:tcPr>
          <w:p w14:paraId="73D9397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7</w:t>
            </w:r>
          </w:p>
        </w:tc>
        <w:tc>
          <w:tcPr>
            <w:tcW w:w="2678" w:type="dxa"/>
            <w:vAlign w:val="center"/>
          </w:tcPr>
          <w:p w14:paraId="6F7E09EE"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ProHealth eCoach: User-Centered Design and Development of an eCoach App to Promote Healthy Lifestyle with Personalized Activity Recommendations </w:t>
            </w:r>
            <w:r>
              <w:rPr>
                <w:rFonts w:ascii="Times New Roman" w:hAnsi="Times New Roman" w:cs="Times New Roman"/>
                <w:noProof/>
                <w:color w:val="000000" w:themeColor="text1"/>
                <w:sz w:val="18"/>
                <w:szCs w:val="18"/>
              </w:rPr>
              <w:t>[55]</w:t>
            </w:r>
          </w:p>
        </w:tc>
        <w:tc>
          <w:tcPr>
            <w:tcW w:w="2211" w:type="dxa"/>
            <w:vAlign w:val="center"/>
          </w:tcPr>
          <w:p w14:paraId="514FD3C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7E7CCE9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150F3BE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0479988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47DD792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Researchers, healthcare professionals, subject-matter experts</w:t>
            </w:r>
          </w:p>
        </w:tc>
        <w:tc>
          <w:tcPr>
            <w:tcW w:w="1574" w:type="dxa"/>
            <w:vAlign w:val="center"/>
          </w:tcPr>
          <w:p w14:paraId="167E1F5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c>
          <w:tcPr>
            <w:tcW w:w="1569" w:type="dxa"/>
            <w:vAlign w:val="center"/>
          </w:tcPr>
          <w:p w14:paraId="7F8539B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Patients</w:t>
            </w:r>
          </w:p>
        </w:tc>
      </w:tr>
      <w:tr w:rsidR="00C771CC" w:rsidRPr="00A364C2" w14:paraId="095C3E37" w14:textId="77777777" w:rsidTr="006B7AD6">
        <w:trPr>
          <w:jc w:val="center"/>
        </w:trPr>
        <w:tc>
          <w:tcPr>
            <w:tcW w:w="587" w:type="dxa"/>
            <w:vAlign w:val="center"/>
          </w:tcPr>
          <w:p w14:paraId="6080345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8</w:t>
            </w:r>
          </w:p>
        </w:tc>
        <w:tc>
          <w:tcPr>
            <w:tcW w:w="2678" w:type="dxa"/>
            <w:vAlign w:val="center"/>
          </w:tcPr>
          <w:p w14:paraId="31656FCF"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Smartphone Applications for Triaging Adults with Skin Lesions that are Suspicious for Melanoma </w:t>
            </w:r>
            <w:r>
              <w:rPr>
                <w:rFonts w:ascii="Times New Roman" w:hAnsi="Times New Roman" w:cs="Times New Roman"/>
                <w:noProof/>
                <w:color w:val="000000" w:themeColor="text1"/>
                <w:sz w:val="18"/>
                <w:szCs w:val="18"/>
              </w:rPr>
              <w:t>[70]</w:t>
            </w:r>
          </w:p>
        </w:tc>
        <w:tc>
          <w:tcPr>
            <w:tcW w:w="2211" w:type="dxa"/>
            <w:vAlign w:val="center"/>
          </w:tcPr>
          <w:p w14:paraId="1B7F2F7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AI-enabled systems</w:t>
            </w:r>
          </w:p>
        </w:tc>
        <w:tc>
          <w:tcPr>
            <w:tcW w:w="1191" w:type="dxa"/>
            <w:vAlign w:val="center"/>
          </w:tcPr>
          <w:p w14:paraId="794DBFB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36C0287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04DC5EF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1534743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Clinicians</w:t>
            </w:r>
          </w:p>
        </w:tc>
        <w:tc>
          <w:tcPr>
            <w:tcW w:w="1574" w:type="dxa"/>
            <w:vAlign w:val="center"/>
          </w:tcPr>
          <w:p w14:paraId="185A275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c>
          <w:tcPr>
            <w:tcW w:w="1569" w:type="dxa"/>
            <w:vAlign w:val="center"/>
          </w:tcPr>
          <w:p w14:paraId="55A3D62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4EDF197D" w14:textId="77777777" w:rsidTr="006B7AD6">
        <w:trPr>
          <w:jc w:val="center"/>
        </w:trPr>
        <w:tc>
          <w:tcPr>
            <w:tcW w:w="587" w:type="dxa"/>
            <w:vAlign w:val="center"/>
          </w:tcPr>
          <w:p w14:paraId="32CB6A7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lastRenderedPageBreak/>
              <w:t>9</w:t>
            </w:r>
          </w:p>
        </w:tc>
        <w:tc>
          <w:tcPr>
            <w:tcW w:w="2678" w:type="dxa"/>
            <w:vAlign w:val="center"/>
          </w:tcPr>
          <w:p w14:paraId="40C14B8D"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The Application of the Principles of Responsible AI on Social Media Marketing for Digital Health </w:t>
            </w:r>
            <w:r>
              <w:rPr>
                <w:rFonts w:ascii="Times New Roman" w:hAnsi="Times New Roman" w:cs="Times New Roman"/>
                <w:noProof/>
                <w:color w:val="000000" w:themeColor="text1"/>
                <w:sz w:val="18"/>
                <w:szCs w:val="18"/>
              </w:rPr>
              <w:t>[47]</w:t>
            </w:r>
          </w:p>
        </w:tc>
        <w:tc>
          <w:tcPr>
            <w:tcW w:w="2211" w:type="dxa"/>
            <w:vAlign w:val="center"/>
          </w:tcPr>
          <w:p w14:paraId="527C29A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stakeholder perspectives on RAI practices</w:t>
            </w:r>
          </w:p>
        </w:tc>
        <w:tc>
          <w:tcPr>
            <w:tcW w:w="1191" w:type="dxa"/>
            <w:vAlign w:val="center"/>
          </w:tcPr>
          <w:p w14:paraId="0056C5D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1BEF5D6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48DE418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1183F65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Decision makers</w:t>
            </w:r>
          </w:p>
        </w:tc>
        <w:tc>
          <w:tcPr>
            <w:tcW w:w="1574" w:type="dxa"/>
            <w:vAlign w:val="center"/>
          </w:tcPr>
          <w:p w14:paraId="0E8E207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Subject-matter experts, healthcare professionals</w:t>
            </w:r>
          </w:p>
        </w:tc>
        <w:tc>
          <w:tcPr>
            <w:tcW w:w="1569" w:type="dxa"/>
            <w:vAlign w:val="center"/>
          </w:tcPr>
          <w:p w14:paraId="7D80BCF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27183741" w14:textId="77777777" w:rsidTr="006B7AD6">
        <w:trPr>
          <w:jc w:val="center"/>
        </w:trPr>
        <w:tc>
          <w:tcPr>
            <w:tcW w:w="587" w:type="dxa"/>
            <w:vAlign w:val="center"/>
          </w:tcPr>
          <w:p w14:paraId="5FE1B9A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10</w:t>
            </w:r>
          </w:p>
        </w:tc>
        <w:tc>
          <w:tcPr>
            <w:tcW w:w="2678" w:type="dxa"/>
            <w:vAlign w:val="center"/>
          </w:tcPr>
          <w:p w14:paraId="719D5047"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The Participatory Value-Sensitive Design (VSD) of a mHealth App Targeting Citizens with Dementia in a Danish Municipality </w:t>
            </w:r>
            <w:r>
              <w:rPr>
                <w:rFonts w:ascii="Times New Roman" w:hAnsi="Times New Roman" w:cs="Times New Roman"/>
                <w:noProof/>
                <w:color w:val="000000" w:themeColor="text1"/>
                <w:sz w:val="18"/>
                <w:szCs w:val="18"/>
              </w:rPr>
              <w:t>[36]</w:t>
            </w:r>
          </w:p>
        </w:tc>
        <w:tc>
          <w:tcPr>
            <w:tcW w:w="2211" w:type="dxa"/>
            <w:vAlign w:val="center"/>
          </w:tcPr>
          <w:p w14:paraId="3B1DAE9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7CC018B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70803AD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025DD30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6475585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Community- based organisations (i.e., training centres, hospitals, elderly homes, police) </w:t>
            </w:r>
          </w:p>
        </w:tc>
        <w:tc>
          <w:tcPr>
            <w:tcW w:w="1574" w:type="dxa"/>
            <w:vAlign w:val="center"/>
          </w:tcPr>
          <w:p w14:paraId="04CA95D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 volunteers, relatives</w:t>
            </w:r>
          </w:p>
        </w:tc>
        <w:tc>
          <w:tcPr>
            <w:tcW w:w="1569" w:type="dxa"/>
            <w:vAlign w:val="center"/>
          </w:tcPr>
          <w:p w14:paraId="6AE3253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3C4AA8FC" w14:textId="77777777" w:rsidTr="006B7AD6">
        <w:trPr>
          <w:jc w:val="center"/>
        </w:trPr>
        <w:tc>
          <w:tcPr>
            <w:tcW w:w="587" w:type="dxa"/>
            <w:vAlign w:val="center"/>
          </w:tcPr>
          <w:p w14:paraId="670C84F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11</w:t>
            </w:r>
          </w:p>
        </w:tc>
        <w:tc>
          <w:tcPr>
            <w:tcW w:w="2678" w:type="dxa"/>
            <w:vAlign w:val="center"/>
          </w:tcPr>
          <w:p w14:paraId="6655D517"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Utilization of Self-Diagnosis Health Chatbots in Real-World Settings: Case Study </w:t>
            </w:r>
            <w:r>
              <w:rPr>
                <w:rFonts w:ascii="Times New Roman" w:hAnsi="Times New Roman" w:cs="Times New Roman"/>
                <w:noProof/>
                <w:color w:val="000000" w:themeColor="text1"/>
                <w:sz w:val="18"/>
                <w:szCs w:val="18"/>
              </w:rPr>
              <w:t>[12]</w:t>
            </w:r>
          </w:p>
        </w:tc>
        <w:tc>
          <w:tcPr>
            <w:tcW w:w="2211" w:type="dxa"/>
            <w:vAlign w:val="center"/>
          </w:tcPr>
          <w:p w14:paraId="05DCB9A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7FCA535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0FED1CF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159" w:type="dxa"/>
            <w:vAlign w:val="center"/>
          </w:tcPr>
          <w:p w14:paraId="167DAF5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6EBB59A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Not stated</w:t>
            </w:r>
          </w:p>
        </w:tc>
        <w:tc>
          <w:tcPr>
            <w:tcW w:w="1574" w:type="dxa"/>
            <w:vAlign w:val="center"/>
          </w:tcPr>
          <w:p w14:paraId="246AD0A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c>
          <w:tcPr>
            <w:tcW w:w="1569" w:type="dxa"/>
            <w:vAlign w:val="center"/>
          </w:tcPr>
          <w:p w14:paraId="30D37C0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6C0906FF" w14:textId="77777777" w:rsidTr="006B7AD6">
        <w:trPr>
          <w:jc w:val="center"/>
        </w:trPr>
        <w:tc>
          <w:tcPr>
            <w:tcW w:w="587" w:type="dxa"/>
            <w:vAlign w:val="center"/>
          </w:tcPr>
          <w:p w14:paraId="1741901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12</w:t>
            </w:r>
          </w:p>
        </w:tc>
        <w:tc>
          <w:tcPr>
            <w:tcW w:w="2678" w:type="dxa"/>
            <w:vAlign w:val="center"/>
          </w:tcPr>
          <w:p w14:paraId="49423D5D"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A Sector-Based Approach to AI ethics: Understanding Ethical Issues of AI-related Incidents within Their Sectoral context </w:t>
            </w:r>
            <w:r>
              <w:rPr>
                <w:rFonts w:ascii="Times New Roman" w:hAnsi="Times New Roman" w:cs="Times New Roman"/>
                <w:noProof/>
                <w:color w:val="000000" w:themeColor="text1"/>
                <w:sz w:val="18"/>
                <w:szCs w:val="18"/>
              </w:rPr>
              <w:t>[31]</w:t>
            </w:r>
          </w:p>
        </w:tc>
        <w:tc>
          <w:tcPr>
            <w:tcW w:w="2211" w:type="dxa"/>
            <w:vAlign w:val="center"/>
          </w:tcPr>
          <w:p w14:paraId="0D3905A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stakeholder perspectives on RAI practices</w:t>
            </w:r>
          </w:p>
        </w:tc>
        <w:tc>
          <w:tcPr>
            <w:tcW w:w="1191" w:type="dxa"/>
            <w:vAlign w:val="center"/>
          </w:tcPr>
          <w:p w14:paraId="5F9AD4F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Mix of industries (i.e., police, healthcare, education and academia, politics, automotive)</w:t>
            </w:r>
          </w:p>
        </w:tc>
        <w:tc>
          <w:tcPr>
            <w:tcW w:w="1159" w:type="dxa"/>
            <w:vAlign w:val="center"/>
          </w:tcPr>
          <w:p w14:paraId="51E83CB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N/A (documented AI incident analysis)</w:t>
            </w:r>
          </w:p>
        </w:tc>
        <w:tc>
          <w:tcPr>
            <w:tcW w:w="1159" w:type="dxa"/>
            <w:vAlign w:val="center"/>
          </w:tcPr>
          <w:p w14:paraId="556E8C3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N/A (documented AI incident analysis)</w:t>
            </w:r>
          </w:p>
        </w:tc>
        <w:tc>
          <w:tcPr>
            <w:tcW w:w="1632" w:type="dxa"/>
            <w:vAlign w:val="center"/>
          </w:tcPr>
          <w:p w14:paraId="0D06730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Mix of roles (e.g., general population, students) </w:t>
            </w:r>
          </w:p>
        </w:tc>
        <w:tc>
          <w:tcPr>
            <w:tcW w:w="1574" w:type="dxa"/>
            <w:vAlign w:val="center"/>
          </w:tcPr>
          <w:p w14:paraId="4B78755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Mix of roles (e.g., police, teachers, publishers, politicians, healthcare professionals)</w:t>
            </w:r>
          </w:p>
        </w:tc>
        <w:tc>
          <w:tcPr>
            <w:tcW w:w="1569" w:type="dxa"/>
            <w:vAlign w:val="center"/>
          </w:tcPr>
          <w:p w14:paraId="673B611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Mix of roles (e.g., students, citizens, patients, road users)</w:t>
            </w:r>
          </w:p>
        </w:tc>
      </w:tr>
      <w:tr w:rsidR="00C771CC" w:rsidRPr="00A364C2" w14:paraId="2F7BFDA8" w14:textId="77777777" w:rsidTr="006B7AD6">
        <w:trPr>
          <w:jc w:val="center"/>
        </w:trPr>
        <w:tc>
          <w:tcPr>
            <w:tcW w:w="587" w:type="dxa"/>
            <w:vAlign w:val="center"/>
          </w:tcPr>
          <w:p w14:paraId="315E5BB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13</w:t>
            </w:r>
          </w:p>
        </w:tc>
        <w:tc>
          <w:tcPr>
            <w:tcW w:w="2678" w:type="dxa"/>
            <w:vAlign w:val="center"/>
          </w:tcPr>
          <w:p w14:paraId="0BF0ADA2"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Algorithmic Hiring in Practice: Recruiter and HR Professional's Perspectives on AI Use in Hiring </w:t>
            </w:r>
            <w:r>
              <w:rPr>
                <w:rFonts w:ascii="Times New Roman" w:hAnsi="Times New Roman" w:cs="Times New Roman"/>
                <w:noProof/>
                <w:color w:val="000000" w:themeColor="text1"/>
                <w:sz w:val="18"/>
                <w:szCs w:val="18"/>
              </w:rPr>
              <w:t>[42]</w:t>
            </w:r>
          </w:p>
        </w:tc>
        <w:tc>
          <w:tcPr>
            <w:tcW w:w="2211" w:type="dxa"/>
            <w:vAlign w:val="center"/>
          </w:tcPr>
          <w:p w14:paraId="2B41DDE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stakeholder perspectives on AI-enabled systems</w:t>
            </w:r>
          </w:p>
        </w:tc>
        <w:tc>
          <w:tcPr>
            <w:tcW w:w="1191" w:type="dxa"/>
            <w:vAlign w:val="center"/>
          </w:tcPr>
          <w:p w14:paraId="18EA5CF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Recruitment</w:t>
            </w:r>
          </w:p>
        </w:tc>
        <w:tc>
          <w:tcPr>
            <w:tcW w:w="1159" w:type="dxa"/>
            <w:vAlign w:val="center"/>
          </w:tcPr>
          <w:p w14:paraId="71FCD06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0AD428D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082F416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Recruiters and HR professionals, legal consultants, assessment software vendors</w:t>
            </w:r>
          </w:p>
        </w:tc>
        <w:tc>
          <w:tcPr>
            <w:tcW w:w="1574" w:type="dxa"/>
            <w:vAlign w:val="center"/>
          </w:tcPr>
          <w:p w14:paraId="17EC037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Recruiters</w:t>
            </w:r>
          </w:p>
        </w:tc>
        <w:tc>
          <w:tcPr>
            <w:tcW w:w="1569" w:type="dxa"/>
            <w:vAlign w:val="center"/>
          </w:tcPr>
          <w:p w14:paraId="544D2B1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Job applicants</w:t>
            </w:r>
          </w:p>
        </w:tc>
      </w:tr>
      <w:tr w:rsidR="00C771CC" w:rsidRPr="00A364C2" w14:paraId="4EB4C5EA" w14:textId="77777777" w:rsidTr="006B7AD6">
        <w:trPr>
          <w:jc w:val="center"/>
        </w:trPr>
        <w:tc>
          <w:tcPr>
            <w:tcW w:w="587" w:type="dxa"/>
            <w:vAlign w:val="center"/>
          </w:tcPr>
          <w:p w14:paraId="42BEF51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14</w:t>
            </w:r>
          </w:p>
        </w:tc>
        <w:tc>
          <w:tcPr>
            <w:tcW w:w="2678" w:type="dxa"/>
            <w:vAlign w:val="center"/>
          </w:tcPr>
          <w:p w14:paraId="32CE46A2"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FATE in AI: Towards Algorithmic Inclusivity and Accessibility </w:t>
            </w:r>
            <w:r>
              <w:rPr>
                <w:rFonts w:ascii="Times New Roman" w:hAnsi="Times New Roman" w:cs="Times New Roman"/>
                <w:noProof/>
                <w:color w:val="000000" w:themeColor="text1"/>
                <w:sz w:val="18"/>
                <w:szCs w:val="18"/>
              </w:rPr>
              <w:t>[51]</w:t>
            </w:r>
          </w:p>
        </w:tc>
        <w:tc>
          <w:tcPr>
            <w:tcW w:w="2211" w:type="dxa"/>
            <w:vAlign w:val="center"/>
          </w:tcPr>
          <w:p w14:paraId="2E787A5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5EF9112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Technology industry</w:t>
            </w:r>
          </w:p>
        </w:tc>
        <w:tc>
          <w:tcPr>
            <w:tcW w:w="1159" w:type="dxa"/>
            <w:vAlign w:val="center"/>
          </w:tcPr>
          <w:p w14:paraId="1413C09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159" w:type="dxa"/>
            <w:vAlign w:val="center"/>
          </w:tcPr>
          <w:p w14:paraId="54D015E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4DE52FD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Not stated</w:t>
            </w:r>
          </w:p>
        </w:tc>
        <w:tc>
          <w:tcPr>
            <w:tcW w:w="1574" w:type="dxa"/>
            <w:vAlign w:val="center"/>
          </w:tcPr>
          <w:p w14:paraId="6C68F45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Social media users*</w:t>
            </w:r>
          </w:p>
        </w:tc>
        <w:tc>
          <w:tcPr>
            <w:tcW w:w="1569" w:type="dxa"/>
            <w:vAlign w:val="center"/>
          </w:tcPr>
          <w:p w14:paraId="11719D8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Social media users</w:t>
            </w:r>
          </w:p>
        </w:tc>
      </w:tr>
      <w:tr w:rsidR="00C771CC" w:rsidRPr="00A364C2" w14:paraId="5F66283A" w14:textId="77777777" w:rsidTr="006B7AD6">
        <w:trPr>
          <w:jc w:val="center"/>
        </w:trPr>
        <w:tc>
          <w:tcPr>
            <w:tcW w:w="587" w:type="dxa"/>
            <w:vAlign w:val="center"/>
          </w:tcPr>
          <w:p w14:paraId="0819909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15</w:t>
            </w:r>
          </w:p>
        </w:tc>
        <w:tc>
          <w:tcPr>
            <w:tcW w:w="2678" w:type="dxa"/>
            <w:vAlign w:val="center"/>
          </w:tcPr>
          <w:p w14:paraId="57CD41AE"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Ground Truth or Dare: Factors Affecting the Creation Of Medical Datasets For Training AI </w:t>
            </w:r>
            <w:r>
              <w:rPr>
                <w:rFonts w:ascii="Times New Roman" w:hAnsi="Times New Roman" w:cs="Times New Roman"/>
                <w:noProof/>
                <w:color w:val="000000" w:themeColor="text1"/>
                <w:sz w:val="18"/>
                <w:szCs w:val="18"/>
              </w:rPr>
              <w:t>[38]</w:t>
            </w:r>
          </w:p>
        </w:tc>
        <w:tc>
          <w:tcPr>
            <w:tcW w:w="2211" w:type="dxa"/>
            <w:vAlign w:val="center"/>
          </w:tcPr>
          <w:p w14:paraId="785D92F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38DBF70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699FC32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310E3DD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0A67C51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Clinicians, ML engineers, computer scientists, data scientists, product owners, UX designers, software engineers, neurobiologists</w:t>
            </w:r>
          </w:p>
        </w:tc>
        <w:tc>
          <w:tcPr>
            <w:tcW w:w="1574" w:type="dxa"/>
            <w:vAlign w:val="center"/>
          </w:tcPr>
          <w:p w14:paraId="4A01B91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Clinicians</w:t>
            </w:r>
          </w:p>
        </w:tc>
        <w:tc>
          <w:tcPr>
            <w:tcW w:w="1569" w:type="dxa"/>
            <w:vAlign w:val="center"/>
          </w:tcPr>
          <w:p w14:paraId="3F273D4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757A1122" w14:textId="77777777" w:rsidTr="006B7AD6">
        <w:trPr>
          <w:jc w:val="center"/>
        </w:trPr>
        <w:tc>
          <w:tcPr>
            <w:tcW w:w="587" w:type="dxa"/>
            <w:vAlign w:val="center"/>
          </w:tcPr>
          <w:p w14:paraId="6D2220B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16</w:t>
            </w:r>
          </w:p>
        </w:tc>
        <w:tc>
          <w:tcPr>
            <w:tcW w:w="2678" w:type="dxa"/>
            <w:vAlign w:val="center"/>
          </w:tcPr>
          <w:p w14:paraId="514D2E85"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Human-Centered AI Design in Reality: A Study of Developer Companies’ Practices </w:t>
            </w:r>
            <w:r>
              <w:rPr>
                <w:rFonts w:ascii="Times New Roman" w:hAnsi="Times New Roman" w:cs="Times New Roman"/>
                <w:noProof/>
                <w:color w:val="000000" w:themeColor="text1"/>
                <w:sz w:val="18"/>
                <w:szCs w:val="18"/>
              </w:rPr>
              <w:t>[46]</w:t>
            </w:r>
          </w:p>
        </w:tc>
        <w:tc>
          <w:tcPr>
            <w:tcW w:w="2211" w:type="dxa"/>
            <w:vAlign w:val="center"/>
          </w:tcPr>
          <w:p w14:paraId="18FE86D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stakeholder perspectives on RAI practices</w:t>
            </w:r>
          </w:p>
        </w:tc>
        <w:tc>
          <w:tcPr>
            <w:tcW w:w="1191" w:type="dxa"/>
            <w:vAlign w:val="center"/>
          </w:tcPr>
          <w:p w14:paraId="7788073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Technology industry</w:t>
            </w:r>
          </w:p>
        </w:tc>
        <w:tc>
          <w:tcPr>
            <w:tcW w:w="1159" w:type="dxa"/>
            <w:vAlign w:val="center"/>
          </w:tcPr>
          <w:p w14:paraId="38891D9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7F4149F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632" w:type="dxa"/>
            <w:vAlign w:val="center"/>
          </w:tcPr>
          <w:p w14:paraId="06BFDC0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UX designers, developers</w:t>
            </w:r>
          </w:p>
        </w:tc>
        <w:tc>
          <w:tcPr>
            <w:tcW w:w="1574" w:type="dxa"/>
            <w:vAlign w:val="center"/>
          </w:tcPr>
          <w:p w14:paraId="0968DB1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AI users*</w:t>
            </w:r>
          </w:p>
        </w:tc>
        <w:tc>
          <w:tcPr>
            <w:tcW w:w="1569" w:type="dxa"/>
            <w:vAlign w:val="center"/>
          </w:tcPr>
          <w:p w14:paraId="16A93C4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AI users</w:t>
            </w:r>
          </w:p>
        </w:tc>
      </w:tr>
      <w:tr w:rsidR="00C771CC" w:rsidRPr="00A364C2" w14:paraId="30A41DA7" w14:textId="77777777" w:rsidTr="006B7AD6">
        <w:trPr>
          <w:jc w:val="center"/>
        </w:trPr>
        <w:tc>
          <w:tcPr>
            <w:tcW w:w="587" w:type="dxa"/>
            <w:vAlign w:val="center"/>
          </w:tcPr>
          <w:p w14:paraId="66F03F0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17</w:t>
            </w:r>
          </w:p>
        </w:tc>
        <w:tc>
          <w:tcPr>
            <w:tcW w:w="2678" w:type="dxa"/>
            <w:vAlign w:val="center"/>
          </w:tcPr>
          <w:p w14:paraId="29AF1583"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Improving the Accuracy and Transparency of Underwriting with Artificial Intelligence to </w:t>
            </w:r>
            <w:r w:rsidRPr="00A364C2">
              <w:rPr>
                <w:rFonts w:ascii="Times New Roman" w:hAnsi="Times New Roman" w:cs="Times New Roman"/>
                <w:color w:val="000000" w:themeColor="text1"/>
                <w:sz w:val="18"/>
                <w:szCs w:val="18"/>
              </w:rPr>
              <w:lastRenderedPageBreak/>
              <w:t xml:space="preserve">Transform the Life-Insurance Industry </w:t>
            </w:r>
            <w:r>
              <w:rPr>
                <w:rFonts w:ascii="Times New Roman" w:hAnsi="Times New Roman" w:cs="Times New Roman"/>
                <w:noProof/>
                <w:color w:val="000000" w:themeColor="text1"/>
                <w:sz w:val="18"/>
                <w:szCs w:val="18"/>
              </w:rPr>
              <w:t>[7]</w:t>
            </w:r>
          </w:p>
        </w:tc>
        <w:tc>
          <w:tcPr>
            <w:tcW w:w="2211" w:type="dxa"/>
            <w:vAlign w:val="center"/>
          </w:tcPr>
          <w:p w14:paraId="3CD902E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lastRenderedPageBreak/>
              <w:t xml:space="preserve">Analysis of AI-enabled systems </w:t>
            </w:r>
          </w:p>
        </w:tc>
        <w:tc>
          <w:tcPr>
            <w:tcW w:w="1191" w:type="dxa"/>
            <w:vAlign w:val="center"/>
          </w:tcPr>
          <w:p w14:paraId="6C5045B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Insurance industry</w:t>
            </w:r>
          </w:p>
        </w:tc>
        <w:tc>
          <w:tcPr>
            <w:tcW w:w="1159" w:type="dxa"/>
            <w:vAlign w:val="center"/>
          </w:tcPr>
          <w:p w14:paraId="5E90088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159" w:type="dxa"/>
            <w:vAlign w:val="center"/>
          </w:tcPr>
          <w:p w14:paraId="56A3E49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6885E5A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Not stated</w:t>
            </w:r>
          </w:p>
        </w:tc>
        <w:tc>
          <w:tcPr>
            <w:tcW w:w="1574" w:type="dxa"/>
            <w:vAlign w:val="center"/>
          </w:tcPr>
          <w:p w14:paraId="73C8EFB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Insurance providers*</w:t>
            </w:r>
          </w:p>
        </w:tc>
        <w:tc>
          <w:tcPr>
            <w:tcW w:w="1569" w:type="dxa"/>
            <w:vAlign w:val="center"/>
          </w:tcPr>
          <w:p w14:paraId="7EA23A5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 xml:space="preserve">Insurance applicant relatives (receivers of the </w:t>
            </w:r>
            <w:r w:rsidRPr="00A364C2">
              <w:rPr>
                <w:rFonts w:ascii="Times New Roman" w:hAnsi="Times New Roman" w:cs="Times New Roman"/>
                <w:color w:val="000000"/>
                <w:sz w:val="18"/>
                <w:szCs w:val="18"/>
              </w:rPr>
              <w:lastRenderedPageBreak/>
              <w:t>life insurance), insurance providers</w:t>
            </w:r>
          </w:p>
        </w:tc>
      </w:tr>
      <w:tr w:rsidR="00C771CC" w:rsidRPr="00A364C2" w14:paraId="2F701146" w14:textId="77777777" w:rsidTr="006B7AD6">
        <w:trPr>
          <w:jc w:val="center"/>
        </w:trPr>
        <w:tc>
          <w:tcPr>
            <w:tcW w:w="587" w:type="dxa"/>
            <w:vAlign w:val="center"/>
          </w:tcPr>
          <w:p w14:paraId="23125C9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lastRenderedPageBreak/>
              <w:t>18</w:t>
            </w:r>
          </w:p>
        </w:tc>
        <w:tc>
          <w:tcPr>
            <w:tcW w:w="2678" w:type="dxa"/>
            <w:vAlign w:val="center"/>
          </w:tcPr>
          <w:p w14:paraId="12780825"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Integration of the Vision of People with Diabetes into the Development Process to Improve Self-management via Diabetes Apps: Qualitative Interview Study </w:t>
            </w:r>
            <w:r>
              <w:rPr>
                <w:rFonts w:ascii="Times New Roman" w:hAnsi="Times New Roman" w:cs="Times New Roman"/>
                <w:noProof/>
                <w:color w:val="000000" w:themeColor="text1"/>
                <w:sz w:val="18"/>
                <w:szCs w:val="18"/>
              </w:rPr>
              <w:t>[62]</w:t>
            </w:r>
          </w:p>
        </w:tc>
        <w:tc>
          <w:tcPr>
            <w:tcW w:w="2211" w:type="dxa"/>
            <w:vAlign w:val="center"/>
          </w:tcPr>
          <w:p w14:paraId="21DD38C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stakeholder perspectives on AI-enabled systems</w:t>
            </w:r>
          </w:p>
        </w:tc>
        <w:tc>
          <w:tcPr>
            <w:tcW w:w="1191" w:type="dxa"/>
            <w:vAlign w:val="center"/>
          </w:tcPr>
          <w:p w14:paraId="3ED6F84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57FF0C5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6E8A267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44F1DB6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Clinicians</w:t>
            </w:r>
          </w:p>
        </w:tc>
        <w:tc>
          <w:tcPr>
            <w:tcW w:w="1574" w:type="dxa"/>
            <w:vAlign w:val="center"/>
          </w:tcPr>
          <w:p w14:paraId="0D79C46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c>
          <w:tcPr>
            <w:tcW w:w="1569" w:type="dxa"/>
            <w:vAlign w:val="center"/>
          </w:tcPr>
          <w:p w14:paraId="136F49D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72A52B6D" w14:textId="77777777" w:rsidTr="006B7AD6">
        <w:trPr>
          <w:jc w:val="center"/>
        </w:trPr>
        <w:tc>
          <w:tcPr>
            <w:tcW w:w="587" w:type="dxa"/>
            <w:vAlign w:val="center"/>
          </w:tcPr>
          <w:p w14:paraId="79537A4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19</w:t>
            </w:r>
          </w:p>
        </w:tc>
        <w:tc>
          <w:tcPr>
            <w:tcW w:w="2678" w:type="dxa"/>
            <w:vAlign w:val="center"/>
          </w:tcPr>
          <w:p w14:paraId="1287CDF1"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Investigating How Practitioners Use Human-AI Guidelines: A Case Study on the People + AI Guidebook </w:t>
            </w:r>
            <w:r>
              <w:rPr>
                <w:rFonts w:ascii="Times New Roman" w:hAnsi="Times New Roman" w:cs="Times New Roman"/>
                <w:noProof/>
                <w:color w:val="000000" w:themeColor="text1"/>
                <w:sz w:val="18"/>
                <w:szCs w:val="18"/>
              </w:rPr>
              <w:t>[59]</w:t>
            </w:r>
          </w:p>
        </w:tc>
        <w:tc>
          <w:tcPr>
            <w:tcW w:w="2211" w:type="dxa"/>
            <w:vAlign w:val="center"/>
          </w:tcPr>
          <w:p w14:paraId="7EF454A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stakeholder perspectives on RAI practices</w:t>
            </w:r>
          </w:p>
        </w:tc>
        <w:tc>
          <w:tcPr>
            <w:tcW w:w="1191" w:type="dxa"/>
            <w:vAlign w:val="center"/>
          </w:tcPr>
          <w:p w14:paraId="7E60EDD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Mix of industries</w:t>
            </w:r>
          </w:p>
        </w:tc>
        <w:tc>
          <w:tcPr>
            <w:tcW w:w="1159" w:type="dxa"/>
            <w:vAlign w:val="center"/>
          </w:tcPr>
          <w:p w14:paraId="679193D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56E1A29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632" w:type="dxa"/>
            <w:vAlign w:val="center"/>
          </w:tcPr>
          <w:p w14:paraId="2927E5A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Researchers, UX designers, managers, developers</w:t>
            </w:r>
          </w:p>
        </w:tc>
        <w:tc>
          <w:tcPr>
            <w:tcW w:w="1574" w:type="dxa"/>
            <w:vAlign w:val="center"/>
          </w:tcPr>
          <w:p w14:paraId="7AA3281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Customers of the non-user stakeholders (e.g., AI vendors)</w:t>
            </w:r>
          </w:p>
        </w:tc>
        <w:tc>
          <w:tcPr>
            <w:tcW w:w="1569" w:type="dxa"/>
            <w:vAlign w:val="center"/>
          </w:tcPr>
          <w:p w14:paraId="6045D91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AI users (customers of the user customers)</w:t>
            </w:r>
          </w:p>
        </w:tc>
      </w:tr>
      <w:tr w:rsidR="00C771CC" w:rsidRPr="00A364C2" w14:paraId="76D1A5AA" w14:textId="77777777" w:rsidTr="006B7AD6">
        <w:trPr>
          <w:jc w:val="center"/>
        </w:trPr>
        <w:tc>
          <w:tcPr>
            <w:tcW w:w="587" w:type="dxa"/>
            <w:vAlign w:val="center"/>
          </w:tcPr>
          <w:p w14:paraId="457FF50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20</w:t>
            </w:r>
          </w:p>
        </w:tc>
        <w:tc>
          <w:tcPr>
            <w:tcW w:w="2678" w:type="dxa"/>
            <w:vAlign w:val="center"/>
          </w:tcPr>
          <w:p w14:paraId="58E7CDE8"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Large Language Models for Therapy Recommendations Across 3 Clinical Specialties: Comparative Study </w:t>
            </w:r>
            <w:r>
              <w:rPr>
                <w:rFonts w:ascii="Times New Roman" w:hAnsi="Times New Roman" w:cs="Times New Roman"/>
                <w:noProof/>
                <w:color w:val="000000" w:themeColor="text1"/>
                <w:sz w:val="18"/>
                <w:szCs w:val="18"/>
              </w:rPr>
              <w:t>[34]</w:t>
            </w:r>
          </w:p>
        </w:tc>
        <w:tc>
          <w:tcPr>
            <w:tcW w:w="2211" w:type="dxa"/>
            <w:vAlign w:val="center"/>
          </w:tcPr>
          <w:p w14:paraId="4FD3183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7055EFF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2BE4CB9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03629A4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632" w:type="dxa"/>
            <w:vAlign w:val="center"/>
          </w:tcPr>
          <w:p w14:paraId="78C4468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Clinicians</w:t>
            </w:r>
          </w:p>
        </w:tc>
        <w:tc>
          <w:tcPr>
            <w:tcW w:w="1574" w:type="dxa"/>
            <w:vAlign w:val="center"/>
          </w:tcPr>
          <w:p w14:paraId="1CD30C4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c>
          <w:tcPr>
            <w:tcW w:w="1569" w:type="dxa"/>
            <w:vAlign w:val="center"/>
          </w:tcPr>
          <w:p w14:paraId="678BBCA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34900AE3" w14:textId="77777777" w:rsidTr="006B7AD6">
        <w:trPr>
          <w:jc w:val="center"/>
        </w:trPr>
        <w:tc>
          <w:tcPr>
            <w:tcW w:w="587" w:type="dxa"/>
            <w:vAlign w:val="center"/>
          </w:tcPr>
          <w:p w14:paraId="63CD57C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21</w:t>
            </w:r>
          </w:p>
        </w:tc>
        <w:tc>
          <w:tcPr>
            <w:tcW w:w="2678" w:type="dxa"/>
            <w:vAlign w:val="center"/>
          </w:tcPr>
          <w:p w14:paraId="57AD5238"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Lessons Learned from Problem Gambling Classification: Indirect Discrimination and Algorithmic Fairness </w:t>
            </w:r>
            <w:r>
              <w:rPr>
                <w:rFonts w:ascii="Times New Roman" w:hAnsi="Times New Roman" w:cs="Times New Roman"/>
                <w:noProof/>
                <w:color w:val="000000" w:themeColor="text1"/>
                <w:sz w:val="18"/>
                <w:szCs w:val="18"/>
              </w:rPr>
              <w:t>[44]</w:t>
            </w:r>
          </w:p>
        </w:tc>
        <w:tc>
          <w:tcPr>
            <w:tcW w:w="2211" w:type="dxa"/>
            <w:vAlign w:val="center"/>
          </w:tcPr>
          <w:p w14:paraId="2F3821E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AI-enabled systems</w:t>
            </w:r>
          </w:p>
        </w:tc>
        <w:tc>
          <w:tcPr>
            <w:tcW w:w="1191" w:type="dxa"/>
            <w:vAlign w:val="center"/>
          </w:tcPr>
          <w:p w14:paraId="1778B86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Gambling</w:t>
            </w:r>
          </w:p>
        </w:tc>
        <w:tc>
          <w:tcPr>
            <w:tcW w:w="1159" w:type="dxa"/>
            <w:vAlign w:val="center"/>
          </w:tcPr>
          <w:p w14:paraId="0D468D4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No</w:t>
            </w:r>
          </w:p>
        </w:tc>
        <w:tc>
          <w:tcPr>
            <w:tcW w:w="1159" w:type="dxa"/>
            <w:vAlign w:val="center"/>
          </w:tcPr>
          <w:p w14:paraId="66A6921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1F3E75A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Public health institutions**</w:t>
            </w:r>
          </w:p>
        </w:tc>
        <w:tc>
          <w:tcPr>
            <w:tcW w:w="1574" w:type="dxa"/>
            <w:vAlign w:val="center"/>
          </w:tcPr>
          <w:p w14:paraId="3A33B16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Gamblers*</w:t>
            </w:r>
          </w:p>
        </w:tc>
        <w:tc>
          <w:tcPr>
            <w:tcW w:w="1569" w:type="dxa"/>
            <w:vAlign w:val="center"/>
          </w:tcPr>
          <w:p w14:paraId="6C2A79D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Gamblers, public health institutions</w:t>
            </w:r>
          </w:p>
        </w:tc>
      </w:tr>
      <w:tr w:rsidR="00C771CC" w:rsidRPr="00A364C2" w14:paraId="7DA30A97" w14:textId="77777777" w:rsidTr="006B7AD6">
        <w:trPr>
          <w:jc w:val="center"/>
        </w:trPr>
        <w:tc>
          <w:tcPr>
            <w:tcW w:w="587" w:type="dxa"/>
            <w:vAlign w:val="center"/>
          </w:tcPr>
          <w:p w14:paraId="14FE76B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22</w:t>
            </w:r>
          </w:p>
        </w:tc>
        <w:tc>
          <w:tcPr>
            <w:tcW w:w="2678" w:type="dxa"/>
            <w:vAlign w:val="center"/>
          </w:tcPr>
          <w:p w14:paraId="011D1291"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One Size Does Not Fit All: Participants' Experiences of the SelfBACK App to Support Self-Management of Low Back Pain-A Qualitative Interview Study </w:t>
            </w:r>
            <w:r>
              <w:rPr>
                <w:rFonts w:ascii="Times New Roman" w:hAnsi="Times New Roman" w:cs="Times New Roman"/>
                <w:noProof/>
                <w:color w:val="000000" w:themeColor="text1"/>
                <w:sz w:val="18"/>
                <w:szCs w:val="18"/>
              </w:rPr>
              <w:t>[60]</w:t>
            </w:r>
          </w:p>
        </w:tc>
        <w:tc>
          <w:tcPr>
            <w:tcW w:w="2211" w:type="dxa"/>
            <w:vAlign w:val="center"/>
          </w:tcPr>
          <w:p w14:paraId="535DEE1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5584932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5A0ECC9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159" w:type="dxa"/>
            <w:vAlign w:val="center"/>
          </w:tcPr>
          <w:p w14:paraId="04CC5D6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2F28255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Clinicians and healthcare professionals</w:t>
            </w:r>
          </w:p>
        </w:tc>
        <w:tc>
          <w:tcPr>
            <w:tcW w:w="1574" w:type="dxa"/>
            <w:vAlign w:val="center"/>
          </w:tcPr>
          <w:p w14:paraId="322E3EA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c>
          <w:tcPr>
            <w:tcW w:w="1569" w:type="dxa"/>
            <w:vAlign w:val="center"/>
          </w:tcPr>
          <w:p w14:paraId="332716D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6433B814" w14:textId="77777777" w:rsidTr="006B7AD6">
        <w:trPr>
          <w:jc w:val="center"/>
        </w:trPr>
        <w:tc>
          <w:tcPr>
            <w:tcW w:w="587" w:type="dxa"/>
            <w:vAlign w:val="center"/>
          </w:tcPr>
          <w:p w14:paraId="72DA4BA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23</w:t>
            </w:r>
          </w:p>
        </w:tc>
        <w:tc>
          <w:tcPr>
            <w:tcW w:w="2678" w:type="dxa"/>
            <w:vAlign w:val="center"/>
          </w:tcPr>
          <w:p w14:paraId="3B95F966"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Open Video Data Sharing in Developmental Science and Clinical Practice </w:t>
            </w:r>
            <w:r>
              <w:rPr>
                <w:rFonts w:ascii="Times New Roman" w:hAnsi="Times New Roman" w:cs="Times New Roman"/>
                <w:noProof/>
                <w:color w:val="000000" w:themeColor="text1"/>
                <w:sz w:val="18"/>
                <w:szCs w:val="18"/>
              </w:rPr>
              <w:t>[56]</w:t>
            </w:r>
          </w:p>
        </w:tc>
        <w:tc>
          <w:tcPr>
            <w:tcW w:w="2211" w:type="dxa"/>
            <w:vAlign w:val="center"/>
          </w:tcPr>
          <w:p w14:paraId="038D97E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AI-enabled systems</w:t>
            </w:r>
          </w:p>
        </w:tc>
        <w:tc>
          <w:tcPr>
            <w:tcW w:w="1191" w:type="dxa"/>
            <w:vAlign w:val="center"/>
          </w:tcPr>
          <w:p w14:paraId="6A08FDD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75FFE0A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745B1B1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662A73A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Infant patients**, caregivers and parents of the infants</w:t>
            </w:r>
          </w:p>
        </w:tc>
        <w:tc>
          <w:tcPr>
            <w:tcW w:w="1574" w:type="dxa"/>
            <w:vAlign w:val="center"/>
          </w:tcPr>
          <w:p w14:paraId="05A3C01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Clinicians</w:t>
            </w:r>
          </w:p>
        </w:tc>
        <w:tc>
          <w:tcPr>
            <w:tcW w:w="1569" w:type="dxa"/>
            <w:vAlign w:val="center"/>
          </w:tcPr>
          <w:p w14:paraId="760CCD7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Infant patients</w:t>
            </w:r>
          </w:p>
        </w:tc>
      </w:tr>
      <w:tr w:rsidR="00C771CC" w:rsidRPr="00A364C2" w14:paraId="1BCA9ACE" w14:textId="77777777" w:rsidTr="006B7AD6">
        <w:trPr>
          <w:jc w:val="center"/>
        </w:trPr>
        <w:tc>
          <w:tcPr>
            <w:tcW w:w="587" w:type="dxa"/>
            <w:vAlign w:val="center"/>
          </w:tcPr>
          <w:p w14:paraId="2F29D3B9" w14:textId="77777777" w:rsidR="00C771CC" w:rsidRPr="00A364C2" w:rsidRDefault="00C771CC" w:rsidP="006B7AD6">
            <w:pPr>
              <w:jc w:val="center"/>
              <w:rPr>
                <w:rFonts w:ascii="Times New Roman" w:hAnsi="Times New Roman" w:cs="Times New Roman"/>
                <w:color w:val="000000"/>
                <w:sz w:val="18"/>
                <w:szCs w:val="18"/>
              </w:rPr>
            </w:pPr>
            <w:r w:rsidRPr="00A364C2">
              <w:rPr>
                <w:rFonts w:ascii="Times New Roman" w:hAnsi="Times New Roman" w:cs="Times New Roman"/>
                <w:color w:val="000000"/>
                <w:sz w:val="18"/>
                <w:szCs w:val="18"/>
              </w:rPr>
              <w:t>24</w:t>
            </w:r>
          </w:p>
        </w:tc>
        <w:tc>
          <w:tcPr>
            <w:tcW w:w="2678" w:type="dxa"/>
            <w:vAlign w:val="center"/>
          </w:tcPr>
          <w:p w14:paraId="72AC2EBB" w14:textId="77777777" w:rsidR="00C771CC" w:rsidRPr="00A364C2" w:rsidRDefault="00C771CC" w:rsidP="006B7AD6">
            <w:pPr>
              <w:rPr>
                <w:rFonts w:ascii="Times New Roman" w:hAnsi="Times New Roman" w:cs="Times New Roman"/>
                <w:color w:val="000000"/>
                <w:sz w:val="18"/>
                <w:szCs w:val="18"/>
              </w:rPr>
            </w:pPr>
            <w:r w:rsidRPr="00A364C2">
              <w:rPr>
                <w:rFonts w:ascii="Times New Roman" w:hAnsi="Times New Roman" w:cs="Times New Roman"/>
                <w:color w:val="000000" w:themeColor="text1"/>
                <w:sz w:val="18"/>
                <w:szCs w:val="18"/>
              </w:rPr>
              <w:t xml:space="preserve">Participatory Algorithmic Management: Elicitation Methods for Worker Well-Being Models </w:t>
            </w:r>
            <w:r>
              <w:rPr>
                <w:rFonts w:ascii="Times New Roman" w:hAnsi="Times New Roman" w:cs="Times New Roman"/>
                <w:noProof/>
                <w:color w:val="000000" w:themeColor="text1"/>
                <w:sz w:val="18"/>
                <w:szCs w:val="18"/>
              </w:rPr>
              <w:t>[57]</w:t>
            </w:r>
          </w:p>
        </w:tc>
        <w:tc>
          <w:tcPr>
            <w:tcW w:w="2211" w:type="dxa"/>
            <w:vAlign w:val="center"/>
          </w:tcPr>
          <w:p w14:paraId="5289A38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055486E2" w14:textId="77777777" w:rsidR="00C771CC" w:rsidRPr="00A364C2" w:rsidRDefault="00C771CC" w:rsidP="006B7AD6">
            <w:pPr>
              <w:jc w:val="center"/>
              <w:rPr>
                <w:rFonts w:ascii="Times New Roman" w:hAnsi="Times New Roman" w:cs="Times New Roman"/>
                <w:color w:val="000000"/>
                <w:sz w:val="18"/>
                <w:szCs w:val="18"/>
              </w:rPr>
            </w:pPr>
            <w:r w:rsidRPr="00A364C2">
              <w:rPr>
                <w:rFonts w:ascii="Times New Roman" w:hAnsi="Times New Roman" w:cs="Times New Roman"/>
                <w:color w:val="000000"/>
                <w:sz w:val="18"/>
                <w:szCs w:val="18"/>
              </w:rPr>
              <w:t>Mix of industries</w:t>
            </w:r>
          </w:p>
        </w:tc>
        <w:tc>
          <w:tcPr>
            <w:tcW w:w="1159" w:type="dxa"/>
            <w:vAlign w:val="center"/>
          </w:tcPr>
          <w:p w14:paraId="16C74F17" w14:textId="77777777" w:rsidR="00C771CC" w:rsidRPr="00A364C2" w:rsidRDefault="00C771CC" w:rsidP="006B7AD6">
            <w:pPr>
              <w:jc w:val="center"/>
              <w:rPr>
                <w:rFonts w:ascii="Times New Roman" w:hAnsi="Times New Roman" w:cs="Times New Roman"/>
                <w:color w:val="000000"/>
                <w:sz w:val="18"/>
                <w:szCs w:val="18"/>
              </w:rPr>
            </w:pPr>
            <w:r w:rsidRPr="00A364C2">
              <w:rPr>
                <w:rFonts w:ascii="Times New Roman" w:hAnsi="Times New Roman" w:cs="Times New Roman"/>
                <w:color w:val="000000"/>
                <w:sz w:val="18"/>
                <w:szCs w:val="18"/>
              </w:rPr>
              <w:t>No</w:t>
            </w:r>
          </w:p>
        </w:tc>
        <w:tc>
          <w:tcPr>
            <w:tcW w:w="1159" w:type="dxa"/>
            <w:vAlign w:val="center"/>
          </w:tcPr>
          <w:p w14:paraId="7731E7AA" w14:textId="77777777" w:rsidR="00C771CC" w:rsidRPr="00A364C2" w:rsidRDefault="00C771CC" w:rsidP="006B7AD6">
            <w:pPr>
              <w:jc w:val="center"/>
              <w:rPr>
                <w:rFonts w:ascii="Times New Roman" w:hAnsi="Times New Roman" w:cs="Times New Roman"/>
                <w:color w:val="000000"/>
                <w:sz w:val="18"/>
                <w:szCs w:val="18"/>
              </w:rPr>
            </w:pPr>
            <w:r w:rsidRPr="00A364C2">
              <w:rPr>
                <w:rFonts w:ascii="Times New Roman" w:hAnsi="Times New Roman" w:cs="Times New Roman"/>
                <w:color w:val="000000"/>
                <w:sz w:val="18"/>
                <w:szCs w:val="18"/>
              </w:rPr>
              <w:t>Yes</w:t>
            </w:r>
          </w:p>
        </w:tc>
        <w:tc>
          <w:tcPr>
            <w:tcW w:w="1632" w:type="dxa"/>
            <w:vAlign w:val="center"/>
          </w:tcPr>
          <w:p w14:paraId="50915B7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Not stated</w:t>
            </w:r>
          </w:p>
        </w:tc>
        <w:tc>
          <w:tcPr>
            <w:tcW w:w="1574" w:type="dxa"/>
            <w:vAlign w:val="center"/>
          </w:tcPr>
          <w:p w14:paraId="736DF376" w14:textId="77777777" w:rsidR="00C771CC" w:rsidRPr="00A364C2" w:rsidRDefault="00C771CC" w:rsidP="006B7AD6">
            <w:pPr>
              <w:jc w:val="center"/>
              <w:rPr>
                <w:rFonts w:ascii="Times New Roman" w:hAnsi="Times New Roman" w:cs="Times New Roman"/>
                <w:color w:val="000000"/>
                <w:sz w:val="18"/>
                <w:szCs w:val="18"/>
              </w:rPr>
            </w:pPr>
            <w:r w:rsidRPr="00A364C2">
              <w:rPr>
                <w:rFonts w:ascii="Times New Roman" w:hAnsi="Times New Roman" w:cs="Times New Roman"/>
                <w:color w:val="000000"/>
                <w:sz w:val="18"/>
                <w:szCs w:val="18"/>
              </w:rPr>
              <w:t xml:space="preserve">Shift workers* and managers </w:t>
            </w:r>
          </w:p>
        </w:tc>
        <w:tc>
          <w:tcPr>
            <w:tcW w:w="1569" w:type="dxa"/>
            <w:vAlign w:val="center"/>
          </w:tcPr>
          <w:p w14:paraId="5C21E7E8" w14:textId="77777777" w:rsidR="00C771CC" w:rsidRPr="00A364C2" w:rsidRDefault="00C771CC" w:rsidP="006B7AD6">
            <w:pPr>
              <w:jc w:val="center"/>
              <w:rPr>
                <w:rFonts w:ascii="Times New Roman" w:hAnsi="Times New Roman" w:cs="Times New Roman"/>
                <w:color w:val="000000"/>
                <w:sz w:val="18"/>
                <w:szCs w:val="18"/>
              </w:rPr>
            </w:pPr>
            <w:r w:rsidRPr="00A364C2">
              <w:rPr>
                <w:rFonts w:ascii="Times New Roman" w:hAnsi="Times New Roman" w:cs="Times New Roman"/>
                <w:color w:val="000000"/>
                <w:sz w:val="18"/>
                <w:szCs w:val="18"/>
              </w:rPr>
              <w:t>Shift workers</w:t>
            </w:r>
          </w:p>
        </w:tc>
      </w:tr>
      <w:tr w:rsidR="00C771CC" w:rsidRPr="00A364C2" w14:paraId="399C0300" w14:textId="77777777" w:rsidTr="006B7AD6">
        <w:trPr>
          <w:jc w:val="center"/>
        </w:trPr>
        <w:tc>
          <w:tcPr>
            <w:tcW w:w="587" w:type="dxa"/>
            <w:vAlign w:val="center"/>
          </w:tcPr>
          <w:p w14:paraId="46A19D6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25</w:t>
            </w:r>
          </w:p>
        </w:tc>
        <w:tc>
          <w:tcPr>
            <w:tcW w:w="2678" w:type="dxa"/>
            <w:vAlign w:val="center"/>
          </w:tcPr>
          <w:p w14:paraId="4120B769"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Patchwork: The Hidden, Human Labor of AI Integration within Essential Work </w:t>
            </w:r>
            <w:r>
              <w:rPr>
                <w:rFonts w:ascii="Times New Roman" w:hAnsi="Times New Roman" w:cs="Times New Roman"/>
                <w:noProof/>
                <w:color w:val="000000" w:themeColor="text1"/>
                <w:sz w:val="18"/>
                <w:szCs w:val="18"/>
              </w:rPr>
              <w:t>[13]</w:t>
            </w:r>
          </w:p>
        </w:tc>
        <w:tc>
          <w:tcPr>
            <w:tcW w:w="2211" w:type="dxa"/>
            <w:vAlign w:val="center"/>
          </w:tcPr>
          <w:p w14:paraId="1F29111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0580451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Waste management</w:t>
            </w:r>
          </w:p>
        </w:tc>
        <w:tc>
          <w:tcPr>
            <w:tcW w:w="1159" w:type="dxa"/>
            <w:vAlign w:val="center"/>
          </w:tcPr>
          <w:p w14:paraId="24E758A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5A3FC0B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5AD167C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Managers </w:t>
            </w:r>
          </w:p>
        </w:tc>
        <w:tc>
          <w:tcPr>
            <w:tcW w:w="1574" w:type="dxa"/>
            <w:vAlign w:val="center"/>
          </w:tcPr>
          <w:p w14:paraId="2E88013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Frontline essential workers*</w:t>
            </w:r>
          </w:p>
        </w:tc>
        <w:tc>
          <w:tcPr>
            <w:tcW w:w="1569" w:type="dxa"/>
            <w:vAlign w:val="center"/>
          </w:tcPr>
          <w:p w14:paraId="32A3310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Janitorial staff at airport, waste management staff</w:t>
            </w:r>
          </w:p>
        </w:tc>
      </w:tr>
      <w:tr w:rsidR="00C771CC" w:rsidRPr="00A364C2" w14:paraId="07773F21" w14:textId="77777777" w:rsidTr="006B7AD6">
        <w:trPr>
          <w:jc w:val="center"/>
        </w:trPr>
        <w:tc>
          <w:tcPr>
            <w:tcW w:w="587" w:type="dxa"/>
            <w:vAlign w:val="center"/>
          </w:tcPr>
          <w:p w14:paraId="312BF8B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26</w:t>
            </w:r>
          </w:p>
        </w:tc>
        <w:tc>
          <w:tcPr>
            <w:tcW w:w="2678" w:type="dxa"/>
            <w:vAlign w:val="center"/>
          </w:tcPr>
          <w:p w14:paraId="7EF10C32"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Public Health Calls for/with AI: An Ethnographic Perspective </w:t>
            </w:r>
            <w:r>
              <w:rPr>
                <w:rFonts w:ascii="Times New Roman" w:hAnsi="Times New Roman" w:cs="Times New Roman"/>
                <w:noProof/>
                <w:color w:val="000000" w:themeColor="text1"/>
                <w:sz w:val="18"/>
                <w:szCs w:val="18"/>
              </w:rPr>
              <w:t>[45]</w:t>
            </w:r>
          </w:p>
        </w:tc>
        <w:tc>
          <w:tcPr>
            <w:tcW w:w="2211" w:type="dxa"/>
            <w:vAlign w:val="center"/>
          </w:tcPr>
          <w:p w14:paraId="006DCF3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0FB2CD3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597884B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7F88208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2453EA0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Software developers</w:t>
            </w:r>
          </w:p>
        </w:tc>
        <w:tc>
          <w:tcPr>
            <w:tcW w:w="1574" w:type="dxa"/>
            <w:vAlign w:val="center"/>
          </w:tcPr>
          <w:p w14:paraId="4246D1D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 professionals</w:t>
            </w:r>
          </w:p>
        </w:tc>
        <w:tc>
          <w:tcPr>
            <w:tcW w:w="1569" w:type="dxa"/>
            <w:vAlign w:val="center"/>
          </w:tcPr>
          <w:p w14:paraId="31EDB64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4E0609FE" w14:textId="77777777" w:rsidTr="006B7AD6">
        <w:trPr>
          <w:jc w:val="center"/>
        </w:trPr>
        <w:tc>
          <w:tcPr>
            <w:tcW w:w="587" w:type="dxa"/>
            <w:vAlign w:val="center"/>
          </w:tcPr>
          <w:p w14:paraId="04BD8D5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27</w:t>
            </w:r>
          </w:p>
        </w:tc>
        <w:tc>
          <w:tcPr>
            <w:tcW w:w="2678" w:type="dxa"/>
            <w:vAlign w:val="center"/>
          </w:tcPr>
          <w:p w14:paraId="76E3E67E"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Questioning the AI: Informing Design Practices for Explainable AI User Experiences </w:t>
            </w:r>
            <w:r>
              <w:rPr>
                <w:rFonts w:ascii="Times New Roman" w:hAnsi="Times New Roman" w:cs="Times New Roman"/>
                <w:noProof/>
                <w:color w:val="000000" w:themeColor="text1"/>
                <w:sz w:val="18"/>
                <w:szCs w:val="18"/>
              </w:rPr>
              <w:t>[52]</w:t>
            </w:r>
          </w:p>
        </w:tc>
        <w:tc>
          <w:tcPr>
            <w:tcW w:w="2211" w:type="dxa"/>
            <w:vAlign w:val="center"/>
          </w:tcPr>
          <w:p w14:paraId="200E703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64F33B4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Technology industry</w:t>
            </w:r>
          </w:p>
        </w:tc>
        <w:tc>
          <w:tcPr>
            <w:tcW w:w="1159" w:type="dxa"/>
            <w:vAlign w:val="center"/>
          </w:tcPr>
          <w:p w14:paraId="6235079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27707FE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No</w:t>
            </w:r>
          </w:p>
        </w:tc>
        <w:tc>
          <w:tcPr>
            <w:tcW w:w="1632" w:type="dxa"/>
            <w:vAlign w:val="center"/>
          </w:tcPr>
          <w:p w14:paraId="21E6765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UX and design practitioners</w:t>
            </w:r>
          </w:p>
        </w:tc>
        <w:tc>
          <w:tcPr>
            <w:tcW w:w="1574" w:type="dxa"/>
            <w:vAlign w:val="center"/>
          </w:tcPr>
          <w:p w14:paraId="2155AEE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AI users*</w:t>
            </w:r>
          </w:p>
        </w:tc>
        <w:tc>
          <w:tcPr>
            <w:tcW w:w="1569" w:type="dxa"/>
            <w:vAlign w:val="center"/>
          </w:tcPr>
          <w:p w14:paraId="6F23DDE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AI users</w:t>
            </w:r>
          </w:p>
        </w:tc>
      </w:tr>
      <w:tr w:rsidR="00C771CC" w:rsidRPr="00A364C2" w14:paraId="7704C22C" w14:textId="77777777" w:rsidTr="006B7AD6">
        <w:trPr>
          <w:jc w:val="center"/>
        </w:trPr>
        <w:tc>
          <w:tcPr>
            <w:tcW w:w="587" w:type="dxa"/>
            <w:vAlign w:val="center"/>
          </w:tcPr>
          <w:p w14:paraId="58BA2BF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lastRenderedPageBreak/>
              <w:t>28</w:t>
            </w:r>
          </w:p>
        </w:tc>
        <w:tc>
          <w:tcPr>
            <w:tcW w:w="2678" w:type="dxa"/>
            <w:vAlign w:val="center"/>
          </w:tcPr>
          <w:p w14:paraId="793582A3"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Rethinking the Role of AI with Physicians in Oncology: Revealing Perspectives from Clinical and Research Workflows </w:t>
            </w:r>
            <w:r>
              <w:rPr>
                <w:rFonts w:ascii="Times New Roman" w:hAnsi="Times New Roman" w:cs="Times New Roman"/>
                <w:noProof/>
                <w:color w:val="000000" w:themeColor="text1"/>
                <w:sz w:val="18"/>
                <w:szCs w:val="18"/>
              </w:rPr>
              <w:t>[35]</w:t>
            </w:r>
          </w:p>
        </w:tc>
        <w:tc>
          <w:tcPr>
            <w:tcW w:w="2211" w:type="dxa"/>
            <w:vAlign w:val="center"/>
          </w:tcPr>
          <w:p w14:paraId="14E1943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2D00A6B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0D08FAC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159" w:type="dxa"/>
            <w:vAlign w:val="center"/>
          </w:tcPr>
          <w:p w14:paraId="2C884EA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043EFBC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Not stated</w:t>
            </w:r>
          </w:p>
        </w:tc>
        <w:tc>
          <w:tcPr>
            <w:tcW w:w="1574" w:type="dxa"/>
            <w:vAlign w:val="center"/>
          </w:tcPr>
          <w:p w14:paraId="7F4E766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Clinicians</w:t>
            </w:r>
          </w:p>
        </w:tc>
        <w:tc>
          <w:tcPr>
            <w:tcW w:w="1569" w:type="dxa"/>
            <w:vAlign w:val="center"/>
          </w:tcPr>
          <w:p w14:paraId="00206D1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6954FA94" w14:textId="77777777" w:rsidTr="006B7AD6">
        <w:trPr>
          <w:jc w:val="center"/>
        </w:trPr>
        <w:tc>
          <w:tcPr>
            <w:tcW w:w="587" w:type="dxa"/>
            <w:vAlign w:val="center"/>
          </w:tcPr>
          <w:p w14:paraId="0C99F72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29</w:t>
            </w:r>
          </w:p>
        </w:tc>
        <w:tc>
          <w:tcPr>
            <w:tcW w:w="2678" w:type="dxa"/>
            <w:vAlign w:val="center"/>
          </w:tcPr>
          <w:p w14:paraId="09AAEA30"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Risk Assessment and Classification of Medical Device Software for the Internet of Medical Things: Challenges Arising from Connected, Intelligent Medical Devices </w:t>
            </w:r>
            <w:r>
              <w:rPr>
                <w:rFonts w:ascii="Times New Roman" w:hAnsi="Times New Roman" w:cs="Times New Roman"/>
                <w:noProof/>
                <w:color w:val="000000" w:themeColor="text1"/>
                <w:sz w:val="18"/>
                <w:szCs w:val="18"/>
              </w:rPr>
              <w:t>[50]</w:t>
            </w:r>
          </w:p>
        </w:tc>
        <w:tc>
          <w:tcPr>
            <w:tcW w:w="2211" w:type="dxa"/>
            <w:vAlign w:val="center"/>
          </w:tcPr>
          <w:p w14:paraId="7CE6D93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3F27685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65DAEAA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1A6A18F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734B6F1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Medical device manufacturers, software developers, regulators, standard makers, researchers, lawyers, security practitioners, industry association representatives</w:t>
            </w:r>
          </w:p>
        </w:tc>
        <w:tc>
          <w:tcPr>
            <w:tcW w:w="1574" w:type="dxa"/>
            <w:vAlign w:val="center"/>
          </w:tcPr>
          <w:p w14:paraId="2FF20FF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Clinicians</w:t>
            </w:r>
          </w:p>
        </w:tc>
        <w:tc>
          <w:tcPr>
            <w:tcW w:w="1569" w:type="dxa"/>
            <w:vAlign w:val="center"/>
          </w:tcPr>
          <w:p w14:paraId="745B303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3C14E831" w14:textId="77777777" w:rsidTr="006B7AD6">
        <w:trPr>
          <w:jc w:val="center"/>
        </w:trPr>
        <w:tc>
          <w:tcPr>
            <w:tcW w:w="587" w:type="dxa"/>
            <w:vAlign w:val="center"/>
          </w:tcPr>
          <w:p w14:paraId="7C1DE8E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30</w:t>
            </w:r>
          </w:p>
        </w:tc>
        <w:tc>
          <w:tcPr>
            <w:tcW w:w="2678" w:type="dxa"/>
            <w:vAlign w:val="center"/>
          </w:tcPr>
          <w:p w14:paraId="227C469A"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Stories from the Frontline: Recuperating Essential Worker Accounts of AI Integration </w:t>
            </w:r>
            <w:r>
              <w:rPr>
                <w:rFonts w:ascii="Times New Roman" w:hAnsi="Times New Roman" w:cs="Times New Roman"/>
                <w:noProof/>
                <w:color w:val="000000" w:themeColor="text1"/>
                <w:sz w:val="18"/>
                <w:szCs w:val="18"/>
              </w:rPr>
              <w:t>[14]</w:t>
            </w:r>
          </w:p>
        </w:tc>
        <w:tc>
          <w:tcPr>
            <w:tcW w:w="2211" w:type="dxa"/>
            <w:vAlign w:val="center"/>
          </w:tcPr>
          <w:p w14:paraId="14AD386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545A3CB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Waste management</w:t>
            </w:r>
          </w:p>
        </w:tc>
        <w:tc>
          <w:tcPr>
            <w:tcW w:w="1159" w:type="dxa"/>
            <w:vAlign w:val="center"/>
          </w:tcPr>
          <w:p w14:paraId="24D8C64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2B3C2ED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3EDD06A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Managers </w:t>
            </w:r>
          </w:p>
        </w:tc>
        <w:tc>
          <w:tcPr>
            <w:tcW w:w="1574" w:type="dxa"/>
            <w:vAlign w:val="center"/>
          </w:tcPr>
          <w:p w14:paraId="40542E3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Janitorial staff, airport visitors*, airport staff*,</w:t>
            </w:r>
          </w:p>
        </w:tc>
        <w:tc>
          <w:tcPr>
            <w:tcW w:w="1569" w:type="dxa"/>
            <w:vAlign w:val="center"/>
          </w:tcPr>
          <w:p w14:paraId="787F05F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Airport visitors and staff</w:t>
            </w:r>
          </w:p>
        </w:tc>
      </w:tr>
      <w:tr w:rsidR="00C771CC" w:rsidRPr="00A364C2" w14:paraId="68C1D871" w14:textId="77777777" w:rsidTr="006B7AD6">
        <w:trPr>
          <w:jc w:val="center"/>
        </w:trPr>
        <w:tc>
          <w:tcPr>
            <w:tcW w:w="587" w:type="dxa"/>
            <w:vAlign w:val="center"/>
          </w:tcPr>
          <w:p w14:paraId="091C654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31</w:t>
            </w:r>
          </w:p>
        </w:tc>
        <w:tc>
          <w:tcPr>
            <w:tcW w:w="2678" w:type="dxa"/>
            <w:vAlign w:val="center"/>
          </w:tcPr>
          <w:p w14:paraId="21657D6E"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Supporting Human-AI Collaboration in Auditing LLMs with LLMs </w:t>
            </w:r>
            <w:r>
              <w:rPr>
                <w:rFonts w:ascii="Times New Roman" w:hAnsi="Times New Roman" w:cs="Times New Roman"/>
                <w:noProof/>
                <w:color w:val="000000" w:themeColor="text1"/>
                <w:sz w:val="18"/>
                <w:szCs w:val="18"/>
              </w:rPr>
              <w:t>[58]</w:t>
            </w:r>
          </w:p>
        </w:tc>
        <w:tc>
          <w:tcPr>
            <w:tcW w:w="2211" w:type="dxa"/>
            <w:vAlign w:val="center"/>
          </w:tcPr>
          <w:p w14:paraId="4D89A06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33DA84A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Technology industry</w:t>
            </w:r>
          </w:p>
        </w:tc>
        <w:tc>
          <w:tcPr>
            <w:tcW w:w="1159" w:type="dxa"/>
            <w:vAlign w:val="center"/>
          </w:tcPr>
          <w:p w14:paraId="611FC53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159" w:type="dxa"/>
            <w:vAlign w:val="center"/>
          </w:tcPr>
          <w:p w14:paraId="1ADDEB4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4E97FF4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Not stated</w:t>
            </w:r>
          </w:p>
        </w:tc>
        <w:tc>
          <w:tcPr>
            <w:tcW w:w="1574" w:type="dxa"/>
            <w:vAlign w:val="center"/>
          </w:tcPr>
          <w:p w14:paraId="382808C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Auditors</w:t>
            </w:r>
          </w:p>
        </w:tc>
        <w:tc>
          <w:tcPr>
            <w:tcW w:w="1569" w:type="dxa"/>
            <w:vAlign w:val="center"/>
          </w:tcPr>
          <w:p w14:paraId="72E57B8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AI users</w:t>
            </w:r>
          </w:p>
        </w:tc>
      </w:tr>
      <w:tr w:rsidR="00C771CC" w:rsidRPr="00A364C2" w14:paraId="49CAEACF" w14:textId="77777777" w:rsidTr="006B7AD6">
        <w:trPr>
          <w:jc w:val="center"/>
        </w:trPr>
        <w:tc>
          <w:tcPr>
            <w:tcW w:w="587" w:type="dxa"/>
            <w:vAlign w:val="center"/>
          </w:tcPr>
          <w:p w14:paraId="6F99499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32</w:t>
            </w:r>
          </w:p>
        </w:tc>
        <w:tc>
          <w:tcPr>
            <w:tcW w:w="2678" w:type="dxa"/>
            <w:vAlign w:val="center"/>
          </w:tcPr>
          <w:p w14:paraId="66A8AD7F"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The Ethical Use of High-Performance Computing and Artificial Intelligence: Fighting COVID-19 at Barcelona Supercomputing Center </w:t>
            </w:r>
            <w:r>
              <w:rPr>
                <w:rFonts w:ascii="Times New Roman" w:hAnsi="Times New Roman" w:cs="Times New Roman"/>
                <w:noProof/>
                <w:color w:val="000000" w:themeColor="text1"/>
                <w:sz w:val="18"/>
                <w:szCs w:val="18"/>
              </w:rPr>
              <w:t>[39]</w:t>
            </w:r>
          </w:p>
        </w:tc>
        <w:tc>
          <w:tcPr>
            <w:tcW w:w="2211" w:type="dxa"/>
            <w:vAlign w:val="center"/>
          </w:tcPr>
          <w:p w14:paraId="7014CF5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AI-enabled systems</w:t>
            </w:r>
          </w:p>
        </w:tc>
        <w:tc>
          <w:tcPr>
            <w:tcW w:w="1191" w:type="dxa"/>
            <w:vAlign w:val="center"/>
          </w:tcPr>
          <w:p w14:paraId="6963B75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Mix of industries</w:t>
            </w:r>
          </w:p>
        </w:tc>
        <w:tc>
          <w:tcPr>
            <w:tcW w:w="1159" w:type="dxa"/>
            <w:vAlign w:val="center"/>
          </w:tcPr>
          <w:p w14:paraId="317C6F9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0DD1296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632" w:type="dxa"/>
            <w:vAlign w:val="center"/>
          </w:tcPr>
          <w:p w14:paraId="2C2D32F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 xml:space="preserve">Social media platforms </w:t>
            </w:r>
          </w:p>
        </w:tc>
        <w:tc>
          <w:tcPr>
            <w:tcW w:w="1574" w:type="dxa"/>
            <w:vAlign w:val="center"/>
          </w:tcPr>
          <w:p w14:paraId="5D085D6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Government authorities</w:t>
            </w:r>
          </w:p>
        </w:tc>
        <w:tc>
          <w:tcPr>
            <w:tcW w:w="1569" w:type="dxa"/>
            <w:vAlign w:val="center"/>
          </w:tcPr>
          <w:p w14:paraId="24F4436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Users/ones being tracked</w:t>
            </w:r>
          </w:p>
        </w:tc>
      </w:tr>
      <w:tr w:rsidR="00C771CC" w:rsidRPr="00A364C2" w14:paraId="1A05E917" w14:textId="77777777" w:rsidTr="006B7AD6">
        <w:trPr>
          <w:jc w:val="center"/>
        </w:trPr>
        <w:tc>
          <w:tcPr>
            <w:tcW w:w="587" w:type="dxa"/>
            <w:vAlign w:val="center"/>
          </w:tcPr>
          <w:p w14:paraId="089EF4F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33</w:t>
            </w:r>
          </w:p>
        </w:tc>
        <w:tc>
          <w:tcPr>
            <w:tcW w:w="2678" w:type="dxa"/>
            <w:vAlign w:val="center"/>
          </w:tcPr>
          <w:p w14:paraId="5528ABE7"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The Fallacy of AI Functionality </w:t>
            </w:r>
            <w:r>
              <w:rPr>
                <w:rFonts w:ascii="Times New Roman" w:hAnsi="Times New Roman" w:cs="Times New Roman"/>
                <w:noProof/>
                <w:color w:val="000000" w:themeColor="text1"/>
                <w:sz w:val="18"/>
                <w:szCs w:val="18"/>
              </w:rPr>
              <w:t>[67]</w:t>
            </w:r>
          </w:p>
        </w:tc>
        <w:tc>
          <w:tcPr>
            <w:tcW w:w="2211" w:type="dxa"/>
            <w:vAlign w:val="center"/>
          </w:tcPr>
          <w:p w14:paraId="1457A6A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AI-enabled systems</w:t>
            </w:r>
          </w:p>
        </w:tc>
        <w:tc>
          <w:tcPr>
            <w:tcW w:w="1191" w:type="dxa"/>
            <w:vAlign w:val="center"/>
          </w:tcPr>
          <w:p w14:paraId="01A0C6B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Mix of industries</w:t>
            </w:r>
          </w:p>
        </w:tc>
        <w:tc>
          <w:tcPr>
            <w:tcW w:w="1159" w:type="dxa"/>
          </w:tcPr>
          <w:p w14:paraId="0FF4D60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N/A (documented AI incident analysis)</w:t>
            </w:r>
          </w:p>
        </w:tc>
        <w:tc>
          <w:tcPr>
            <w:tcW w:w="1159" w:type="dxa"/>
          </w:tcPr>
          <w:p w14:paraId="3EC3286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N/A (documented AI incident analysis)</w:t>
            </w:r>
          </w:p>
        </w:tc>
        <w:tc>
          <w:tcPr>
            <w:tcW w:w="1632" w:type="dxa"/>
            <w:vAlign w:val="center"/>
          </w:tcPr>
          <w:p w14:paraId="5FF0D6C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Unclear</w:t>
            </w:r>
          </w:p>
        </w:tc>
        <w:tc>
          <w:tcPr>
            <w:tcW w:w="1574" w:type="dxa"/>
            <w:vAlign w:val="center"/>
          </w:tcPr>
          <w:p w14:paraId="356DA2F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Unclear</w:t>
            </w:r>
          </w:p>
        </w:tc>
        <w:tc>
          <w:tcPr>
            <w:tcW w:w="1569" w:type="dxa"/>
            <w:vAlign w:val="center"/>
          </w:tcPr>
          <w:p w14:paraId="4A11701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Unclear</w:t>
            </w:r>
          </w:p>
        </w:tc>
      </w:tr>
      <w:tr w:rsidR="00C771CC" w:rsidRPr="00A364C2" w14:paraId="0740BD0F" w14:textId="77777777" w:rsidTr="006B7AD6">
        <w:trPr>
          <w:jc w:val="center"/>
        </w:trPr>
        <w:tc>
          <w:tcPr>
            <w:tcW w:w="587" w:type="dxa"/>
            <w:vAlign w:val="center"/>
          </w:tcPr>
          <w:p w14:paraId="6FCBDCD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34</w:t>
            </w:r>
          </w:p>
        </w:tc>
        <w:tc>
          <w:tcPr>
            <w:tcW w:w="2678" w:type="dxa"/>
            <w:vAlign w:val="center"/>
          </w:tcPr>
          <w:p w14:paraId="7AE30002"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The Medical Authority of AI: A Study of AI-enabled Consumer-Facing Health Technology </w:t>
            </w:r>
            <w:r>
              <w:rPr>
                <w:rFonts w:ascii="Times New Roman" w:hAnsi="Times New Roman" w:cs="Times New Roman"/>
                <w:noProof/>
                <w:color w:val="000000" w:themeColor="text1"/>
                <w:sz w:val="18"/>
                <w:szCs w:val="18"/>
              </w:rPr>
              <w:t>[37]</w:t>
            </w:r>
          </w:p>
        </w:tc>
        <w:tc>
          <w:tcPr>
            <w:tcW w:w="2211" w:type="dxa"/>
            <w:vAlign w:val="center"/>
          </w:tcPr>
          <w:p w14:paraId="7184550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7CBE8A3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34CA35E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159" w:type="dxa"/>
            <w:vAlign w:val="center"/>
          </w:tcPr>
          <w:p w14:paraId="4C81CBF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2A7B54D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Not stated</w:t>
            </w:r>
          </w:p>
        </w:tc>
        <w:tc>
          <w:tcPr>
            <w:tcW w:w="1574" w:type="dxa"/>
            <w:vAlign w:val="center"/>
          </w:tcPr>
          <w:p w14:paraId="5871C0B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c>
          <w:tcPr>
            <w:tcW w:w="1569" w:type="dxa"/>
            <w:vAlign w:val="center"/>
          </w:tcPr>
          <w:p w14:paraId="1EFA66A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Patients</w:t>
            </w:r>
          </w:p>
        </w:tc>
      </w:tr>
      <w:tr w:rsidR="00C771CC" w:rsidRPr="00A364C2" w14:paraId="73790C1A" w14:textId="77777777" w:rsidTr="006B7AD6">
        <w:trPr>
          <w:jc w:val="center"/>
        </w:trPr>
        <w:tc>
          <w:tcPr>
            <w:tcW w:w="587" w:type="dxa"/>
            <w:vAlign w:val="center"/>
          </w:tcPr>
          <w:p w14:paraId="59A1984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35</w:t>
            </w:r>
          </w:p>
        </w:tc>
        <w:tc>
          <w:tcPr>
            <w:tcW w:w="2678" w:type="dxa"/>
            <w:vAlign w:val="center"/>
          </w:tcPr>
          <w:p w14:paraId="275ACB1C"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The Need for Knowledge Extraction: Understanding Harmful Gambling Behavior with Neural Networks </w:t>
            </w:r>
            <w:r>
              <w:rPr>
                <w:rFonts w:ascii="Times New Roman" w:hAnsi="Times New Roman" w:cs="Times New Roman"/>
                <w:noProof/>
                <w:color w:val="000000" w:themeColor="text1"/>
                <w:sz w:val="18"/>
                <w:szCs w:val="18"/>
              </w:rPr>
              <w:t>[33]</w:t>
            </w:r>
          </w:p>
        </w:tc>
        <w:tc>
          <w:tcPr>
            <w:tcW w:w="2211" w:type="dxa"/>
            <w:vAlign w:val="center"/>
          </w:tcPr>
          <w:p w14:paraId="612EAE5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AI-enabled systems </w:t>
            </w:r>
          </w:p>
        </w:tc>
        <w:tc>
          <w:tcPr>
            <w:tcW w:w="1191" w:type="dxa"/>
            <w:vAlign w:val="center"/>
          </w:tcPr>
          <w:p w14:paraId="56E2154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Gambling</w:t>
            </w:r>
          </w:p>
        </w:tc>
        <w:tc>
          <w:tcPr>
            <w:tcW w:w="1159" w:type="dxa"/>
            <w:vAlign w:val="center"/>
          </w:tcPr>
          <w:p w14:paraId="3A57BD1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52FE8D0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0A740AD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Gambling operators, regulators, academics, clinicians</w:t>
            </w:r>
          </w:p>
        </w:tc>
        <w:tc>
          <w:tcPr>
            <w:tcW w:w="1574" w:type="dxa"/>
            <w:vAlign w:val="center"/>
          </w:tcPr>
          <w:p w14:paraId="20D0019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Gambling operators</w:t>
            </w:r>
          </w:p>
        </w:tc>
        <w:tc>
          <w:tcPr>
            <w:tcW w:w="1569" w:type="dxa"/>
            <w:vAlign w:val="center"/>
          </w:tcPr>
          <w:p w14:paraId="66DAD06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Gamblers</w:t>
            </w:r>
          </w:p>
        </w:tc>
      </w:tr>
      <w:tr w:rsidR="00C771CC" w:rsidRPr="00A364C2" w14:paraId="3786C8A6" w14:textId="77777777" w:rsidTr="006B7AD6">
        <w:trPr>
          <w:jc w:val="center"/>
        </w:trPr>
        <w:tc>
          <w:tcPr>
            <w:tcW w:w="587" w:type="dxa"/>
            <w:vAlign w:val="center"/>
          </w:tcPr>
          <w:p w14:paraId="05D22CB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36</w:t>
            </w:r>
          </w:p>
        </w:tc>
        <w:tc>
          <w:tcPr>
            <w:tcW w:w="2678" w:type="dxa"/>
            <w:vAlign w:val="center"/>
          </w:tcPr>
          <w:p w14:paraId="6B0B530E"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Toward Involving End-users in Interactive Human-in-the-loop AI Fairness </w:t>
            </w:r>
            <w:r>
              <w:rPr>
                <w:rFonts w:ascii="Times New Roman" w:hAnsi="Times New Roman" w:cs="Times New Roman"/>
                <w:noProof/>
                <w:color w:val="000000" w:themeColor="text1"/>
                <w:sz w:val="18"/>
                <w:szCs w:val="18"/>
              </w:rPr>
              <w:t>[41]</w:t>
            </w:r>
          </w:p>
        </w:tc>
        <w:tc>
          <w:tcPr>
            <w:tcW w:w="2211" w:type="dxa"/>
            <w:vAlign w:val="center"/>
          </w:tcPr>
          <w:p w14:paraId="2C7E3EB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Analysis of stakeholder perspectives on AI-enabled systems </w:t>
            </w:r>
          </w:p>
        </w:tc>
        <w:tc>
          <w:tcPr>
            <w:tcW w:w="1191" w:type="dxa"/>
            <w:vAlign w:val="center"/>
          </w:tcPr>
          <w:p w14:paraId="0238CB6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Financial industry</w:t>
            </w:r>
          </w:p>
        </w:tc>
        <w:tc>
          <w:tcPr>
            <w:tcW w:w="1159" w:type="dxa"/>
            <w:vAlign w:val="center"/>
          </w:tcPr>
          <w:p w14:paraId="57E0B90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 xml:space="preserve">No </w:t>
            </w:r>
          </w:p>
        </w:tc>
        <w:tc>
          <w:tcPr>
            <w:tcW w:w="1159" w:type="dxa"/>
            <w:vAlign w:val="center"/>
          </w:tcPr>
          <w:p w14:paraId="63268C9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 xml:space="preserve">Yes </w:t>
            </w:r>
          </w:p>
        </w:tc>
        <w:tc>
          <w:tcPr>
            <w:tcW w:w="1632" w:type="dxa"/>
            <w:vAlign w:val="center"/>
          </w:tcPr>
          <w:p w14:paraId="58EB9DC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Loan providers </w:t>
            </w:r>
          </w:p>
        </w:tc>
        <w:tc>
          <w:tcPr>
            <w:tcW w:w="1574" w:type="dxa"/>
            <w:vAlign w:val="center"/>
          </w:tcPr>
          <w:p w14:paraId="62107B8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Loan applicants*</w:t>
            </w:r>
          </w:p>
        </w:tc>
        <w:tc>
          <w:tcPr>
            <w:tcW w:w="1569" w:type="dxa"/>
            <w:vAlign w:val="center"/>
          </w:tcPr>
          <w:p w14:paraId="2D5F2E7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Loan applicants</w:t>
            </w:r>
          </w:p>
        </w:tc>
      </w:tr>
      <w:tr w:rsidR="00C771CC" w:rsidRPr="00A364C2" w14:paraId="16F3E662" w14:textId="77777777" w:rsidTr="006B7AD6">
        <w:trPr>
          <w:jc w:val="center"/>
        </w:trPr>
        <w:tc>
          <w:tcPr>
            <w:tcW w:w="587" w:type="dxa"/>
            <w:vAlign w:val="center"/>
          </w:tcPr>
          <w:p w14:paraId="48CC695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lastRenderedPageBreak/>
              <w:t>37</w:t>
            </w:r>
          </w:p>
        </w:tc>
        <w:tc>
          <w:tcPr>
            <w:tcW w:w="2678" w:type="dxa"/>
            <w:vAlign w:val="center"/>
          </w:tcPr>
          <w:p w14:paraId="64F1EAB2"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Using Model Cards for Ethical Reflection: A Qualitative Exploration </w:t>
            </w:r>
            <w:r>
              <w:rPr>
                <w:rFonts w:ascii="Times New Roman" w:hAnsi="Times New Roman" w:cs="Times New Roman"/>
                <w:noProof/>
                <w:color w:val="000000" w:themeColor="text1"/>
                <w:sz w:val="18"/>
                <w:szCs w:val="18"/>
              </w:rPr>
              <w:t>[40]</w:t>
            </w:r>
          </w:p>
        </w:tc>
        <w:tc>
          <w:tcPr>
            <w:tcW w:w="2211" w:type="dxa"/>
            <w:vAlign w:val="center"/>
          </w:tcPr>
          <w:p w14:paraId="2FC5A26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stakeholder perspectives on RAI practices</w:t>
            </w:r>
          </w:p>
        </w:tc>
        <w:tc>
          <w:tcPr>
            <w:tcW w:w="1191" w:type="dxa"/>
            <w:vAlign w:val="center"/>
          </w:tcPr>
          <w:p w14:paraId="4BF521C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Mix of industries</w:t>
            </w:r>
          </w:p>
        </w:tc>
        <w:tc>
          <w:tcPr>
            <w:tcW w:w="1159" w:type="dxa"/>
            <w:vAlign w:val="center"/>
          </w:tcPr>
          <w:p w14:paraId="161E155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 (used computer sciences’ students as participants)</w:t>
            </w:r>
          </w:p>
        </w:tc>
        <w:tc>
          <w:tcPr>
            <w:tcW w:w="1159" w:type="dxa"/>
            <w:vAlign w:val="center"/>
          </w:tcPr>
          <w:p w14:paraId="1B25144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632" w:type="dxa"/>
            <w:vAlign w:val="center"/>
          </w:tcPr>
          <w:p w14:paraId="7887BCA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ML developers </w:t>
            </w:r>
          </w:p>
        </w:tc>
        <w:tc>
          <w:tcPr>
            <w:tcW w:w="1574" w:type="dxa"/>
            <w:vAlign w:val="center"/>
          </w:tcPr>
          <w:p w14:paraId="0A5E7E1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Financial institutions*, universities*</w:t>
            </w:r>
          </w:p>
        </w:tc>
        <w:tc>
          <w:tcPr>
            <w:tcW w:w="1569" w:type="dxa"/>
            <w:vAlign w:val="center"/>
          </w:tcPr>
          <w:p w14:paraId="6616E24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Loan applicants, university applicants, financial institutions, universities</w:t>
            </w:r>
          </w:p>
        </w:tc>
      </w:tr>
      <w:tr w:rsidR="00C771CC" w:rsidRPr="00A364C2" w14:paraId="48EC2409" w14:textId="77777777" w:rsidTr="006B7AD6">
        <w:trPr>
          <w:jc w:val="center"/>
        </w:trPr>
        <w:tc>
          <w:tcPr>
            <w:tcW w:w="587" w:type="dxa"/>
            <w:vAlign w:val="center"/>
          </w:tcPr>
          <w:p w14:paraId="25DA0B9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38</w:t>
            </w:r>
          </w:p>
        </w:tc>
        <w:tc>
          <w:tcPr>
            <w:tcW w:w="2678" w:type="dxa"/>
            <w:vAlign w:val="center"/>
          </w:tcPr>
          <w:p w14:paraId="38FBF028"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Values in Emotion Artificial Intelligence Hiring Services: Technosolutions to Organizational Problems </w:t>
            </w:r>
            <w:r>
              <w:rPr>
                <w:rFonts w:ascii="Times New Roman" w:hAnsi="Times New Roman" w:cs="Times New Roman"/>
                <w:noProof/>
                <w:color w:val="000000" w:themeColor="text1"/>
                <w:sz w:val="18"/>
                <w:szCs w:val="18"/>
              </w:rPr>
              <w:t>[32]</w:t>
            </w:r>
          </w:p>
        </w:tc>
        <w:tc>
          <w:tcPr>
            <w:tcW w:w="2211" w:type="dxa"/>
            <w:vAlign w:val="center"/>
          </w:tcPr>
          <w:p w14:paraId="343906D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AI-enabled systems</w:t>
            </w:r>
          </w:p>
        </w:tc>
        <w:tc>
          <w:tcPr>
            <w:tcW w:w="1191" w:type="dxa"/>
            <w:vAlign w:val="center"/>
          </w:tcPr>
          <w:p w14:paraId="0AC978C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Recruitment</w:t>
            </w:r>
          </w:p>
        </w:tc>
        <w:tc>
          <w:tcPr>
            <w:tcW w:w="1159" w:type="dxa"/>
            <w:vAlign w:val="center"/>
          </w:tcPr>
          <w:p w14:paraId="6E2AFCA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159" w:type="dxa"/>
            <w:vAlign w:val="center"/>
          </w:tcPr>
          <w:p w14:paraId="022B596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632" w:type="dxa"/>
            <w:vAlign w:val="center"/>
          </w:tcPr>
          <w:p w14:paraId="541189E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Not stated</w:t>
            </w:r>
          </w:p>
        </w:tc>
        <w:tc>
          <w:tcPr>
            <w:tcW w:w="1574" w:type="dxa"/>
            <w:vAlign w:val="center"/>
          </w:tcPr>
          <w:p w14:paraId="3FE33ED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Recruitment companies*</w:t>
            </w:r>
          </w:p>
        </w:tc>
        <w:tc>
          <w:tcPr>
            <w:tcW w:w="1569" w:type="dxa"/>
            <w:vAlign w:val="center"/>
          </w:tcPr>
          <w:p w14:paraId="0BEE1D7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Job applicants, recruitment companies</w:t>
            </w:r>
          </w:p>
        </w:tc>
      </w:tr>
      <w:tr w:rsidR="00C771CC" w:rsidRPr="00A364C2" w14:paraId="092D3456" w14:textId="77777777" w:rsidTr="006B7AD6">
        <w:trPr>
          <w:jc w:val="center"/>
        </w:trPr>
        <w:tc>
          <w:tcPr>
            <w:tcW w:w="587" w:type="dxa"/>
            <w:vAlign w:val="center"/>
          </w:tcPr>
          <w:p w14:paraId="262F38A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39</w:t>
            </w:r>
          </w:p>
        </w:tc>
        <w:tc>
          <w:tcPr>
            <w:tcW w:w="2678" w:type="dxa"/>
            <w:vAlign w:val="center"/>
          </w:tcPr>
          <w:p w14:paraId="7C9D07CD"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Walking the Walk of AI Ethics: Organizational Challenges and the Individualization of Risk among Ethics Entrepreneurs </w:t>
            </w:r>
            <w:r>
              <w:rPr>
                <w:rFonts w:ascii="Times New Roman" w:hAnsi="Times New Roman" w:cs="Times New Roman"/>
                <w:noProof/>
                <w:color w:val="000000" w:themeColor="text1"/>
                <w:sz w:val="18"/>
                <w:szCs w:val="18"/>
              </w:rPr>
              <w:t>[64]</w:t>
            </w:r>
          </w:p>
        </w:tc>
        <w:tc>
          <w:tcPr>
            <w:tcW w:w="2211" w:type="dxa"/>
            <w:vAlign w:val="center"/>
          </w:tcPr>
          <w:p w14:paraId="2F4138F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stakeholder perspectives on RAI practices</w:t>
            </w:r>
          </w:p>
        </w:tc>
        <w:tc>
          <w:tcPr>
            <w:tcW w:w="1191" w:type="dxa"/>
            <w:vAlign w:val="center"/>
          </w:tcPr>
          <w:p w14:paraId="7433080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Technology industry</w:t>
            </w:r>
          </w:p>
        </w:tc>
        <w:tc>
          <w:tcPr>
            <w:tcW w:w="1159" w:type="dxa"/>
            <w:vAlign w:val="center"/>
          </w:tcPr>
          <w:p w14:paraId="64C7425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4B48E92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632" w:type="dxa"/>
            <w:vAlign w:val="center"/>
          </w:tcPr>
          <w:p w14:paraId="47249BE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Ethics workers</w:t>
            </w:r>
          </w:p>
        </w:tc>
        <w:tc>
          <w:tcPr>
            <w:tcW w:w="1574" w:type="dxa"/>
            <w:vAlign w:val="center"/>
          </w:tcPr>
          <w:p w14:paraId="627E1C5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AI users*</w:t>
            </w:r>
          </w:p>
        </w:tc>
        <w:tc>
          <w:tcPr>
            <w:tcW w:w="1569" w:type="dxa"/>
            <w:vAlign w:val="center"/>
          </w:tcPr>
          <w:p w14:paraId="1B117E7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AI users and primary stakeholders</w:t>
            </w:r>
          </w:p>
        </w:tc>
      </w:tr>
      <w:tr w:rsidR="00C771CC" w:rsidRPr="00A364C2" w14:paraId="59CBFFE9" w14:textId="77777777" w:rsidTr="006B7AD6">
        <w:trPr>
          <w:jc w:val="center"/>
        </w:trPr>
        <w:tc>
          <w:tcPr>
            <w:tcW w:w="587" w:type="dxa"/>
            <w:vAlign w:val="center"/>
          </w:tcPr>
          <w:p w14:paraId="263D74F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40</w:t>
            </w:r>
          </w:p>
        </w:tc>
        <w:tc>
          <w:tcPr>
            <w:tcW w:w="2678" w:type="dxa"/>
            <w:vAlign w:val="center"/>
          </w:tcPr>
          <w:p w14:paraId="1EBC607A"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What Does It Mean to be a Responsible AI Practitioner: An Ontology of Roles and Skills </w:t>
            </w:r>
            <w:r>
              <w:rPr>
                <w:rFonts w:ascii="Times New Roman" w:hAnsi="Times New Roman" w:cs="Times New Roman"/>
                <w:noProof/>
                <w:color w:val="000000" w:themeColor="text1"/>
                <w:sz w:val="18"/>
                <w:szCs w:val="18"/>
              </w:rPr>
              <w:t>[65]</w:t>
            </w:r>
          </w:p>
        </w:tc>
        <w:tc>
          <w:tcPr>
            <w:tcW w:w="2211" w:type="dxa"/>
            <w:vAlign w:val="center"/>
          </w:tcPr>
          <w:p w14:paraId="3BCDE5C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stakeholder perspectives on RAI practices</w:t>
            </w:r>
          </w:p>
        </w:tc>
        <w:tc>
          <w:tcPr>
            <w:tcW w:w="1191" w:type="dxa"/>
            <w:vAlign w:val="center"/>
          </w:tcPr>
          <w:p w14:paraId="64F4419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Mix of industries</w:t>
            </w:r>
          </w:p>
        </w:tc>
        <w:tc>
          <w:tcPr>
            <w:tcW w:w="1159" w:type="dxa"/>
            <w:vAlign w:val="center"/>
          </w:tcPr>
          <w:p w14:paraId="0984BF8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44B3918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N/A (irrelevant for their study objective)</w:t>
            </w:r>
          </w:p>
        </w:tc>
        <w:tc>
          <w:tcPr>
            <w:tcW w:w="1632" w:type="dxa"/>
            <w:vAlign w:val="center"/>
          </w:tcPr>
          <w:p w14:paraId="37E3B85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Researchers, Engineers, data scientists, managers, directors, policy analysts</w:t>
            </w:r>
          </w:p>
        </w:tc>
        <w:tc>
          <w:tcPr>
            <w:tcW w:w="1574" w:type="dxa"/>
            <w:vAlign w:val="center"/>
          </w:tcPr>
          <w:p w14:paraId="3623036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Not stated</w:t>
            </w:r>
          </w:p>
        </w:tc>
        <w:tc>
          <w:tcPr>
            <w:tcW w:w="1569" w:type="dxa"/>
            <w:vAlign w:val="center"/>
          </w:tcPr>
          <w:p w14:paraId="784713B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AI users and primary stakeholders</w:t>
            </w:r>
          </w:p>
        </w:tc>
      </w:tr>
      <w:tr w:rsidR="00C771CC" w:rsidRPr="00A364C2" w14:paraId="484F5BEB" w14:textId="77777777" w:rsidTr="006B7AD6">
        <w:trPr>
          <w:jc w:val="center"/>
        </w:trPr>
        <w:tc>
          <w:tcPr>
            <w:tcW w:w="587" w:type="dxa"/>
            <w:vAlign w:val="center"/>
          </w:tcPr>
          <w:p w14:paraId="022582E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41</w:t>
            </w:r>
          </w:p>
        </w:tc>
        <w:tc>
          <w:tcPr>
            <w:tcW w:w="2678" w:type="dxa"/>
            <w:vAlign w:val="center"/>
          </w:tcPr>
          <w:p w14:paraId="741BE262"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Where Responsible AI Meets Reality: Practitioner Perspectives on Enablers for Shifting Organizational Practices </w:t>
            </w:r>
            <w:r>
              <w:rPr>
                <w:rFonts w:ascii="Times New Roman" w:hAnsi="Times New Roman" w:cs="Times New Roman"/>
                <w:noProof/>
                <w:color w:val="000000" w:themeColor="text1"/>
                <w:sz w:val="18"/>
                <w:szCs w:val="18"/>
              </w:rPr>
              <w:t>[48]</w:t>
            </w:r>
          </w:p>
        </w:tc>
        <w:tc>
          <w:tcPr>
            <w:tcW w:w="2211" w:type="dxa"/>
            <w:vAlign w:val="center"/>
          </w:tcPr>
          <w:p w14:paraId="6CC8BD3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stakeholder perspectives on RAI practices</w:t>
            </w:r>
          </w:p>
        </w:tc>
        <w:tc>
          <w:tcPr>
            <w:tcW w:w="1191" w:type="dxa"/>
            <w:vAlign w:val="center"/>
          </w:tcPr>
          <w:p w14:paraId="6C0FE23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Mix of industries</w:t>
            </w:r>
          </w:p>
        </w:tc>
        <w:tc>
          <w:tcPr>
            <w:tcW w:w="1159" w:type="dxa"/>
            <w:vAlign w:val="center"/>
          </w:tcPr>
          <w:p w14:paraId="3867105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Yes</w:t>
            </w:r>
          </w:p>
        </w:tc>
        <w:tc>
          <w:tcPr>
            <w:tcW w:w="1159" w:type="dxa"/>
            <w:vAlign w:val="center"/>
          </w:tcPr>
          <w:p w14:paraId="64EB56F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N/A (irrelevant for their study objective)</w:t>
            </w:r>
          </w:p>
        </w:tc>
        <w:tc>
          <w:tcPr>
            <w:tcW w:w="1632" w:type="dxa"/>
            <w:vAlign w:val="center"/>
          </w:tcPr>
          <w:p w14:paraId="337313E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AI strategists, engineers, HR, legal resources, marketing and sales staff, researchers, policymakers, product managers</w:t>
            </w:r>
          </w:p>
        </w:tc>
        <w:tc>
          <w:tcPr>
            <w:tcW w:w="1574" w:type="dxa"/>
            <w:vAlign w:val="center"/>
          </w:tcPr>
          <w:p w14:paraId="60CF28C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AI users*</w:t>
            </w:r>
          </w:p>
        </w:tc>
        <w:tc>
          <w:tcPr>
            <w:tcW w:w="1569" w:type="dxa"/>
            <w:vAlign w:val="center"/>
          </w:tcPr>
          <w:p w14:paraId="065D674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AI users and primary stakeholders</w:t>
            </w:r>
          </w:p>
        </w:tc>
      </w:tr>
      <w:tr w:rsidR="00C771CC" w:rsidRPr="00A364C2" w14:paraId="3ABC89C0" w14:textId="77777777" w:rsidTr="006B7AD6">
        <w:trPr>
          <w:jc w:val="center"/>
        </w:trPr>
        <w:tc>
          <w:tcPr>
            <w:tcW w:w="587" w:type="dxa"/>
            <w:vAlign w:val="center"/>
          </w:tcPr>
          <w:p w14:paraId="2786136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42</w:t>
            </w:r>
          </w:p>
        </w:tc>
        <w:tc>
          <w:tcPr>
            <w:tcW w:w="2678" w:type="dxa"/>
            <w:vAlign w:val="center"/>
          </w:tcPr>
          <w:p w14:paraId="5DA2FF67"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Who Audits the Auditors? Recommendations from a Field Scan of the Algorithmic Auditing Ecosystem </w:t>
            </w:r>
            <w:r>
              <w:rPr>
                <w:rFonts w:ascii="Times New Roman" w:hAnsi="Times New Roman" w:cs="Times New Roman"/>
                <w:noProof/>
                <w:color w:val="000000" w:themeColor="text1"/>
                <w:sz w:val="18"/>
                <w:szCs w:val="18"/>
              </w:rPr>
              <w:t>[49]</w:t>
            </w:r>
          </w:p>
        </w:tc>
        <w:tc>
          <w:tcPr>
            <w:tcW w:w="2211" w:type="dxa"/>
            <w:vAlign w:val="center"/>
          </w:tcPr>
          <w:p w14:paraId="512CF9F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stakeholder perspectives on RAI practices</w:t>
            </w:r>
          </w:p>
        </w:tc>
        <w:tc>
          <w:tcPr>
            <w:tcW w:w="1191" w:type="dxa"/>
            <w:vAlign w:val="center"/>
          </w:tcPr>
          <w:p w14:paraId="457E79F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Technology industry</w:t>
            </w:r>
          </w:p>
        </w:tc>
        <w:tc>
          <w:tcPr>
            <w:tcW w:w="1159" w:type="dxa"/>
            <w:vAlign w:val="center"/>
          </w:tcPr>
          <w:p w14:paraId="201A78B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3294BDF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0F49B31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Auditors, general populations, advocacy organisations, researchers, regulators</w:t>
            </w:r>
          </w:p>
        </w:tc>
        <w:tc>
          <w:tcPr>
            <w:tcW w:w="1574" w:type="dxa"/>
            <w:vAlign w:val="center"/>
          </w:tcPr>
          <w:p w14:paraId="1968F9F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AI auditors</w:t>
            </w:r>
          </w:p>
        </w:tc>
        <w:tc>
          <w:tcPr>
            <w:tcW w:w="1569" w:type="dxa"/>
            <w:vAlign w:val="center"/>
          </w:tcPr>
          <w:p w14:paraId="6B4B16F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AI users and primary stakeholders</w:t>
            </w:r>
          </w:p>
        </w:tc>
      </w:tr>
      <w:tr w:rsidR="00C771CC" w:rsidRPr="00A364C2" w14:paraId="782E2B13" w14:textId="77777777" w:rsidTr="006B7AD6">
        <w:trPr>
          <w:jc w:val="center"/>
        </w:trPr>
        <w:tc>
          <w:tcPr>
            <w:tcW w:w="587" w:type="dxa"/>
            <w:vAlign w:val="center"/>
          </w:tcPr>
          <w:p w14:paraId="6DFD4F0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43</w:t>
            </w:r>
          </w:p>
        </w:tc>
        <w:tc>
          <w:tcPr>
            <w:tcW w:w="2678" w:type="dxa"/>
            <w:vAlign w:val="center"/>
          </w:tcPr>
          <w:p w14:paraId="29CCEBC6"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Who Needs to Know What, When?: Broadening the Explainable AI (XAI) Design Space by Looking at Explanations Across the AI Lifecycle </w:t>
            </w:r>
            <w:r>
              <w:rPr>
                <w:rFonts w:ascii="Times New Roman" w:hAnsi="Times New Roman" w:cs="Times New Roman"/>
                <w:noProof/>
                <w:color w:val="000000" w:themeColor="text1"/>
                <w:sz w:val="18"/>
                <w:szCs w:val="18"/>
              </w:rPr>
              <w:t>[54]</w:t>
            </w:r>
          </w:p>
        </w:tc>
        <w:tc>
          <w:tcPr>
            <w:tcW w:w="2211" w:type="dxa"/>
            <w:vAlign w:val="center"/>
          </w:tcPr>
          <w:p w14:paraId="357DE21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stakeholder perspectives on AI-enabled systems</w:t>
            </w:r>
          </w:p>
        </w:tc>
        <w:tc>
          <w:tcPr>
            <w:tcW w:w="1191" w:type="dxa"/>
            <w:vAlign w:val="center"/>
          </w:tcPr>
          <w:p w14:paraId="3956AFE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Mix of industries</w:t>
            </w:r>
          </w:p>
        </w:tc>
        <w:tc>
          <w:tcPr>
            <w:tcW w:w="1159" w:type="dxa"/>
            <w:vAlign w:val="center"/>
          </w:tcPr>
          <w:p w14:paraId="4DA6B87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1000542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N/A (irrelevant for their study objective)</w:t>
            </w:r>
          </w:p>
        </w:tc>
        <w:tc>
          <w:tcPr>
            <w:tcW w:w="1632" w:type="dxa"/>
            <w:vAlign w:val="center"/>
          </w:tcPr>
          <w:p w14:paraId="77A90D3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Researchers, technical strategists, data scientists, product managers, UX designers</w:t>
            </w:r>
          </w:p>
        </w:tc>
        <w:tc>
          <w:tcPr>
            <w:tcW w:w="1574" w:type="dxa"/>
            <w:vAlign w:val="center"/>
          </w:tcPr>
          <w:p w14:paraId="2B6E02C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AI users*</w:t>
            </w:r>
          </w:p>
        </w:tc>
        <w:tc>
          <w:tcPr>
            <w:tcW w:w="1569" w:type="dxa"/>
            <w:vAlign w:val="center"/>
          </w:tcPr>
          <w:p w14:paraId="366C6A1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AI users and primary stakeholders</w:t>
            </w:r>
          </w:p>
        </w:tc>
      </w:tr>
      <w:tr w:rsidR="00C771CC" w:rsidRPr="00A364C2" w14:paraId="465A95AE" w14:textId="77777777" w:rsidTr="006B7AD6">
        <w:trPr>
          <w:jc w:val="center"/>
        </w:trPr>
        <w:tc>
          <w:tcPr>
            <w:tcW w:w="587" w:type="dxa"/>
            <w:vAlign w:val="center"/>
          </w:tcPr>
          <w:p w14:paraId="1E375F6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44</w:t>
            </w:r>
          </w:p>
        </w:tc>
        <w:tc>
          <w:tcPr>
            <w:tcW w:w="2678" w:type="dxa"/>
            <w:vAlign w:val="center"/>
          </w:tcPr>
          <w:p w14:paraId="4D52E03B"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Work with AI and Work for AI: Autonomous Vehicle Safety Drivers’ Lived Experiences </w:t>
            </w:r>
            <w:r>
              <w:rPr>
                <w:rFonts w:ascii="Times New Roman" w:hAnsi="Times New Roman" w:cs="Times New Roman"/>
                <w:noProof/>
                <w:color w:val="000000" w:themeColor="text1"/>
                <w:sz w:val="18"/>
                <w:szCs w:val="18"/>
              </w:rPr>
              <w:t>[9]</w:t>
            </w:r>
          </w:p>
        </w:tc>
        <w:tc>
          <w:tcPr>
            <w:tcW w:w="2211" w:type="dxa"/>
            <w:vAlign w:val="center"/>
          </w:tcPr>
          <w:p w14:paraId="7F71290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stakeholder perspectives on AI-enabled systems</w:t>
            </w:r>
          </w:p>
        </w:tc>
        <w:tc>
          <w:tcPr>
            <w:tcW w:w="1191" w:type="dxa"/>
            <w:vAlign w:val="center"/>
          </w:tcPr>
          <w:p w14:paraId="333FB31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Automotive</w:t>
            </w:r>
          </w:p>
        </w:tc>
        <w:tc>
          <w:tcPr>
            <w:tcW w:w="1159" w:type="dxa"/>
            <w:vAlign w:val="center"/>
          </w:tcPr>
          <w:p w14:paraId="2DC6EA4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No</w:t>
            </w:r>
          </w:p>
        </w:tc>
        <w:tc>
          <w:tcPr>
            <w:tcW w:w="1159" w:type="dxa"/>
            <w:vAlign w:val="center"/>
          </w:tcPr>
          <w:p w14:paraId="4315721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28C7ACB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Self-driving car manufacturers</w:t>
            </w:r>
          </w:p>
        </w:tc>
        <w:tc>
          <w:tcPr>
            <w:tcW w:w="1574" w:type="dxa"/>
            <w:vAlign w:val="center"/>
          </w:tcPr>
          <w:p w14:paraId="0F39845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Safety drivers*</w:t>
            </w:r>
          </w:p>
        </w:tc>
        <w:tc>
          <w:tcPr>
            <w:tcW w:w="1569" w:type="dxa"/>
            <w:vAlign w:val="center"/>
          </w:tcPr>
          <w:p w14:paraId="2C97606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Safety drivers, road users</w:t>
            </w:r>
          </w:p>
        </w:tc>
      </w:tr>
      <w:tr w:rsidR="00C771CC" w:rsidRPr="00A364C2" w14:paraId="0D33F4CC" w14:textId="77777777" w:rsidTr="006B7AD6">
        <w:trPr>
          <w:jc w:val="center"/>
        </w:trPr>
        <w:tc>
          <w:tcPr>
            <w:tcW w:w="587" w:type="dxa"/>
            <w:vAlign w:val="center"/>
          </w:tcPr>
          <w:p w14:paraId="1C2CFF8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lastRenderedPageBreak/>
              <w:t>45</w:t>
            </w:r>
          </w:p>
        </w:tc>
        <w:tc>
          <w:tcPr>
            <w:tcW w:w="2678" w:type="dxa"/>
            <w:vAlign w:val="center"/>
          </w:tcPr>
          <w:p w14:paraId="0553337D"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You Sound Depressed: A Case Study on Sonde Health’s Diagnostic Use of Voice Analysis AI </w:t>
            </w:r>
            <w:r>
              <w:rPr>
                <w:rFonts w:ascii="Times New Roman" w:hAnsi="Times New Roman" w:cs="Times New Roman"/>
                <w:noProof/>
                <w:color w:val="000000" w:themeColor="text1"/>
                <w:sz w:val="18"/>
                <w:szCs w:val="18"/>
              </w:rPr>
              <w:t>[53]</w:t>
            </w:r>
          </w:p>
        </w:tc>
        <w:tc>
          <w:tcPr>
            <w:tcW w:w="2211" w:type="dxa"/>
            <w:vAlign w:val="center"/>
          </w:tcPr>
          <w:p w14:paraId="63EAEF4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Analysis of AI-enabled systems</w:t>
            </w:r>
          </w:p>
        </w:tc>
        <w:tc>
          <w:tcPr>
            <w:tcW w:w="1191" w:type="dxa"/>
            <w:vAlign w:val="center"/>
          </w:tcPr>
          <w:p w14:paraId="46EAE28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Healthcare</w:t>
            </w:r>
          </w:p>
        </w:tc>
        <w:tc>
          <w:tcPr>
            <w:tcW w:w="1159" w:type="dxa"/>
            <w:vAlign w:val="center"/>
          </w:tcPr>
          <w:p w14:paraId="3C00CCB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159" w:type="dxa"/>
            <w:vAlign w:val="center"/>
          </w:tcPr>
          <w:p w14:paraId="05BACF3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Yes</w:t>
            </w:r>
          </w:p>
        </w:tc>
        <w:tc>
          <w:tcPr>
            <w:tcW w:w="1632" w:type="dxa"/>
            <w:vAlign w:val="center"/>
          </w:tcPr>
          <w:p w14:paraId="6AAB598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sz w:val="18"/>
                <w:szCs w:val="18"/>
              </w:rPr>
              <w:t>AI developer, AI providers</w:t>
            </w:r>
          </w:p>
        </w:tc>
        <w:tc>
          <w:tcPr>
            <w:tcW w:w="1574" w:type="dxa"/>
            <w:vAlign w:val="center"/>
          </w:tcPr>
          <w:p w14:paraId="4A974C6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Patients and potential patients*</w:t>
            </w:r>
          </w:p>
        </w:tc>
        <w:tc>
          <w:tcPr>
            <w:tcW w:w="1569" w:type="dxa"/>
            <w:vAlign w:val="center"/>
          </w:tcPr>
          <w:p w14:paraId="295A6DD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Patients and potential patients</w:t>
            </w:r>
          </w:p>
        </w:tc>
      </w:tr>
      <w:tr w:rsidR="00C771CC" w:rsidRPr="00A364C2" w14:paraId="2EFE123E" w14:textId="77777777" w:rsidTr="006B7AD6">
        <w:trPr>
          <w:jc w:val="center"/>
        </w:trPr>
        <w:tc>
          <w:tcPr>
            <w:tcW w:w="13760" w:type="dxa"/>
            <w:gridSpan w:val="9"/>
            <w:vAlign w:val="center"/>
          </w:tcPr>
          <w:p w14:paraId="1D42F1FB" w14:textId="77777777" w:rsidR="00C771CC" w:rsidRPr="00A364C2" w:rsidRDefault="00C771CC" w:rsidP="006B7AD6">
            <w:pPr>
              <w:rPr>
                <w:rFonts w:ascii="Times New Roman" w:hAnsi="Times New Roman" w:cs="Times New Roman"/>
                <w:sz w:val="18"/>
                <w:szCs w:val="18"/>
              </w:rPr>
            </w:pPr>
            <w:r w:rsidRPr="00A364C2">
              <w:rPr>
                <w:rFonts w:ascii="Times New Roman" w:hAnsi="Times New Roman" w:cs="Times New Roman"/>
                <w:sz w:val="18"/>
                <w:szCs w:val="18"/>
              </w:rPr>
              <w:t>*User stakeholders who were also the primary stakeholders (N=26 articles)</w:t>
            </w:r>
          </w:p>
          <w:p w14:paraId="2C49E2AE" w14:textId="77777777" w:rsidR="00C771CC" w:rsidRDefault="00C771CC" w:rsidP="006B7AD6">
            <w:pPr>
              <w:rPr>
                <w:rFonts w:ascii="Times New Roman" w:hAnsi="Times New Roman" w:cs="Times New Roman"/>
                <w:sz w:val="18"/>
                <w:szCs w:val="18"/>
              </w:rPr>
            </w:pPr>
            <w:r w:rsidRPr="00A364C2">
              <w:rPr>
                <w:rFonts w:ascii="Times New Roman" w:hAnsi="Times New Roman" w:cs="Times New Roman"/>
                <w:sz w:val="18"/>
                <w:szCs w:val="18"/>
              </w:rPr>
              <w:t>**Non-user stakeholders who were also the primary stakeholders (N=2 article)</w:t>
            </w:r>
          </w:p>
          <w:p w14:paraId="298A0567" w14:textId="77777777" w:rsidR="00C771CC" w:rsidRPr="00A364C2" w:rsidRDefault="00C771CC" w:rsidP="006B7AD6">
            <w:pPr>
              <w:rPr>
                <w:rFonts w:ascii="Times New Roman" w:hAnsi="Times New Roman" w:cs="Times New Roman"/>
                <w:sz w:val="18"/>
                <w:szCs w:val="18"/>
              </w:rPr>
            </w:pPr>
            <w:r w:rsidRPr="007F24C1">
              <w:rPr>
                <w:rFonts w:ascii="Times New Roman" w:hAnsi="Times New Roman" w:cs="Times New Roman"/>
                <w:color w:val="000000" w:themeColor="text1"/>
                <w:sz w:val="20"/>
                <w:szCs w:val="20"/>
                <w:vertAlign w:val="superscript"/>
              </w:rPr>
              <w:t>a</w:t>
            </w:r>
            <w:r w:rsidRPr="00047C8F">
              <w:rPr>
                <w:rFonts w:ascii="Times New Roman" w:hAnsi="Times New Roman" w:cs="Times New Roman"/>
                <w:color w:val="000000" w:themeColor="text1"/>
                <w:sz w:val="20"/>
                <w:szCs w:val="20"/>
              </w:rPr>
              <w:t xml:space="preserve">If the included articles did not </w:t>
            </w:r>
            <w:r>
              <w:rPr>
                <w:rFonts w:ascii="Times New Roman" w:hAnsi="Times New Roman" w:cs="Times New Roman"/>
                <w:color w:val="000000" w:themeColor="text1"/>
                <w:sz w:val="20"/>
                <w:szCs w:val="20"/>
              </w:rPr>
              <w:t xml:space="preserve">or partially </w:t>
            </w:r>
            <w:r w:rsidRPr="00047C8F">
              <w:rPr>
                <w:rFonts w:ascii="Times New Roman" w:hAnsi="Times New Roman" w:cs="Times New Roman"/>
                <w:color w:val="000000" w:themeColor="text1"/>
                <w:sz w:val="20"/>
                <w:szCs w:val="20"/>
              </w:rPr>
              <w:t>mention primary stakeholders, we made assumptions about who the primary stakeholders would be in their use cases.</w:t>
            </w:r>
          </w:p>
        </w:tc>
      </w:tr>
    </w:tbl>
    <w:p w14:paraId="640E957C" w14:textId="77777777" w:rsidR="00C771CC" w:rsidRPr="00A364C2" w:rsidRDefault="00C771CC" w:rsidP="00C771CC">
      <w:pPr>
        <w:rPr>
          <w:rFonts w:ascii="Times New Roman" w:hAnsi="Times New Roman" w:cs="Times New Roman"/>
          <w:color w:val="000000" w:themeColor="text1"/>
          <w:sz w:val="18"/>
          <w:szCs w:val="18"/>
        </w:rPr>
      </w:pPr>
    </w:p>
    <w:p w14:paraId="1E89A265" w14:textId="77777777" w:rsidR="00C771CC" w:rsidRPr="00A364C2" w:rsidRDefault="00C771CC" w:rsidP="00C771CC">
      <w:pPr>
        <w:rPr>
          <w:rFonts w:ascii="Times New Roman" w:hAnsi="Times New Roman" w:cs="Times New Roman"/>
          <w:color w:val="000000" w:themeColor="text1"/>
          <w:sz w:val="18"/>
          <w:szCs w:val="18"/>
        </w:rPr>
      </w:pPr>
    </w:p>
    <w:p w14:paraId="2127C932" w14:textId="77777777" w:rsidR="00C771CC" w:rsidRDefault="00C771CC" w:rsidP="00C771CC">
      <w:pPr>
        <w:rPr>
          <w:rFonts w:ascii="Times New Roman" w:hAnsi="Times New Roman" w:cs="Times New Roman"/>
          <w:color w:val="C00000"/>
          <w:sz w:val="18"/>
          <w:szCs w:val="18"/>
        </w:rPr>
      </w:pPr>
      <w:r>
        <w:rPr>
          <w:rFonts w:ascii="Times New Roman" w:hAnsi="Times New Roman" w:cs="Times New Roman"/>
          <w:color w:val="C00000"/>
          <w:sz w:val="18"/>
          <w:szCs w:val="18"/>
        </w:rPr>
        <w:br w:type="page"/>
      </w:r>
    </w:p>
    <w:p w14:paraId="0E5E481A" w14:textId="77777777" w:rsidR="00C771CC" w:rsidRPr="00A364C2" w:rsidRDefault="00C771CC" w:rsidP="00C771CC">
      <w:pPr>
        <w:rPr>
          <w:rFonts w:ascii="Times New Roman" w:hAnsi="Times New Roman" w:cs="Times New Roman"/>
          <w:color w:val="000000" w:themeColor="text1"/>
          <w:sz w:val="18"/>
          <w:szCs w:val="18"/>
        </w:rPr>
      </w:pPr>
      <w:r w:rsidRPr="00A364C2">
        <w:rPr>
          <w:rFonts w:ascii="Times New Roman" w:hAnsi="Times New Roman" w:cs="Times New Roman"/>
          <w:b/>
          <w:bCs/>
          <w:sz w:val="18"/>
          <w:szCs w:val="18"/>
        </w:rPr>
        <w:lastRenderedPageBreak/>
        <w:t>Appendix 3</w:t>
      </w:r>
      <w:r w:rsidRPr="00A364C2">
        <w:rPr>
          <w:rFonts w:ascii="Times New Roman" w:hAnsi="Times New Roman" w:cs="Times New Roman"/>
          <w:sz w:val="18"/>
          <w:szCs w:val="18"/>
        </w:rPr>
        <w:t xml:space="preserve"> T</w:t>
      </w:r>
      <w:r w:rsidRPr="00A364C2">
        <w:rPr>
          <w:rFonts w:ascii="Times New Roman" w:hAnsi="Times New Roman" w:cs="Times New Roman"/>
          <w:color w:val="000000" w:themeColor="text1"/>
          <w:sz w:val="18"/>
          <w:szCs w:val="18"/>
        </w:rPr>
        <w:t>he description of the real-world use cases and applications where AI-enabled systems or Proof of concepts (POCs) are used as extracted from our 45 included articles</w:t>
      </w:r>
    </w:p>
    <w:tbl>
      <w:tblPr>
        <w:tblStyle w:val="TableGrid"/>
        <w:tblW w:w="0" w:type="auto"/>
        <w:jc w:val="center"/>
        <w:tblLook w:val="04A0" w:firstRow="1" w:lastRow="0" w:firstColumn="1" w:lastColumn="0" w:noHBand="0" w:noVBand="1"/>
      </w:tblPr>
      <w:tblGrid>
        <w:gridCol w:w="3014"/>
        <w:gridCol w:w="4860"/>
        <w:gridCol w:w="2171"/>
        <w:gridCol w:w="1449"/>
        <w:gridCol w:w="1456"/>
      </w:tblGrid>
      <w:tr w:rsidR="00C771CC" w:rsidRPr="00A364C2" w14:paraId="3BF7DA6B" w14:textId="77777777" w:rsidTr="006B7AD6">
        <w:trPr>
          <w:trHeight w:val="896"/>
          <w:jc w:val="center"/>
        </w:trPr>
        <w:tc>
          <w:tcPr>
            <w:tcW w:w="3300" w:type="dxa"/>
            <w:vAlign w:val="center"/>
            <w:hideMark/>
          </w:tcPr>
          <w:p w14:paraId="5200C51E" w14:textId="77777777" w:rsidR="00C771CC" w:rsidRPr="00A364C2" w:rsidRDefault="00C771CC" w:rsidP="006B7AD6">
            <w:pPr>
              <w:jc w:val="center"/>
              <w:rPr>
                <w:rFonts w:ascii="Times New Roman" w:hAnsi="Times New Roman" w:cs="Times New Roman"/>
                <w:b/>
                <w:bCs/>
                <w:color w:val="000000" w:themeColor="text1"/>
                <w:sz w:val="18"/>
                <w:szCs w:val="18"/>
              </w:rPr>
            </w:pPr>
            <w:r w:rsidRPr="00A364C2">
              <w:rPr>
                <w:rFonts w:ascii="Times New Roman" w:hAnsi="Times New Roman" w:cs="Times New Roman"/>
                <w:b/>
                <w:bCs/>
                <w:color w:val="000000" w:themeColor="text1"/>
                <w:sz w:val="18"/>
                <w:szCs w:val="18"/>
              </w:rPr>
              <w:t>Title (alphabetically)</w:t>
            </w:r>
          </w:p>
        </w:tc>
        <w:tc>
          <w:tcPr>
            <w:tcW w:w="5511" w:type="dxa"/>
            <w:vAlign w:val="center"/>
            <w:hideMark/>
          </w:tcPr>
          <w:p w14:paraId="0296E82B" w14:textId="77777777" w:rsidR="00C771CC" w:rsidRPr="00A364C2" w:rsidRDefault="00C771CC" w:rsidP="006B7AD6">
            <w:pPr>
              <w:jc w:val="center"/>
              <w:rPr>
                <w:rFonts w:ascii="Times New Roman" w:hAnsi="Times New Roman" w:cs="Times New Roman"/>
                <w:b/>
                <w:bCs/>
                <w:color w:val="000000" w:themeColor="text1"/>
                <w:sz w:val="18"/>
                <w:szCs w:val="18"/>
              </w:rPr>
            </w:pPr>
            <w:r w:rsidRPr="00A364C2">
              <w:rPr>
                <w:rFonts w:ascii="Times New Roman" w:hAnsi="Times New Roman" w:cs="Times New Roman"/>
                <w:b/>
                <w:bCs/>
                <w:color w:val="000000" w:themeColor="text1"/>
                <w:sz w:val="18"/>
                <w:szCs w:val="18"/>
              </w:rPr>
              <w:t>High-level description of the AI-enabled systems or POC</w:t>
            </w:r>
          </w:p>
        </w:tc>
        <w:tc>
          <w:tcPr>
            <w:tcW w:w="2362" w:type="dxa"/>
            <w:vAlign w:val="center"/>
            <w:hideMark/>
          </w:tcPr>
          <w:p w14:paraId="72556C0C" w14:textId="77777777" w:rsidR="00C771CC" w:rsidRPr="00A364C2" w:rsidRDefault="00C771CC" w:rsidP="006B7AD6">
            <w:pPr>
              <w:jc w:val="center"/>
              <w:rPr>
                <w:rFonts w:ascii="Times New Roman" w:hAnsi="Times New Roman" w:cs="Times New Roman"/>
                <w:b/>
                <w:bCs/>
                <w:color w:val="000000" w:themeColor="text1"/>
                <w:sz w:val="18"/>
                <w:szCs w:val="18"/>
              </w:rPr>
            </w:pPr>
            <w:r w:rsidRPr="00A364C2">
              <w:rPr>
                <w:rFonts w:ascii="Times New Roman" w:hAnsi="Times New Roman" w:cs="Times New Roman"/>
                <w:b/>
                <w:bCs/>
                <w:color w:val="000000" w:themeColor="text1"/>
                <w:sz w:val="18"/>
                <w:szCs w:val="18"/>
              </w:rPr>
              <w:t>AI roles in the use case (See Table 6 for description)</w:t>
            </w:r>
          </w:p>
        </w:tc>
        <w:tc>
          <w:tcPr>
            <w:tcW w:w="1538" w:type="dxa"/>
            <w:vAlign w:val="center"/>
          </w:tcPr>
          <w:p w14:paraId="521EEB91" w14:textId="77777777" w:rsidR="00C771CC" w:rsidRPr="00A364C2" w:rsidRDefault="00C771CC" w:rsidP="006B7AD6">
            <w:pPr>
              <w:jc w:val="center"/>
              <w:rPr>
                <w:rFonts w:ascii="Times New Roman" w:hAnsi="Times New Roman" w:cs="Times New Roman"/>
                <w:b/>
                <w:bCs/>
                <w:color w:val="000000" w:themeColor="text1"/>
                <w:sz w:val="18"/>
                <w:szCs w:val="18"/>
              </w:rPr>
            </w:pPr>
            <w:r w:rsidRPr="00A364C2">
              <w:rPr>
                <w:rFonts w:ascii="Times New Roman" w:hAnsi="Times New Roman" w:cs="Times New Roman"/>
                <w:b/>
                <w:bCs/>
                <w:color w:val="000000" w:themeColor="text1"/>
                <w:sz w:val="18"/>
                <w:szCs w:val="18"/>
              </w:rPr>
              <w:t>Levels of risk associated with use of AI-enabled systems</w:t>
            </w:r>
          </w:p>
        </w:tc>
        <w:tc>
          <w:tcPr>
            <w:tcW w:w="1509" w:type="dxa"/>
            <w:vAlign w:val="center"/>
          </w:tcPr>
          <w:p w14:paraId="073FF71D" w14:textId="77777777" w:rsidR="00C771CC" w:rsidRPr="00A364C2" w:rsidRDefault="00C771CC" w:rsidP="006B7AD6">
            <w:pPr>
              <w:jc w:val="center"/>
              <w:rPr>
                <w:rFonts w:ascii="Times New Roman" w:hAnsi="Times New Roman" w:cs="Times New Roman"/>
                <w:b/>
                <w:bCs/>
                <w:color w:val="000000" w:themeColor="text1"/>
                <w:sz w:val="18"/>
                <w:szCs w:val="18"/>
              </w:rPr>
            </w:pPr>
            <w:r w:rsidRPr="00A364C2">
              <w:rPr>
                <w:rFonts w:ascii="Times New Roman" w:hAnsi="Times New Roman" w:cs="Times New Roman"/>
                <w:b/>
                <w:bCs/>
                <w:color w:val="000000" w:themeColor="text1"/>
                <w:sz w:val="18"/>
                <w:szCs w:val="18"/>
              </w:rPr>
              <w:t>AI lifecycle phases</w:t>
            </w:r>
          </w:p>
        </w:tc>
      </w:tr>
      <w:tr w:rsidR="00C771CC" w:rsidRPr="00A364C2" w14:paraId="158BB970" w14:textId="77777777" w:rsidTr="006B7AD6">
        <w:trPr>
          <w:trHeight w:val="870"/>
          <w:jc w:val="center"/>
        </w:trPr>
        <w:tc>
          <w:tcPr>
            <w:tcW w:w="3300" w:type="dxa"/>
            <w:vAlign w:val="center"/>
            <w:hideMark/>
          </w:tcPr>
          <w:p w14:paraId="2E830E45"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A Care Robot with Ethical Sensing System for Older Adults at Home </w:t>
            </w:r>
            <w:r>
              <w:rPr>
                <w:rFonts w:ascii="Times New Roman" w:hAnsi="Times New Roman" w:cs="Times New Roman"/>
                <w:noProof/>
                <w:color w:val="000000" w:themeColor="text1"/>
                <w:sz w:val="18"/>
                <w:szCs w:val="18"/>
              </w:rPr>
              <w:t>[11]</w:t>
            </w:r>
          </w:p>
        </w:tc>
        <w:tc>
          <w:tcPr>
            <w:tcW w:w="5511" w:type="dxa"/>
            <w:vAlign w:val="center"/>
            <w:hideMark/>
          </w:tcPr>
          <w:p w14:paraId="74C726E8"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care robot Dori assists older adults by detecting and recogni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ing their movements through pose sensing and offers tailored services like cognitive, emotional, and physical support, as well as medication and caregiver management for prefrail and frail elderly living at home.</w:t>
            </w:r>
          </w:p>
        </w:tc>
        <w:tc>
          <w:tcPr>
            <w:tcW w:w="2362" w:type="dxa"/>
            <w:vAlign w:val="center"/>
            <w:hideMark/>
          </w:tcPr>
          <w:p w14:paraId="172C9B2E"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Emotional AI</w:t>
            </w:r>
          </w:p>
        </w:tc>
        <w:tc>
          <w:tcPr>
            <w:tcW w:w="1538" w:type="dxa"/>
            <w:vAlign w:val="center"/>
          </w:tcPr>
          <w:p w14:paraId="2549E1CB"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1E67F76C"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Development</w:t>
            </w:r>
          </w:p>
        </w:tc>
      </w:tr>
      <w:tr w:rsidR="00C771CC" w:rsidRPr="00A364C2" w14:paraId="6EB1DBF2" w14:textId="77777777" w:rsidTr="006B7AD6">
        <w:trPr>
          <w:trHeight w:val="870"/>
          <w:jc w:val="center"/>
        </w:trPr>
        <w:tc>
          <w:tcPr>
            <w:tcW w:w="3300" w:type="dxa"/>
            <w:vAlign w:val="center"/>
          </w:tcPr>
          <w:p w14:paraId="2C55B0F1"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sz w:val="18"/>
                <w:szCs w:val="18"/>
              </w:rPr>
              <w:t xml:space="preserve">A Multi-Institutional Study Using Artificial Intelligence to Provide Reliable and Fair Feedback to Surgeons </w:t>
            </w:r>
            <w:r>
              <w:rPr>
                <w:rFonts w:ascii="Times New Roman" w:hAnsi="Times New Roman" w:cs="Times New Roman"/>
                <w:noProof/>
                <w:sz w:val="18"/>
                <w:szCs w:val="18"/>
              </w:rPr>
              <w:t>[43]</w:t>
            </w:r>
          </w:p>
        </w:tc>
        <w:tc>
          <w:tcPr>
            <w:tcW w:w="5511" w:type="dxa"/>
            <w:vAlign w:val="center"/>
          </w:tcPr>
          <w:p w14:paraId="6E71CA51"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sz w:val="18"/>
                <w:szCs w:val="18"/>
              </w:rPr>
              <w:t>This article describes SAIS (Surgical Artificial Intelligence System), an AI-enabled system designed to assess surgeon skills and provide feedback by highlighting relevant video frames, aiming to improve surgical training through reliable, fair, and comprehensible assessments based on surgical videos.</w:t>
            </w:r>
          </w:p>
        </w:tc>
        <w:tc>
          <w:tcPr>
            <w:tcW w:w="2362" w:type="dxa"/>
            <w:vAlign w:val="center"/>
          </w:tcPr>
          <w:p w14:paraId="1E6B6B2E"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sz w:val="18"/>
                <w:szCs w:val="18"/>
              </w:rPr>
              <w:t>Collaborative AI</w:t>
            </w:r>
          </w:p>
        </w:tc>
        <w:tc>
          <w:tcPr>
            <w:tcW w:w="1538" w:type="dxa"/>
            <w:vAlign w:val="center"/>
          </w:tcPr>
          <w:p w14:paraId="19FB90F7" w14:textId="77777777" w:rsidR="00C771CC" w:rsidRPr="00A364C2" w:rsidRDefault="00C771CC" w:rsidP="006B7AD6">
            <w:pPr>
              <w:jc w:val="center"/>
              <w:rPr>
                <w:rFonts w:ascii="Times New Roman" w:hAnsi="Times New Roman" w:cs="Times New Roman"/>
                <w:color w:val="000000"/>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62F5119F"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Development</w:t>
            </w:r>
          </w:p>
        </w:tc>
      </w:tr>
      <w:tr w:rsidR="00C771CC" w:rsidRPr="00A364C2" w14:paraId="6E460410" w14:textId="77777777" w:rsidTr="006B7AD6">
        <w:trPr>
          <w:trHeight w:val="870"/>
          <w:jc w:val="center"/>
        </w:trPr>
        <w:tc>
          <w:tcPr>
            <w:tcW w:w="3300" w:type="dxa"/>
            <w:vAlign w:val="center"/>
            <w:hideMark/>
          </w:tcPr>
          <w:p w14:paraId="384FD54A"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Considerations in the Reliability and Fairness Audits of Predictive Models for Advance Care Planning </w:t>
            </w:r>
            <w:r>
              <w:rPr>
                <w:rFonts w:ascii="Times New Roman" w:hAnsi="Times New Roman" w:cs="Times New Roman"/>
                <w:noProof/>
                <w:color w:val="000000" w:themeColor="text1"/>
                <w:sz w:val="18"/>
                <w:szCs w:val="18"/>
              </w:rPr>
              <w:t>[66]</w:t>
            </w:r>
          </w:p>
        </w:tc>
        <w:tc>
          <w:tcPr>
            <w:tcW w:w="5511" w:type="dxa"/>
            <w:vAlign w:val="center"/>
            <w:hideMark/>
          </w:tcPr>
          <w:p w14:paraId="69B653D1"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article is about auditing two AI models currently deployed at Stanford Health Care: The Epic end-of-life (EOL) Index model (a model that predicts risk of 12-month mortality) and Stanford HM Advance Care Planning (ACP) model (a model that predicts risk of 3–12 month mortality).</w:t>
            </w:r>
          </w:p>
        </w:tc>
        <w:tc>
          <w:tcPr>
            <w:tcW w:w="2362" w:type="dxa"/>
            <w:vAlign w:val="center"/>
            <w:hideMark/>
          </w:tcPr>
          <w:p w14:paraId="12BA7443"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160AE112"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3A6921E4"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Deployment</w:t>
            </w:r>
          </w:p>
        </w:tc>
      </w:tr>
      <w:tr w:rsidR="00C771CC" w:rsidRPr="00A364C2" w14:paraId="40448947" w14:textId="77777777" w:rsidTr="006B7AD6">
        <w:trPr>
          <w:trHeight w:val="870"/>
          <w:jc w:val="center"/>
        </w:trPr>
        <w:tc>
          <w:tcPr>
            <w:tcW w:w="3300" w:type="dxa"/>
            <w:vAlign w:val="center"/>
            <w:hideMark/>
          </w:tcPr>
          <w:p w14:paraId="0F16CAA8"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Developing an Automated Assessment of In-session Patient Activation for Psychological Therapy: Codevelopment Approach </w:t>
            </w:r>
            <w:r>
              <w:rPr>
                <w:rFonts w:ascii="Times New Roman" w:hAnsi="Times New Roman" w:cs="Times New Roman"/>
                <w:noProof/>
                <w:color w:val="000000" w:themeColor="text1"/>
                <w:sz w:val="18"/>
                <w:szCs w:val="18"/>
              </w:rPr>
              <w:t>[63]</w:t>
            </w:r>
          </w:p>
        </w:tc>
        <w:tc>
          <w:tcPr>
            <w:tcW w:w="5511" w:type="dxa"/>
            <w:vAlign w:val="center"/>
            <w:hideMark/>
          </w:tcPr>
          <w:p w14:paraId="786957C9"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AutoCISC, the AI-enabled system developed in the study, uses ML techniques to automate the evaluation of patient activation in psychological therapy sessions by rating interactions based on the consultation interactions coding scheme (CICS), enabling more systematic and cost-effective assessments compared to traditional methods.</w:t>
            </w:r>
          </w:p>
        </w:tc>
        <w:tc>
          <w:tcPr>
            <w:tcW w:w="2362" w:type="dxa"/>
            <w:vAlign w:val="center"/>
            <w:hideMark/>
          </w:tcPr>
          <w:p w14:paraId="7C59A22B"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15AF380C"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7E05D18A"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Development</w:t>
            </w:r>
          </w:p>
        </w:tc>
      </w:tr>
      <w:tr w:rsidR="00C771CC" w:rsidRPr="00A364C2" w14:paraId="1EADCB3D" w14:textId="77777777" w:rsidTr="006B7AD6">
        <w:trPr>
          <w:trHeight w:val="870"/>
          <w:jc w:val="center"/>
        </w:trPr>
        <w:tc>
          <w:tcPr>
            <w:tcW w:w="3300" w:type="dxa"/>
            <w:vAlign w:val="center"/>
            <w:hideMark/>
          </w:tcPr>
          <w:p w14:paraId="2053433C"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Engaging Multidisciplinary Clinical Users in the Design of an Artificial Intelligence-Powered Graphical User Interface for Intensive Care Unit Instability Decision Support </w:t>
            </w:r>
            <w:r>
              <w:rPr>
                <w:rFonts w:ascii="Times New Roman" w:hAnsi="Times New Roman" w:cs="Times New Roman"/>
                <w:noProof/>
                <w:color w:val="000000" w:themeColor="text1"/>
                <w:sz w:val="18"/>
                <w:szCs w:val="18"/>
              </w:rPr>
              <w:t>[61]</w:t>
            </w:r>
          </w:p>
        </w:tc>
        <w:tc>
          <w:tcPr>
            <w:tcW w:w="5511" w:type="dxa"/>
            <w:vAlign w:val="center"/>
            <w:hideMark/>
          </w:tcPr>
          <w:p w14:paraId="3547117D"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study aims to develop a graphical user interface (GUI) for presenting an AI-derived risk score in intensive care settings, engaging multidisciplinary clinicians through focus groups to ensure the GUI is transparent, interpretable, minimally disruptive, and supportive in decision-making.</w:t>
            </w:r>
          </w:p>
        </w:tc>
        <w:tc>
          <w:tcPr>
            <w:tcW w:w="2362" w:type="dxa"/>
            <w:vAlign w:val="center"/>
            <w:hideMark/>
          </w:tcPr>
          <w:p w14:paraId="0276C733"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21C49A63"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0E639DEA"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Pre-development (POC)</w:t>
            </w:r>
          </w:p>
        </w:tc>
      </w:tr>
      <w:tr w:rsidR="00C771CC" w:rsidRPr="00A364C2" w14:paraId="06BE6BBA" w14:textId="77777777" w:rsidTr="006B7AD6">
        <w:trPr>
          <w:trHeight w:val="1160"/>
          <w:jc w:val="center"/>
        </w:trPr>
        <w:tc>
          <w:tcPr>
            <w:tcW w:w="3300" w:type="dxa"/>
            <w:vAlign w:val="center"/>
            <w:hideMark/>
          </w:tcPr>
          <w:p w14:paraId="0C5AA39A"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Ethical Considerations in Implementing AI for Mortality Prediction in the Emergency Department: Linking Theory and Practice </w:t>
            </w:r>
            <w:r>
              <w:rPr>
                <w:rFonts w:ascii="Times New Roman" w:hAnsi="Times New Roman" w:cs="Times New Roman"/>
                <w:noProof/>
                <w:color w:val="000000" w:themeColor="text1"/>
                <w:sz w:val="18"/>
                <w:szCs w:val="18"/>
              </w:rPr>
              <w:t>[8]</w:t>
            </w:r>
          </w:p>
        </w:tc>
        <w:tc>
          <w:tcPr>
            <w:tcW w:w="5511" w:type="dxa"/>
            <w:vAlign w:val="center"/>
            <w:hideMark/>
          </w:tcPr>
          <w:p w14:paraId="0C430684"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study explores the ethical implications of using AI to predict patient mortality in emergency departments by engaging healthcare professionals in interviews, leading to the development of an ethical model that integrates six ethical principles (autonomy, beneficence, non-maleficence, justice, explicability, and professional governance) to guide AI implementation in healthcare settings.</w:t>
            </w:r>
          </w:p>
        </w:tc>
        <w:tc>
          <w:tcPr>
            <w:tcW w:w="2362" w:type="dxa"/>
            <w:vAlign w:val="center"/>
            <w:hideMark/>
          </w:tcPr>
          <w:p w14:paraId="025DB8F1"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608CB7DC"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1176699D"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Deployment</w:t>
            </w:r>
          </w:p>
        </w:tc>
      </w:tr>
      <w:tr w:rsidR="00C771CC" w:rsidRPr="00A364C2" w14:paraId="634A254A" w14:textId="77777777" w:rsidTr="006B7AD6">
        <w:trPr>
          <w:trHeight w:val="870"/>
          <w:jc w:val="center"/>
        </w:trPr>
        <w:tc>
          <w:tcPr>
            <w:tcW w:w="3300" w:type="dxa"/>
            <w:vAlign w:val="center"/>
            <w:hideMark/>
          </w:tcPr>
          <w:p w14:paraId="5237812E"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lastRenderedPageBreak/>
              <w:t xml:space="preserve">ProHealth eCoach: User-Centered Design and Development of an eCoach App to Promote Healthy Lifestyle with Personalized Activity Recommendations </w:t>
            </w:r>
            <w:r>
              <w:rPr>
                <w:rFonts w:ascii="Times New Roman" w:hAnsi="Times New Roman" w:cs="Times New Roman"/>
                <w:noProof/>
                <w:color w:val="000000" w:themeColor="text1"/>
                <w:sz w:val="18"/>
                <w:szCs w:val="18"/>
              </w:rPr>
              <w:t>[55]</w:t>
            </w:r>
          </w:p>
        </w:tc>
        <w:tc>
          <w:tcPr>
            <w:tcW w:w="5511" w:type="dxa"/>
            <w:vAlign w:val="center"/>
            <w:hideMark/>
          </w:tcPr>
          <w:p w14:paraId="3663ADE9"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This study describes the development of the ProHealth eCoach system, an AI-driven tool designed to promote self-management featuring a mobile app that follows "Google Material Design" guidelines, wearable technology, and web content that not only offers personali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ed lifestyle recommendations but also visuali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es data and sets activity goals.</w:t>
            </w:r>
          </w:p>
        </w:tc>
        <w:tc>
          <w:tcPr>
            <w:tcW w:w="2362" w:type="dxa"/>
            <w:vAlign w:val="center"/>
            <w:hideMark/>
          </w:tcPr>
          <w:p w14:paraId="29138236"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Emotional AI</w:t>
            </w:r>
          </w:p>
        </w:tc>
        <w:tc>
          <w:tcPr>
            <w:tcW w:w="1538" w:type="dxa"/>
            <w:vAlign w:val="center"/>
          </w:tcPr>
          <w:p w14:paraId="6C771ECA"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30E52F08"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Development</w:t>
            </w:r>
          </w:p>
        </w:tc>
      </w:tr>
      <w:tr w:rsidR="00C771CC" w:rsidRPr="00A364C2" w14:paraId="5E15DD54" w14:textId="77777777" w:rsidTr="006B7AD6">
        <w:trPr>
          <w:trHeight w:val="870"/>
          <w:jc w:val="center"/>
        </w:trPr>
        <w:tc>
          <w:tcPr>
            <w:tcW w:w="3300" w:type="dxa"/>
            <w:vAlign w:val="center"/>
            <w:hideMark/>
          </w:tcPr>
          <w:p w14:paraId="2E856A7D"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Smartphone Applications for Triaging Adults with Skin Lesions that are Suspicious for Melanoma </w:t>
            </w:r>
            <w:r>
              <w:rPr>
                <w:rFonts w:ascii="Times New Roman" w:hAnsi="Times New Roman" w:cs="Times New Roman"/>
                <w:noProof/>
                <w:color w:val="000000" w:themeColor="text1"/>
                <w:sz w:val="18"/>
                <w:szCs w:val="18"/>
              </w:rPr>
              <w:t>[70]</w:t>
            </w:r>
          </w:p>
        </w:tc>
        <w:tc>
          <w:tcPr>
            <w:tcW w:w="5511" w:type="dxa"/>
            <w:vAlign w:val="center"/>
            <w:hideMark/>
          </w:tcPr>
          <w:p w14:paraId="4F5318BF"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article assesses the accuracy of smartphone applications in diagnosing melanoma, finding that AI-based apps often miss melanomas, whereas apps that send images to dermatologists show potential but have high failure rates, highlighting the need for advancements in this rapidly evolving technology.</w:t>
            </w:r>
          </w:p>
        </w:tc>
        <w:tc>
          <w:tcPr>
            <w:tcW w:w="2362" w:type="dxa"/>
            <w:vAlign w:val="center"/>
            <w:hideMark/>
          </w:tcPr>
          <w:p w14:paraId="41E94156"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2C7C53F0"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38ACF3E8"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r w:rsidR="00C771CC" w:rsidRPr="00A364C2" w14:paraId="62CC8835" w14:textId="77777777" w:rsidTr="006B7AD6">
        <w:trPr>
          <w:trHeight w:val="870"/>
          <w:jc w:val="center"/>
        </w:trPr>
        <w:tc>
          <w:tcPr>
            <w:tcW w:w="3300" w:type="dxa"/>
            <w:vAlign w:val="center"/>
            <w:hideMark/>
          </w:tcPr>
          <w:p w14:paraId="07D8B563"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The Application of the Principles of Responsible AI on Social Media Marketing for Digital Health </w:t>
            </w:r>
            <w:r>
              <w:rPr>
                <w:rFonts w:ascii="Times New Roman" w:hAnsi="Times New Roman" w:cs="Times New Roman"/>
                <w:noProof/>
                <w:color w:val="000000" w:themeColor="text1"/>
                <w:sz w:val="18"/>
                <w:szCs w:val="18"/>
              </w:rPr>
              <w:t>[47]</w:t>
            </w:r>
          </w:p>
        </w:tc>
        <w:tc>
          <w:tcPr>
            <w:tcW w:w="5511" w:type="dxa"/>
            <w:vAlign w:val="center"/>
            <w:hideMark/>
          </w:tcPr>
          <w:p w14:paraId="1FB35096"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This study examines how AI-powered social media (i.e., Weibo, WeChat) enhances healthcare communication and marketing, analysing interviews with healthcare professionals to assess the impact of responsible AI practices, highlighting benefits and addressing ethical concerns to foster trust and privacy.</w:t>
            </w:r>
          </w:p>
        </w:tc>
        <w:tc>
          <w:tcPr>
            <w:tcW w:w="2362" w:type="dxa"/>
            <w:vAlign w:val="center"/>
            <w:hideMark/>
          </w:tcPr>
          <w:p w14:paraId="3D27581E"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Human-controlled AI</w:t>
            </w:r>
          </w:p>
        </w:tc>
        <w:tc>
          <w:tcPr>
            <w:tcW w:w="1538" w:type="dxa"/>
            <w:vAlign w:val="center"/>
          </w:tcPr>
          <w:p w14:paraId="296C57A2"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3C6AA86F"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Deployment</w:t>
            </w:r>
          </w:p>
        </w:tc>
      </w:tr>
      <w:tr w:rsidR="00C771CC" w:rsidRPr="00A364C2" w14:paraId="156098B1" w14:textId="77777777" w:rsidTr="006B7AD6">
        <w:trPr>
          <w:trHeight w:val="870"/>
          <w:jc w:val="center"/>
        </w:trPr>
        <w:tc>
          <w:tcPr>
            <w:tcW w:w="3300" w:type="dxa"/>
            <w:vAlign w:val="center"/>
            <w:hideMark/>
          </w:tcPr>
          <w:p w14:paraId="5B9249F2"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The Participatory Value-Sensitive Design (VSD) of a mHealth App Targeting Citizens with Dementia in a Danish Municipality </w:t>
            </w:r>
            <w:r>
              <w:rPr>
                <w:rFonts w:ascii="Times New Roman" w:hAnsi="Times New Roman" w:cs="Times New Roman"/>
                <w:noProof/>
                <w:color w:val="000000" w:themeColor="text1"/>
                <w:sz w:val="18"/>
                <w:szCs w:val="18"/>
              </w:rPr>
              <w:t>[36]</w:t>
            </w:r>
          </w:p>
        </w:tc>
        <w:tc>
          <w:tcPr>
            <w:tcW w:w="5511" w:type="dxa"/>
            <w:vAlign w:val="center"/>
            <w:hideMark/>
          </w:tcPr>
          <w:p w14:paraId="162BA9F3"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abstract describes the "Sammen Om Demens" project, where an AI-based smartphone app for dementia was developed using a participatory, Value-Sensitive Design process that resolved ethical dilemmas by incorporating diverse stakeholder values, resulting in an ethical, efficient, and democratic tool that aligns technological innovation with human values.</w:t>
            </w:r>
          </w:p>
        </w:tc>
        <w:tc>
          <w:tcPr>
            <w:tcW w:w="2362" w:type="dxa"/>
            <w:vAlign w:val="center"/>
            <w:hideMark/>
          </w:tcPr>
          <w:p w14:paraId="24238B5F"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Human-controlled AI</w:t>
            </w:r>
          </w:p>
        </w:tc>
        <w:tc>
          <w:tcPr>
            <w:tcW w:w="1538" w:type="dxa"/>
            <w:vAlign w:val="center"/>
          </w:tcPr>
          <w:p w14:paraId="02A688EB"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49DF44D6"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Pre-development (POC)</w:t>
            </w:r>
          </w:p>
        </w:tc>
      </w:tr>
      <w:tr w:rsidR="00C771CC" w:rsidRPr="00A364C2" w14:paraId="7F81DBDC" w14:textId="77777777" w:rsidTr="006B7AD6">
        <w:trPr>
          <w:trHeight w:val="870"/>
          <w:jc w:val="center"/>
        </w:trPr>
        <w:tc>
          <w:tcPr>
            <w:tcW w:w="3300" w:type="dxa"/>
            <w:vAlign w:val="center"/>
            <w:hideMark/>
          </w:tcPr>
          <w:p w14:paraId="35CE8BB4"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Utilization of Self-Diagnosis Health Chatbots in Real-World Settings: Case Study </w:t>
            </w:r>
            <w:r>
              <w:rPr>
                <w:rFonts w:ascii="Times New Roman" w:hAnsi="Times New Roman" w:cs="Times New Roman"/>
                <w:noProof/>
                <w:color w:val="000000" w:themeColor="text1"/>
                <w:sz w:val="18"/>
                <w:szCs w:val="18"/>
              </w:rPr>
              <w:t>[12]</w:t>
            </w:r>
          </w:p>
        </w:tc>
        <w:tc>
          <w:tcPr>
            <w:tcW w:w="5511" w:type="dxa"/>
            <w:vAlign w:val="center"/>
            <w:hideMark/>
          </w:tcPr>
          <w:p w14:paraId="4FD24438"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AI-enabled system, DoctorBot, is a health chatbot designed to enhance patient-centred care by providing diagnostic suggestions and collecting feedback, aiming to offer accessible medical consultations and improve user experience by making the chatbot more informative, user-friendly, and trustworthy.</w:t>
            </w:r>
          </w:p>
        </w:tc>
        <w:tc>
          <w:tcPr>
            <w:tcW w:w="2362" w:type="dxa"/>
            <w:vAlign w:val="center"/>
            <w:hideMark/>
          </w:tcPr>
          <w:p w14:paraId="508FEB4A"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3C4252A5"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576958D6"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r w:rsidR="00C771CC" w:rsidRPr="00A364C2" w14:paraId="221BD942" w14:textId="77777777" w:rsidTr="006B7AD6">
        <w:trPr>
          <w:trHeight w:val="870"/>
          <w:jc w:val="center"/>
        </w:trPr>
        <w:tc>
          <w:tcPr>
            <w:tcW w:w="3300" w:type="dxa"/>
            <w:vAlign w:val="center"/>
            <w:hideMark/>
          </w:tcPr>
          <w:p w14:paraId="33DC8A1F"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A Sector-Based Approach to AI ethics: Understanding Ethical Issues of AI-related Incidents within Their Sectoral context </w:t>
            </w:r>
            <w:r>
              <w:rPr>
                <w:rFonts w:ascii="Times New Roman" w:hAnsi="Times New Roman" w:cs="Times New Roman"/>
                <w:noProof/>
                <w:color w:val="000000" w:themeColor="text1"/>
                <w:sz w:val="18"/>
                <w:szCs w:val="18"/>
              </w:rPr>
              <w:t>[31]</w:t>
            </w:r>
          </w:p>
        </w:tc>
        <w:tc>
          <w:tcPr>
            <w:tcW w:w="5511" w:type="dxa"/>
            <w:vAlign w:val="center"/>
            <w:hideMark/>
          </w:tcPr>
          <w:p w14:paraId="2EABA333"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"AIAAIC repository" is used to analyse AI-related incidents across various sectors by conducting qualitative content analysis on media reports, helping identify breaches in ethical principles such as accuracy, bias, and privacy, and understanding the specific ethical issues and consequences within each sector.</w:t>
            </w:r>
          </w:p>
        </w:tc>
        <w:tc>
          <w:tcPr>
            <w:tcW w:w="2362" w:type="dxa"/>
            <w:vAlign w:val="center"/>
            <w:hideMark/>
          </w:tcPr>
          <w:p w14:paraId="09A0B080"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Mix roles</w:t>
            </w:r>
          </w:p>
        </w:tc>
        <w:tc>
          <w:tcPr>
            <w:tcW w:w="1538" w:type="dxa"/>
            <w:vAlign w:val="center"/>
          </w:tcPr>
          <w:p w14:paraId="749FD139"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Unclear</w:t>
            </w:r>
          </w:p>
        </w:tc>
        <w:tc>
          <w:tcPr>
            <w:tcW w:w="1509" w:type="dxa"/>
            <w:vAlign w:val="center"/>
          </w:tcPr>
          <w:p w14:paraId="322A76C9"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Deployment</w:t>
            </w:r>
          </w:p>
        </w:tc>
      </w:tr>
      <w:tr w:rsidR="00C771CC" w:rsidRPr="00A364C2" w14:paraId="7201C8AB" w14:textId="77777777" w:rsidTr="006B7AD6">
        <w:trPr>
          <w:trHeight w:val="1160"/>
          <w:jc w:val="center"/>
        </w:trPr>
        <w:tc>
          <w:tcPr>
            <w:tcW w:w="3300" w:type="dxa"/>
            <w:vAlign w:val="center"/>
            <w:hideMark/>
          </w:tcPr>
          <w:p w14:paraId="216A8375"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Algorithmic Hiring in Practice: Recruiter and HR Professional's Perspectives on AI Use in Hiring </w:t>
            </w:r>
            <w:r>
              <w:rPr>
                <w:rFonts w:ascii="Times New Roman" w:hAnsi="Times New Roman" w:cs="Times New Roman"/>
                <w:noProof/>
                <w:color w:val="000000" w:themeColor="text1"/>
                <w:sz w:val="18"/>
                <w:szCs w:val="18"/>
              </w:rPr>
              <w:t>[42]</w:t>
            </w:r>
          </w:p>
        </w:tc>
        <w:tc>
          <w:tcPr>
            <w:tcW w:w="5511" w:type="dxa"/>
            <w:vAlign w:val="center"/>
            <w:hideMark/>
          </w:tcPr>
          <w:p w14:paraId="0E41E81D"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study explores how AI-enabled hiring software affects HR practices, discussing different types such as candidate recommender guides, task-based, video-based, and game-based assessments (e.g., HireVue, Hiretual, LinkedIn, HiredScore), and highlights its efficiency in processing diverse candidate data, yet notes industry-specific implementation and concerns over data accuracy and algorithm control, which influences the adoption and impact within organi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ations.</w:t>
            </w:r>
          </w:p>
        </w:tc>
        <w:tc>
          <w:tcPr>
            <w:tcW w:w="2362" w:type="dxa"/>
            <w:vAlign w:val="center"/>
            <w:hideMark/>
          </w:tcPr>
          <w:p w14:paraId="11725464"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6A1C281D"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553BCBAF"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Deployment</w:t>
            </w:r>
          </w:p>
        </w:tc>
      </w:tr>
      <w:tr w:rsidR="00C771CC" w:rsidRPr="00A364C2" w14:paraId="117F2085" w14:textId="77777777" w:rsidTr="006B7AD6">
        <w:trPr>
          <w:trHeight w:val="870"/>
          <w:jc w:val="center"/>
        </w:trPr>
        <w:tc>
          <w:tcPr>
            <w:tcW w:w="3300" w:type="dxa"/>
            <w:vAlign w:val="center"/>
            <w:hideMark/>
          </w:tcPr>
          <w:p w14:paraId="497C4EFE"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lastRenderedPageBreak/>
              <w:t xml:space="preserve">FATE in AI: Towards Algorithmic Inclusivity and Accessibility </w:t>
            </w:r>
            <w:r>
              <w:rPr>
                <w:rFonts w:ascii="Times New Roman" w:hAnsi="Times New Roman" w:cs="Times New Roman"/>
                <w:noProof/>
                <w:color w:val="000000" w:themeColor="text1"/>
                <w:sz w:val="18"/>
                <w:szCs w:val="18"/>
              </w:rPr>
              <w:t>[51]</w:t>
            </w:r>
          </w:p>
        </w:tc>
        <w:tc>
          <w:tcPr>
            <w:tcW w:w="5511" w:type="dxa"/>
            <w:vAlign w:val="center"/>
            <w:hideMark/>
          </w:tcPr>
          <w:p w14:paraId="40EF3E50"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paper explores AI models in online ad customi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ation, assessing fairness, accountability, transparency, and ethics (FATE) through user studies and participatory sessions, and proposes community-led data curation for responsible AI development and context-specific recommendations.</w:t>
            </w:r>
          </w:p>
        </w:tc>
        <w:tc>
          <w:tcPr>
            <w:tcW w:w="2362" w:type="dxa"/>
            <w:vAlign w:val="center"/>
            <w:hideMark/>
          </w:tcPr>
          <w:p w14:paraId="35366D50"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Human-controlled AI</w:t>
            </w:r>
          </w:p>
        </w:tc>
        <w:tc>
          <w:tcPr>
            <w:tcW w:w="1538" w:type="dxa"/>
            <w:vAlign w:val="center"/>
          </w:tcPr>
          <w:p w14:paraId="040C5F45"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Minimal risk</w:t>
            </w:r>
          </w:p>
        </w:tc>
        <w:tc>
          <w:tcPr>
            <w:tcW w:w="1509" w:type="dxa"/>
            <w:vAlign w:val="center"/>
          </w:tcPr>
          <w:p w14:paraId="69AF9F4C"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Deployment</w:t>
            </w:r>
          </w:p>
        </w:tc>
      </w:tr>
      <w:tr w:rsidR="00C771CC" w:rsidRPr="00A364C2" w14:paraId="3807C596" w14:textId="77777777" w:rsidTr="006B7AD6">
        <w:trPr>
          <w:trHeight w:val="870"/>
          <w:jc w:val="center"/>
        </w:trPr>
        <w:tc>
          <w:tcPr>
            <w:tcW w:w="3300" w:type="dxa"/>
            <w:vAlign w:val="center"/>
            <w:hideMark/>
          </w:tcPr>
          <w:p w14:paraId="550F5619"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Ground Truth or Dare: Factors Affecting the Creation Of Medical Datasets For Training AI </w:t>
            </w:r>
            <w:r>
              <w:rPr>
                <w:rFonts w:ascii="Times New Roman" w:hAnsi="Times New Roman" w:cs="Times New Roman"/>
                <w:noProof/>
                <w:color w:val="000000" w:themeColor="text1"/>
                <w:sz w:val="18"/>
                <w:szCs w:val="18"/>
              </w:rPr>
              <w:t>[38]</w:t>
            </w:r>
          </w:p>
        </w:tc>
        <w:tc>
          <w:tcPr>
            <w:tcW w:w="5511" w:type="dxa"/>
            <w:vAlign w:val="center"/>
            <w:hideMark/>
          </w:tcPr>
          <w:p w14:paraId="4866D75F"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article does not describe a specific AI-enabled system but provides insights into the preparatory phases of medical dataset creation for AI training, detailing interviews with stakeholders like data scientists and radiologists to investigate factors influencing dataset creation and emphasi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ing responsible data creation approaches in the "pre-development" stages of AI applications.</w:t>
            </w:r>
          </w:p>
        </w:tc>
        <w:tc>
          <w:tcPr>
            <w:tcW w:w="2362" w:type="dxa"/>
            <w:vAlign w:val="center"/>
            <w:hideMark/>
          </w:tcPr>
          <w:p w14:paraId="2C612CA2"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Mix roles</w:t>
            </w:r>
          </w:p>
        </w:tc>
        <w:tc>
          <w:tcPr>
            <w:tcW w:w="1538" w:type="dxa"/>
            <w:vAlign w:val="center"/>
          </w:tcPr>
          <w:p w14:paraId="26FA0384"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Unclear</w:t>
            </w:r>
          </w:p>
        </w:tc>
        <w:tc>
          <w:tcPr>
            <w:tcW w:w="1509" w:type="dxa"/>
            <w:vAlign w:val="center"/>
          </w:tcPr>
          <w:p w14:paraId="6065AF6D"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Pre-development (POC)</w:t>
            </w:r>
          </w:p>
        </w:tc>
      </w:tr>
      <w:tr w:rsidR="00C771CC" w:rsidRPr="00A364C2" w14:paraId="68278BAB" w14:textId="77777777" w:rsidTr="006B7AD6">
        <w:trPr>
          <w:trHeight w:val="870"/>
          <w:jc w:val="center"/>
        </w:trPr>
        <w:tc>
          <w:tcPr>
            <w:tcW w:w="3300" w:type="dxa"/>
            <w:vAlign w:val="center"/>
            <w:hideMark/>
          </w:tcPr>
          <w:p w14:paraId="1D33CEEE"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Human-Centered AI Design in Reality: A Study of Developer Companies’ Practices </w:t>
            </w:r>
            <w:r>
              <w:rPr>
                <w:rFonts w:ascii="Times New Roman" w:hAnsi="Times New Roman" w:cs="Times New Roman"/>
                <w:noProof/>
                <w:color w:val="000000" w:themeColor="text1"/>
                <w:sz w:val="18"/>
                <w:szCs w:val="18"/>
              </w:rPr>
              <w:t>[46]</w:t>
            </w:r>
          </w:p>
        </w:tc>
        <w:tc>
          <w:tcPr>
            <w:tcW w:w="5511" w:type="dxa"/>
            <w:vAlign w:val="center"/>
            <w:hideMark/>
          </w:tcPr>
          <w:p w14:paraId="67964638"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This study explores the application of Human-Centered AI (HCAI) principles in early AI development stages through interviews with practitioners from AI developer companies, uncovering challenges such as detachment from technical development, client-driven user requirements, AI's uncertain nature, and a lack of value-based understanding.</w:t>
            </w:r>
          </w:p>
        </w:tc>
        <w:tc>
          <w:tcPr>
            <w:tcW w:w="2362" w:type="dxa"/>
            <w:vAlign w:val="center"/>
            <w:hideMark/>
          </w:tcPr>
          <w:p w14:paraId="0B10B04F"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Mix roles</w:t>
            </w:r>
          </w:p>
        </w:tc>
        <w:tc>
          <w:tcPr>
            <w:tcW w:w="1538" w:type="dxa"/>
            <w:vAlign w:val="center"/>
          </w:tcPr>
          <w:p w14:paraId="1A4871A3"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Unclear</w:t>
            </w:r>
          </w:p>
        </w:tc>
        <w:tc>
          <w:tcPr>
            <w:tcW w:w="1509" w:type="dxa"/>
            <w:vAlign w:val="center"/>
          </w:tcPr>
          <w:p w14:paraId="683C30C3"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Development</w:t>
            </w:r>
          </w:p>
        </w:tc>
      </w:tr>
      <w:tr w:rsidR="00C771CC" w:rsidRPr="00A364C2" w14:paraId="2FFC3DC6" w14:textId="77777777" w:rsidTr="006B7AD6">
        <w:trPr>
          <w:trHeight w:val="870"/>
          <w:jc w:val="center"/>
        </w:trPr>
        <w:tc>
          <w:tcPr>
            <w:tcW w:w="3300" w:type="dxa"/>
            <w:vAlign w:val="center"/>
            <w:hideMark/>
          </w:tcPr>
          <w:p w14:paraId="50260F5D"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Improving the Accuracy and Transparency of Underwriting with Artificial Intelligence to Transform the Life-Insurance Industry </w:t>
            </w:r>
            <w:r>
              <w:rPr>
                <w:rFonts w:ascii="Times New Roman" w:hAnsi="Times New Roman" w:cs="Times New Roman"/>
                <w:noProof/>
                <w:color w:val="000000" w:themeColor="text1"/>
                <w:sz w:val="18"/>
                <w:szCs w:val="18"/>
              </w:rPr>
              <w:t>[7]</w:t>
            </w:r>
          </w:p>
        </w:tc>
        <w:tc>
          <w:tcPr>
            <w:tcW w:w="5511" w:type="dxa"/>
            <w:vAlign w:val="center"/>
            <w:hideMark/>
          </w:tcPr>
          <w:p w14:paraId="5F28405E"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AI-enabled system in the use case is a mortality model developed by MassMutual that generates a "life score," intended to enhance the accuracy and efficiency of life insurance underwriting by using large datasets and a responsible AI framework to predict mortality risk more effectively, employing the Shapley Additive Explanation (SHAP) framework to increase transparency.</w:t>
            </w:r>
          </w:p>
        </w:tc>
        <w:tc>
          <w:tcPr>
            <w:tcW w:w="2362" w:type="dxa"/>
            <w:vAlign w:val="center"/>
            <w:hideMark/>
          </w:tcPr>
          <w:p w14:paraId="263A5155"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264EF509"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3E1B14DD"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r w:rsidR="00C771CC" w:rsidRPr="00A364C2" w14:paraId="2003BB0C" w14:textId="77777777" w:rsidTr="006B7AD6">
        <w:trPr>
          <w:trHeight w:val="870"/>
          <w:jc w:val="center"/>
        </w:trPr>
        <w:tc>
          <w:tcPr>
            <w:tcW w:w="3300" w:type="dxa"/>
            <w:vAlign w:val="center"/>
            <w:hideMark/>
          </w:tcPr>
          <w:p w14:paraId="7ADAA673"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Integration of the Vision of People with Diabetes into the Development Process to Improve Self-management via Diabetes Apps: Qualitative Interview Study </w:t>
            </w:r>
            <w:r>
              <w:rPr>
                <w:rFonts w:ascii="Times New Roman" w:hAnsi="Times New Roman" w:cs="Times New Roman"/>
                <w:noProof/>
                <w:color w:val="000000" w:themeColor="text1"/>
                <w:sz w:val="18"/>
                <w:szCs w:val="18"/>
              </w:rPr>
              <w:t>[62]</w:t>
            </w:r>
          </w:p>
        </w:tc>
        <w:tc>
          <w:tcPr>
            <w:tcW w:w="5511" w:type="dxa"/>
            <w:vAlign w:val="center"/>
            <w:hideMark/>
          </w:tcPr>
          <w:p w14:paraId="31307B98"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envisioned AI-enabled system could ideally help patients predict blood glucose levels through algorithms, and embedding an AI into an app could help improve self-management of various daily activities.</w:t>
            </w:r>
          </w:p>
        </w:tc>
        <w:tc>
          <w:tcPr>
            <w:tcW w:w="2362" w:type="dxa"/>
            <w:vAlign w:val="center"/>
            <w:hideMark/>
          </w:tcPr>
          <w:p w14:paraId="2C024CC3"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6F47A6CF"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2AD74877"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r w:rsidR="00C771CC" w:rsidRPr="00A364C2" w14:paraId="2EFAEF3D" w14:textId="77777777" w:rsidTr="006B7AD6">
        <w:trPr>
          <w:trHeight w:val="1160"/>
          <w:jc w:val="center"/>
        </w:trPr>
        <w:tc>
          <w:tcPr>
            <w:tcW w:w="3300" w:type="dxa"/>
            <w:vAlign w:val="center"/>
            <w:hideMark/>
          </w:tcPr>
          <w:p w14:paraId="4A2B8F94"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Investigating How Practitioners Use Human-AI Guidelines: A Case Study on the People + AI Guidebook </w:t>
            </w:r>
            <w:r>
              <w:rPr>
                <w:rFonts w:ascii="Times New Roman" w:hAnsi="Times New Roman" w:cs="Times New Roman"/>
                <w:noProof/>
                <w:color w:val="000000" w:themeColor="text1"/>
                <w:sz w:val="18"/>
                <w:szCs w:val="18"/>
              </w:rPr>
              <w:t>[59]</w:t>
            </w:r>
          </w:p>
        </w:tc>
        <w:tc>
          <w:tcPr>
            <w:tcW w:w="5511" w:type="dxa"/>
            <w:vAlign w:val="center"/>
            <w:hideMark/>
          </w:tcPr>
          <w:p w14:paraId="043000E7"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article examines how industry practitioners use human-AI guidelines in their design practices, revealing their use not only for addressing AI design challenges but also for education, resource development, cross-functional communication, and team buy-in, while identifying a need for enhanced support in early ideation and problem formulation to better prevent AI product failures and improve guideline effectiveness in early product development stages.</w:t>
            </w:r>
          </w:p>
        </w:tc>
        <w:tc>
          <w:tcPr>
            <w:tcW w:w="2362" w:type="dxa"/>
            <w:vAlign w:val="center"/>
            <w:hideMark/>
          </w:tcPr>
          <w:p w14:paraId="409F531E"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Mix roles</w:t>
            </w:r>
          </w:p>
        </w:tc>
        <w:tc>
          <w:tcPr>
            <w:tcW w:w="1538" w:type="dxa"/>
            <w:vAlign w:val="center"/>
          </w:tcPr>
          <w:p w14:paraId="3B447E64"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4DB189A9"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Development </w:t>
            </w:r>
          </w:p>
        </w:tc>
      </w:tr>
      <w:tr w:rsidR="00C771CC" w:rsidRPr="00A364C2" w14:paraId="185FBA35" w14:textId="77777777" w:rsidTr="006B7AD6">
        <w:trPr>
          <w:trHeight w:val="870"/>
          <w:jc w:val="center"/>
        </w:trPr>
        <w:tc>
          <w:tcPr>
            <w:tcW w:w="3300" w:type="dxa"/>
            <w:vAlign w:val="center"/>
            <w:hideMark/>
          </w:tcPr>
          <w:p w14:paraId="6BB8BEA4"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Large Language Models for Therapy Recommendations Across 3 Clinical Specialties: Comparative Study </w:t>
            </w:r>
            <w:r>
              <w:rPr>
                <w:rFonts w:ascii="Times New Roman" w:hAnsi="Times New Roman" w:cs="Times New Roman"/>
                <w:noProof/>
                <w:color w:val="000000" w:themeColor="text1"/>
                <w:sz w:val="18"/>
                <w:szCs w:val="18"/>
              </w:rPr>
              <w:t>[34]</w:t>
            </w:r>
          </w:p>
        </w:tc>
        <w:tc>
          <w:tcPr>
            <w:tcW w:w="5511" w:type="dxa"/>
            <w:vAlign w:val="center"/>
            <w:hideMark/>
          </w:tcPr>
          <w:p w14:paraId="29767E5C"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The AI-enabled systems in the use case (LLMs like Claude-instant-v1.0, GPT-3.5-Turbo, Command-xlarge-nightly, and Bloomz) are intended to generate medical therapy recommendations for specialties such as ophthalmology, orthopaedics, and dermatology, aiming to provide accurate, </w:t>
            </w:r>
            <w:r w:rsidRPr="00A364C2">
              <w:rPr>
                <w:rFonts w:ascii="Times New Roman" w:hAnsi="Times New Roman" w:cs="Times New Roman"/>
                <w:color w:val="000000" w:themeColor="text1"/>
                <w:sz w:val="18"/>
                <w:szCs w:val="18"/>
              </w:rPr>
              <w:lastRenderedPageBreak/>
              <w:t>reliable medical advice and improve healthcare efficiency and accessibility.</w:t>
            </w:r>
          </w:p>
        </w:tc>
        <w:tc>
          <w:tcPr>
            <w:tcW w:w="2362" w:type="dxa"/>
            <w:vAlign w:val="center"/>
            <w:hideMark/>
          </w:tcPr>
          <w:p w14:paraId="41DA4EBD"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lastRenderedPageBreak/>
              <w:t>AI-assisted decision making</w:t>
            </w:r>
          </w:p>
        </w:tc>
        <w:tc>
          <w:tcPr>
            <w:tcW w:w="1538" w:type="dxa"/>
            <w:vAlign w:val="center"/>
          </w:tcPr>
          <w:p w14:paraId="6F0B6ECA"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24A63C30"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Development</w:t>
            </w:r>
          </w:p>
        </w:tc>
      </w:tr>
      <w:tr w:rsidR="00C771CC" w:rsidRPr="00A364C2" w14:paraId="4C8B621F" w14:textId="77777777" w:rsidTr="006B7AD6">
        <w:trPr>
          <w:trHeight w:val="870"/>
          <w:jc w:val="center"/>
        </w:trPr>
        <w:tc>
          <w:tcPr>
            <w:tcW w:w="3300" w:type="dxa"/>
            <w:vAlign w:val="center"/>
            <w:hideMark/>
          </w:tcPr>
          <w:p w14:paraId="2B7742A5"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Lessons Learned from Problem Gambling Classification: Indirect Discrimination and Algorithmic Fairness </w:t>
            </w:r>
            <w:r>
              <w:rPr>
                <w:rFonts w:ascii="Times New Roman" w:hAnsi="Times New Roman" w:cs="Times New Roman"/>
                <w:noProof/>
                <w:color w:val="000000" w:themeColor="text1"/>
                <w:sz w:val="18"/>
                <w:szCs w:val="18"/>
              </w:rPr>
              <w:t>[44]</w:t>
            </w:r>
          </w:p>
        </w:tc>
        <w:tc>
          <w:tcPr>
            <w:tcW w:w="5511" w:type="dxa"/>
            <w:vAlign w:val="center"/>
            <w:hideMark/>
          </w:tcPr>
          <w:p w14:paraId="1944810C"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AI-enabled system developed by Playtech uses AI to identify online players at risk of problem gambling; designed to be gender-blind to avoid discrimination, the study also explores integrating gender data only during training through separate models for different genders combined into an ensemble, enhancing fairness and accuracy while maintaining privacy.</w:t>
            </w:r>
          </w:p>
        </w:tc>
        <w:tc>
          <w:tcPr>
            <w:tcW w:w="2362" w:type="dxa"/>
            <w:vAlign w:val="center"/>
            <w:hideMark/>
          </w:tcPr>
          <w:p w14:paraId="74175950"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3ECA357E"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6E72FE1C"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r w:rsidR="00C771CC" w:rsidRPr="00A364C2" w14:paraId="46D9618F" w14:textId="77777777" w:rsidTr="006B7AD6">
        <w:trPr>
          <w:trHeight w:val="870"/>
          <w:jc w:val="center"/>
        </w:trPr>
        <w:tc>
          <w:tcPr>
            <w:tcW w:w="3300" w:type="dxa"/>
            <w:vAlign w:val="center"/>
            <w:hideMark/>
          </w:tcPr>
          <w:p w14:paraId="1A40131C"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One Size Does Not Fit All: Participants' Experiences of the SelfBACK App to Support Self-Management of Low Back Pain-A Qualitative Interview Study </w:t>
            </w:r>
            <w:r>
              <w:rPr>
                <w:rFonts w:ascii="Times New Roman" w:hAnsi="Times New Roman" w:cs="Times New Roman"/>
                <w:noProof/>
                <w:color w:val="000000" w:themeColor="text1"/>
                <w:sz w:val="18"/>
                <w:szCs w:val="18"/>
              </w:rPr>
              <w:t>[60]</w:t>
            </w:r>
          </w:p>
        </w:tc>
        <w:tc>
          <w:tcPr>
            <w:tcW w:w="5511" w:type="dxa"/>
            <w:vAlign w:val="center"/>
            <w:hideMark/>
          </w:tcPr>
          <w:p w14:paraId="2729D677"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study explores the implementation of the selfBACK app, an AI-driven digital tool for self-managing low back pain (LBP), using interviews and Normali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ation Process Theory to understand user engagement and satisfaction, highlighting both the facilitating and impeding factors affecting its use and effectiveness.</w:t>
            </w:r>
          </w:p>
        </w:tc>
        <w:tc>
          <w:tcPr>
            <w:tcW w:w="2362" w:type="dxa"/>
            <w:vAlign w:val="center"/>
            <w:hideMark/>
          </w:tcPr>
          <w:p w14:paraId="0B155D0A"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Human controlled AI</w:t>
            </w:r>
          </w:p>
        </w:tc>
        <w:tc>
          <w:tcPr>
            <w:tcW w:w="1538" w:type="dxa"/>
            <w:vAlign w:val="center"/>
          </w:tcPr>
          <w:p w14:paraId="4D9EF8E3"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66BEF567"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r w:rsidR="00C771CC" w:rsidRPr="00A364C2" w14:paraId="55E058BA" w14:textId="77777777" w:rsidTr="006B7AD6">
        <w:trPr>
          <w:trHeight w:val="1160"/>
          <w:jc w:val="center"/>
        </w:trPr>
        <w:tc>
          <w:tcPr>
            <w:tcW w:w="3300" w:type="dxa"/>
            <w:vAlign w:val="center"/>
            <w:hideMark/>
          </w:tcPr>
          <w:p w14:paraId="1C808F6E"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Open Video Data Sharing in Developmental Science and Clinical Practice </w:t>
            </w:r>
            <w:r>
              <w:rPr>
                <w:rFonts w:ascii="Times New Roman" w:hAnsi="Times New Roman" w:cs="Times New Roman"/>
                <w:noProof/>
                <w:color w:val="000000" w:themeColor="text1"/>
                <w:sz w:val="18"/>
                <w:szCs w:val="18"/>
              </w:rPr>
              <w:t>[56]</w:t>
            </w:r>
          </w:p>
        </w:tc>
        <w:tc>
          <w:tcPr>
            <w:tcW w:w="5511" w:type="dxa"/>
            <w:vAlign w:val="center"/>
            <w:hideMark/>
          </w:tcPr>
          <w:p w14:paraId="0B0B38B2"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This article investigates the use of face-blurring for pseudonymi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ation in sharing video data in developmental science and clinical settings, emphasi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ing responsible data-sharing practices that maintain participant confidentiality without compromising data utility, demonstrated through a study where face-blurred videos effectively supported General Movement Assessment without reducing accuracy, thus facilitating broader data sharing for scientific and public health benefits.</w:t>
            </w:r>
          </w:p>
        </w:tc>
        <w:tc>
          <w:tcPr>
            <w:tcW w:w="2362" w:type="dxa"/>
            <w:vAlign w:val="center"/>
            <w:hideMark/>
          </w:tcPr>
          <w:p w14:paraId="488AADF3"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Human-controlled AI</w:t>
            </w:r>
          </w:p>
        </w:tc>
        <w:tc>
          <w:tcPr>
            <w:tcW w:w="1538" w:type="dxa"/>
            <w:vAlign w:val="center"/>
          </w:tcPr>
          <w:p w14:paraId="0B402058"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36257403"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Pre-development (POC)</w:t>
            </w:r>
          </w:p>
        </w:tc>
      </w:tr>
      <w:tr w:rsidR="00C771CC" w:rsidRPr="00A364C2" w14:paraId="72F6FD98" w14:textId="77777777" w:rsidTr="006B7AD6">
        <w:trPr>
          <w:trHeight w:val="870"/>
          <w:jc w:val="center"/>
        </w:trPr>
        <w:tc>
          <w:tcPr>
            <w:tcW w:w="3300" w:type="dxa"/>
            <w:vAlign w:val="center"/>
            <w:hideMark/>
          </w:tcPr>
          <w:p w14:paraId="1AB8B5E8"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Participatory Algorithmic Management: Elicitation Methods for Worker Well-Being Models </w:t>
            </w:r>
            <w:r>
              <w:rPr>
                <w:rFonts w:ascii="Times New Roman" w:hAnsi="Times New Roman" w:cs="Times New Roman"/>
                <w:noProof/>
                <w:color w:val="000000" w:themeColor="text1"/>
                <w:sz w:val="18"/>
                <w:szCs w:val="18"/>
              </w:rPr>
              <w:t>[57]</w:t>
            </w:r>
          </w:p>
        </w:tc>
        <w:tc>
          <w:tcPr>
            <w:tcW w:w="5511" w:type="dxa"/>
            <w:vAlign w:val="center"/>
            <w:hideMark/>
          </w:tcPr>
          <w:p w14:paraId="3B27530F"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article examines a participatory method using AI algorithms to model worker well-being, enabling shift workers to build their own models based on work preferences and managerial fairness, demonstrating how it effectively incorporates worker perspectives into algorithmic management practices.</w:t>
            </w:r>
          </w:p>
        </w:tc>
        <w:tc>
          <w:tcPr>
            <w:tcW w:w="2362" w:type="dxa"/>
            <w:vAlign w:val="center"/>
            <w:hideMark/>
          </w:tcPr>
          <w:p w14:paraId="6EAA2EC1"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Human-controlled AI</w:t>
            </w:r>
          </w:p>
        </w:tc>
        <w:tc>
          <w:tcPr>
            <w:tcW w:w="1538" w:type="dxa"/>
            <w:vAlign w:val="center"/>
          </w:tcPr>
          <w:p w14:paraId="11D086D2"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07D0DE90"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Pre-development (POC)</w:t>
            </w:r>
          </w:p>
        </w:tc>
      </w:tr>
      <w:tr w:rsidR="00C771CC" w:rsidRPr="00A364C2" w14:paraId="01D198F0" w14:textId="77777777" w:rsidTr="006B7AD6">
        <w:trPr>
          <w:trHeight w:val="870"/>
          <w:jc w:val="center"/>
        </w:trPr>
        <w:tc>
          <w:tcPr>
            <w:tcW w:w="3300" w:type="dxa"/>
            <w:vAlign w:val="center"/>
            <w:hideMark/>
          </w:tcPr>
          <w:p w14:paraId="086BB4C5"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Patchwork: The Hidden, Human Labor of AI Integration within Essential Work </w:t>
            </w:r>
            <w:r>
              <w:rPr>
                <w:rFonts w:ascii="Times New Roman" w:hAnsi="Times New Roman" w:cs="Times New Roman"/>
                <w:noProof/>
                <w:color w:val="000000" w:themeColor="text1"/>
                <w:sz w:val="18"/>
                <w:szCs w:val="18"/>
              </w:rPr>
              <w:t>[13]</w:t>
            </w:r>
          </w:p>
        </w:tc>
        <w:tc>
          <w:tcPr>
            <w:tcW w:w="5511" w:type="dxa"/>
            <w:vAlign w:val="center"/>
            <w:hideMark/>
          </w:tcPr>
          <w:p w14:paraId="2702A97B"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paper analyses the crucial role of frontline workers in essential industries during the COVID-19 pandemic, who perform "patchwork" labour to mitigate the discrepancies between the intended and actual outcomes of rapidly implemented AI and automation technologies.</w:t>
            </w:r>
          </w:p>
        </w:tc>
        <w:tc>
          <w:tcPr>
            <w:tcW w:w="2362" w:type="dxa"/>
            <w:vAlign w:val="center"/>
            <w:hideMark/>
          </w:tcPr>
          <w:p w14:paraId="2C2CAB34"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Human-controlled AI</w:t>
            </w:r>
          </w:p>
        </w:tc>
        <w:tc>
          <w:tcPr>
            <w:tcW w:w="1538" w:type="dxa"/>
            <w:vAlign w:val="center"/>
          </w:tcPr>
          <w:p w14:paraId="48B0A35C"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3B77E67A"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r w:rsidR="00C771CC" w:rsidRPr="00A364C2" w14:paraId="531F0A9E" w14:textId="77777777" w:rsidTr="006B7AD6">
        <w:trPr>
          <w:trHeight w:val="870"/>
          <w:jc w:val="center"/>
        </w:trPr>
        <w:tc>
          <w:tcPr>
            <w:tcW w:w="3300" w:type="dxa"/>
            <w:vAlign w:val="center"/>
            <w:hideMark/>
          </w:tcPr>
          <w:p w14:paraId="60E4CEA8"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Public Health Calls for/with AI: An Ethnographic Perspective </w:t>
            </w:r>
            <w:r>
              <w:rPr>
                <w:rFonts w:ascii="Times New Roman" w:hAnsi="Times New Roman" w:cs="Times New Roman"/>
                <w:noProof/>
                <w:color w:val="000000" w:themeColor="text1"/>
                <w:sz w:val="18"/>
                <w:szCs w:val="18"/>
              </w:rPr>
              <w:t>[45]</w:t>
            </w:r>
          </w:p>
        </w:tc>
        <w:tc>
          <w:tcPr>
            <w:tcW w:w="5511" w:type="dxa"/>
            <w:vAlign w:val="center"/>
            <w:hideMark/>
          </w:tcPr>
          <w:p w14:paraId="44D8E7F6"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article explores the integration of an AI system into India's mCare program to enhance maternal and child health engagement through ethnographic fieldwork, revealing how the AI identifies participants at risk of disengagement, thus optimi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ing resource allocation and enhancing program impact by enabling targeted human interventions.</w:t>
            </w:r>
          </w:p>
        </w:tc>
        <w:tc>
          <w:tcPr>
            <w:tcW w:w="2362" w:type="dxa"/>
            <w:vAlign w:val="center"/>
            <w:hideMark/>
          </w:tcPr>
          <w:p w14:paraId="5047AC8C"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Collaborative AI</w:t>
            </w:r>
          </w:p>
        </w:tc>
        <w:tc>
          <w:tcPr>
            <w:tcW w:w="1538" w:type="dxa"/>
            <w:vAlign w:val="center"/>
          </w:tcPr>
          <w:p w14:paraId="68B34B14"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41541E66"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r w:rsidR="00C771CC" w:rsidRPr="00A364C2" w14:paraId="2AEB3A2A" w14:textId="77777777" w:rsidTr="006B7AD6">
        <w:trPr>
          <w:trHeight w:val="870"/>
          <w:jc w:val="center"/>
        </w:trPr>
        <w:tc>
          <w:tcPr>
            <w:tcW w:w="3300" w:type="dxa"/>
            <w:vAlign w:val="center"/>
            <w:hideMark/>
          </w:tcPr>
          <w:p w14:paraId="68E727E3"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lastRenderedPageBreak/>
              <w:t xml:space="preserve">Questioning the AI: Informing Design Practices for Explainable AI User Experiences </w:t>
            </w:r>
            <w:r>
              <w:rPr>
                <w:rFonts w:ascii="Times New Roman" w:hAnsi="Times New Roman" w:cs="Times New Roman"/>
                <w:noProof/>
                <w:color w:val="000000" w:themeColor="text1"/>
                <w:sz w:val="18"/>
                <w:szCs w:val="18"/>
              </w:rPr>
              <w:t>[52]</w:t>
            </w:r>
          </w:p>
        </w:tc>
        <w:tc>
          <w:tcPr>
            <w:tcW w:w="5511" w:type="dxa"/>
            <w:vAlign w:val="center"/>
            <w:hideMark/>
          </w:tcPr>
          <w:p w14:paraId="06F21D2A"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This article explores the integration of explainable AI (XAI) into user-centred design within the tech industry by using interviews with 20 UX practitioners (all from IBM), to identify gaps between AI capabilities and user needs, creating a question bank to guide meaningful AI explanations, and stressing the importance of user-focused approaches in industry practices.</w:t>
            </w:r>
          </w:p>
        </w:tc>
        <w:tc>
          <w:tcPr>
            <w:tcW w:w="2362" w:type="dxa"/>
            <w:vAlign w:val="center"/>
            <w:hideMark/>
          </w:tcPr>
          <w:p w14:paraId="115584BD"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Mix roles</w:t>
            </w:r>
          </w:p>
        </w:tc>
        <w:tc>
          <w:tcPr>
            <w:tcW w:w="1538" w:type="dxa"/>
            <w:vAlign w:val="center"/>
          </w:tcPr>
          <w:p w14:paraId="18D20E25"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Mix of levels </w:t>
            </w:r>
          </w:p>
        </w:tc>
        <w:tc>
          <w:tcPr>
            <w:tcW w:w="1509" w:type="dxa"/>
            <w:vAlign w:val="center"/>
          </w:tcPr>
          <w:p w14:paraId="4D755FDB"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Development</w:t>
            </w:r>
          </w:p>
        </w:tc>
      </w:tr>
      <w:tr w:rsidR="00C771CC" w:rsidRPr="00A364C2" w14:paraId="51354875" w14:textId="77777777" w:rsidTr="006B7AD6">
        <w:trPr>
          <w:trHeight w:val="870"/>
          <w:jc w:val="center"/>
        </w:trPr>
        <w:tc>
          <w:tcPr>
            <w:tcW w:w="3300" w:type="dxa"/>
            <w:vAlign w:val="center"/>
            <w:hideMark/>
          </w:tcPr>
          <w:p w14:paraId="1D231C6D"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Rethinking the Role of AI with Physicians in Oncology: Revealing Perspectives from Clinical and Research Workflows </w:t>
            </w:r>
            <w:r>
              <w:rPr>
                <w:rFonts w:ascii="Times New Roman" w:hAnsi="Times New Roman" w:cs="Times New Roman"/>
                <w:noProof/>
                <w:color w:val="000000" w:themeColor="text1"/>
                <w:sz w:val="18"/>
                <w:szCs w:val="18"/>
              </w:rPr>
              <w:t>[35]</w:t>
            </w:r>
          </w:p>
        </w:tc>
        <w:tc>
          <w:tcPr>
            <w:tcW w:w="5511" w:type="dxa"/>
            <w:vAlign w:val="center"/>
            <w:hideMark/>
          </w:tcPr>
          <w:p w14:paraId="670639CB"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article examines the use of image-based AI systems in oncology to revolutioni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e cancer care through quantitative analysis of medical images, emphasi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ing the necessity for clinician supervision and discussing the critical attributes of AI, such as explainability and control, within varied clinical and research workflows.</w:t>
            </w:r>
          </w:p>
        </w:tc>
        <w:tc>
          <w:tcPr>
            <w:tcW w:w="2362" w:type="dxa"/>
            <w:vAlign w:val="center"/>
            <w:hideMark/>
          </w:tcPr>
          <w:p w14:paraId="74E4036C"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6A644EE7"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2533D9BF"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Unclear</w:t>
            </w:r>
          </w:p>
        </w:tc>
      </w:tr>
      <w:tr w:rsidR="00C771CC" w:rsidRPr="00A364C2" w14:paraId="407B0004" w14:textId="77777777" w:rsidTr="006B7AD6">
        <w:trPr>
          <w:trHeight w:val="870"/>
          <w:jc w:val="center"/>
        </w:trPr>
        <w:tc>
          <w:tcPr>
            <w:tcW w:w="3300" w:type="dxa"/>
            <w:vAlign w:val="center"/>
            <w:hideMark/>
          </w:tcPr>
          <w:p w14:paraId="042982B4"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Risk Assessment and Classification of Medical Device Software for the Internet of Medical Things: Challenges Arising from Connected, Intelligent Medical Devices </w:t>
            </w:r>
            <w:r>
              <w:rPr>
                <w:rFonts w:ascii="Times New Roman" w:hAnsi="Times New Roman" w:cs="Times New Roman"/>
                <w:noProof/>
                <w:color w:val="000000" w:themeColor="text1"/>
                <w:sz w:val="18"/>
                <w:szCs w:val="18"/>
              </w:rPr>
              <w:t>[50]</w:t>
            </w:r>
          </w:p>
        </w:tc>
        <w:tc>
          <w:tcPr>
            <w:tcW w:w="5511" w:type="dxa"/>
            <w:vAlign w:val="center"/>
            <w:hideMark/>
          </w:tcPr>
          <w:p w14:paraId="4787F0D5"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article examines the challenges of evolving risk profiles in Connected, Intelligent Medical Devices (CIMDs) in healthcare, noting significant cybersecurity, data management, and algorithmic integrity issues, and calls for updated risk assessment, classification, and management frameworks to ensure transparency and maintain patient safety and device reliability.</w:t>
            </w:r>
          </w:p>
        </w:tc>
        <w:tc>
          <w:tcPr>
            <w:tcW w:w="2362" w:type="dxa"/>
            <w:vAlign w:val="center"/>
            <w:hideMark/>
          </w:tcPr>
          <w:p w14:paraId="452EF31F"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3531BAA3"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4FD1D8E7"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Deployment</w:t>
            </w:r>
          </w:p>
        </w:tc>
      </w:tr>
      <w:tr w:rsidR="00C771CC" w:rsidRPr="00A364C2" w14:paraId="5702F3B5" w14:textId="77777777" w:rsidTr="006B7AD6">
        <w:trPr>
          <w:trHeight w:val="1160"/>
          <w:jc w:val="center"/>
        </w:trPr>
        <w:tc>
          <w:tcPr>
            <w:tcW w:w="3300" w:type="dxa"/>
            <w:vAlign w:val="center"/>
            <w:hideMark/>
          </w:tcPr>
          <w:p w14:paraId="49BC7B16"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Stories from the Frontline: Recuperating Essential Worker Accounts of AI Integration </w:t>
            </w:r>
            <w:r>
              <w:rPr>
                <w:rFonts w:ascii="Times New Roman" w:hAnsi="Times New Roman" w:cs="Times New Roman"/>
                <w:noProof/>
                <w:color w:val="000000" w:themeColor="text1"/>
                <w:sz w:val="18"/>
                <w:szCs w:val="18"/>
              </w:rPr>
              <w:t>[14]</w:t>
            </w:r>
          </w:p>
        </w:tc>
        <w:tc>
          <w:tcPr>
            <w:tcW w:w="5511" w:type="dxa"/>
            <w:vAlign w:val="center"/>
            <w:hideMark/>
          </w:tcPr>
          <w:p w14:paraId="5ECAC877"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AI-enabled system, developed by Northern Robotics, involves autonomous floor cleaning robots equipped with UV light at an airport, introduced during the COVID-19 pandemic to augment janitorial staff's cleaning routines, but the integration of these robots necessitated careful calibration and coordination by janitorial staff and airport management, underscoring the essential role of human oversight alongside technological advancements.</w:t>
            </w:r>
          </w:p>
        </w:tc>
        <w:tc>
          <w:tcPr>
            <w:tcW w:w="2362" w:type="dxa"/>
            <w:vAlign w:val="center"/>
            <w:hideMark/>
          </w:tcPr>
          <w:p w14:paraId="24797664"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Human-controlled AI</w:t>
            </w:r>
          </w:p>
        </w:tc>
        <w:tc>
          <w:tcPr>
            <w:tcW w:w="1538" w:type="dxa"/>
            <w:vAlign w:val="center"/>
          </w:tcPr>
          <w:p w14:paraId="62BFA927"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6DC91A4D"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Deployment</w:t>
            </w:r>
          </w:p>
        </w:tc>
      </w:tr>
      <w:tr w:rsidR="00C771CC" w:rsidRPr="00A364C2" w14:paraId="3406ED00" w14:textId="77777777" w:rsidTr="006B7AD6">
        <w:trPr>
          <w:trHeight w:val="870"/>
          <w:jc w:val="center"/>
        </w:trPr>
        <w:tc>
          <w:tcPr>
            <w:tcW w:w="3300" w:type="dxa"/>
            <w:vAlign w:val="center"/>
            <w:hideMark/>
          </w:tcPr>
          <w:p w14:paraId="274C4AC9"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Supporting Human-AI Collaboration in Auditing LLMs with LLMs </w:t>
            </w:r>
            <w:r>
              <w:rPr>
                <w:rFonts w:ascii="Times New Roman" w:hAnsi="Times New Roman" w:cs="Times New Roman"/>
                <w:noProof/>
                <w:color w:val="000000" w:themeColor="text1"/>
                <w:sz w:val="18"/>
                <w:szCs w:val="18"/>
              </w:rPr>
              <w:t>[58]</w:t>
            </w:r>
          </w:p>
        </w:tc>
        <w:tc>
          <w:tcPr>
            <w:tcW w:w="5511" w:type="dxa"/>
            <w:vAlign w:val="center"/>
            <w:hideMark/>
          </w:tcPr>
          <w:p w14:paraId="34DDC74E"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AdaTest++ is an AI-enabled system designed for collaborative auditing of large language models (LLMs), enabling users to audit commercial NLP models interactively and manage test suggestions and discovered failures, enhancing the transparency and effectiveness of audits.</w:t>
            </w:r>
          </w:p>
        </w:tc>
        <w:tc>
          <w:tcPr>
            <w:tcW w:w="2362" w:type="dxa"/>
            <w:vAlign w:val="center"/>
            <w:hideMark/>
          </w:tcPr>
          <w:p w14:paraId="3B33BD59"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Human-controlled AI</w:t>
            </w:r>
          </w:p>
        </w:tc>
        <w:tc>
          <w:tcPr>
            <w:tcW w:w="1538" w:type="dxa"/>
            <w:vAlign w:val="center"/>
          </w:tcPr>
          <w:p w14:paraId="4AF3DA25"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08049CFB"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Development </w:t>
            </w:r>
          </w:p>
        </w:tc>
      </w:tr>
      <w:tr w:rsidR="00C771CC" w:rsidRPr="00A364C2" w14:paraId="61A72477" w14:textId="77777777" w:rsidTr="006B7AD6">
        <w:trPr>
          <w:trHeight w:val="870"/>
          <w:jc w:val="center"/>
        </w:trPr>
        <w:tc>
          <w:tcPr>
            <w:tcW w:w="3300" w:type="dxa"/>
            <w:vAlign w:val="center"/>
            <w:hideMark/>
          </w:tcPr>
          <w:p w14:paraId="08BEEC19"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The Ethical Use of High-Performance Computing and Artificial Intelligence: Fighting COVID-19 at Barcelona Supercomputing Center </w:t>
            </w:r>
            <w:r>
              <w:rPr>
                <w:rFonts w:ascii="Times New Roman" w:hAnsi="Times New Roman" w:cs="Times New Roman"/>
                <w:noProof/>
                <w:color w:val="000000" w:themeColor="text1"/>
                <w:sz w:val="18"/>
                <w:szCs w:val="18"/>
              </w:rPr>
              <w:t>[39]</w:t>
            </w:r>
          </w:p>
        </w:tc>
        <w:tc>
          <w:tcPr>
            <w:tcW w:w="5511" w:type="dxa"/>
            <w:vAlign w:val="center"/>
            <w:hideMark/>
          </w:tcPr>
          <w:p w14:paraId="1F743F6B"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intended use of described systems (a combination of high-performance computing and AI technologies) was to support health professionals and researchers in understanding and combating the pandemic, emphasi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ing the ethical, transparent, and fair use of sensitive data in alignment with EU guidelines.</w:t>
            </w:r>
          </w:p>
        </w:tc>
        <w:tc>
          <w:tcPr>
            <w:tcW w:w="2362" w:type="dxa"/>
            <w:vAlign w:val="center"/>
            <w:hideMark/>
          </w:tcPr>
          <w:p w14:paraId="49B1B886"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4200BF8D"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31C15A04"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r w:rsidR="00C771CC" w:rsidRPr="00A364C2" w14:paraId="4BCEA4A2" w14:textId="77777777" w:rsidTr="006B7AD6">
        <w:trPr>
          <w:trHeight w:val="870"/>
          <w:jc w:val="center"/>
        </w:trPr>
        <w:tc>
          <w:tcPr>
            <w:tcW w:w="3300" w:type="dxa"/>
            <w:vAlign w:val="center"/>
            <w:hideMark/>
          </w:tcPr>
          <w:p w14:paraId="642EE157"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The Fallacy of AI Functionality </w:t>
            </w:r>
            <w:r>
              <w:rPr>
                <w:rFonts w:ascii="Times New Roman" w:hAnsi="Times New Roman" w:cs="Times New Roman"/>
                <w:noProof/>
                <w:color w:val="000000" w:themeColor="text1"/>
                <w:sz w:val="18"/>
                <w:szCs w:val="18"/>
              </w:rPr>
              <w:t>[67]</w:t>
            </w:r>
          </w:p>
        </w:tc>
        <w:tc>
          <w:tcPr>
            <w:tcW w:w="5511" w:type="dxa"/>
            <w:vAlign w:val="center"/>
            <w:hideMark/>
          </w:tcPr>
          <w:p w14:paraId="7587A6F6"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article critiques the pervasive assumption of AI functionality in public discourse and policymaking and emphasises the need for a more critical approach to evaluating AI systems' functionality before deployment, advocating for policy and organi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ational changes to address flaws and protect communities from the consequences of malfunctioning AI systems.</w:t>
            </w:r>
          </w:p>
        </w:tc>
        <w:tc>
          <w:tcPr>
            <w:tcW w:w="2362" w:type="dxa"/>
            <w:vAlign w:val="center"/>
            <w:hideMark/>
          </w:tcPr>
          <w:p w14:paraId="701D1BD5"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Mix roles</w:t>
            </w:r>
          </w:p>
        </w:tc>
        <w:tc>
          <w:tcPr>
            <w:tcW w:w="1538" w:type="dxa"/>
            <w:vAlign w:val="center"/>
          </w:tcPr>
          <w:p w14:paraId="27C1ACF2"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4C148F6A"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r w:rsidR="00C771CC" w:rsidRPr="00A364C2" w14:paraId="462021D9" w14:textId="77777777" w:rsidTr="006B7AD6">
        <w:trPr>
          <w:trHeight w:val="870"/>
          <w:jc w:val="center"/>
        </w:trPr>
        <w:tc>
          <w:tcPr>
            <w:tcW w:w="3300" w:type="dxa"/>
            <w:vAlign w:val="center"/>
            <w:hideMark/>
          </w:tcPr>
          <w:p w14:paraId="518EAD7F"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lastRenderedPageBreak/>
              <w:t xml:space="preserve">The Medical Authority of AI: A Study of AI-enabled Consumer-Facing Health Technology </w:t>
            </w:r>
            <w:r>
              <w:rPr>
                <w:rFonts w:ascii="Times New Roman" w:hAnsi="Times New Roman" w:cs="Times New Roman"/>
                <w:noProof/>
                <w:color w:val="000000" w:themeColor="text1"/>
                <w:sz w:val="18"/>
                <w:szCs w:val="18"/>
              </w:rPr>
              <w:t>[37]</w:t>
            </w:r>
          </w:p>
        </w:tc>
        <w:tc>
          <w:tcPr>
            <w:tcW w:w="5511" w:type="dxa"/>
            <w:vAlign w:val="center"/>
            <w:hideMark/>
          </w:tcPr>
          <w:p w14:paraId="69A2C863"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AI-enabled system, Artificial Intelligence-based Symptom Checkers (AISCs), used in consumer health technologies, collects user symptoms to provide medical advice and diagnoses, aiming to redefine traditional medical authority by offering an alternative to physician consultations.</w:t>
            </w:r>
          </w:p>
        </w:tc>
        <w:tc>
          <w:tcPr>
            <w:tcW w:w="2362" w:type="dxa"/>
            <w:vAlign w:val="center"/>
            <w:hideMark/>
          </w:tcPr>
          <w:p w14:paraId="24EE6358"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6865F797"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2AD846C8"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r w:rsidR="00C771CC" w:rsidRPr="00A364C2" w14:paraId="4B34858D" w14:textId="77777777" w:rsidTr="006B7AD6">
        <w:trPr>
          <w:trHeight w:val="870"/>
          <w:jc w:val="center"/>
        </w:trPr>
        <w:tc>
          <w:tcPr>
            <w:tcW w:w="3300" w:type="dxa"/>
            <w:vAlign w:val="center"/>
            <w:hideMark/>
          </w:tcPr>
          <w:p w14:paraId="59BF6EB4"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The Need for Knowledge Extraction: Understanding Harmful Gambling Behavior with Neural Networks </w:t>
            </w:r>
            <w:r>
              <w:rPr>
                <w:rFonts w:ascii="Times New Roman" w:hAnsi="Times New Roman" w:cs="Times New Roman"/>
                <w:noProof/>
                <w:color w:val="000000" w:themeColor="text1"/>
                <w:sz w:val="18"/>
                <w:szCs w:val="18"/>
              </w:rPr>
              <w:t>[33]</w:t>
            </w:r>
          </w:p>
        </w:tc>
        <w:tc>
          <w:tcPr>
            <w:tcW w:w="5511" w:type="dxa"/>
            <w:vAlign w:val="center"/>
            <w:hideMark/>
          </w:tcPr>
          <w:p w14:paraId="2006C64F"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article discusses the use of neural networks and the adapted TREPAN knowledge extraction algorithm to predict self-exclusion among gamblers, generating human-readable decision trees that enhance transparency and interpretability in responsible gambling by facilitating understanding of harmful gambling behaviour and improving decision-making for operators.</w:t>
            </w:r>
          </w:p>
        </w:tc>
        <w:tc>
          <w:tcPr>
            <w:tcW w:w="2362" w:type="dxa"/>
            <w:vAlign w:val="center"/>
            <w:hideMark/>
          </w:tcPr>
          <w:p w14:paraId="3EF29326"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Human-controlled AI</w:t>
            </w:r>
          </w:p>
        </w:tc>
        <w:tc>
          <w:tcPr>
            <w:tcW w:w="1538" w:type="dxa"/>
            <w:vAlign w:val="center"/>
          </w:tcPr>
          <w:p w14:paraId="7B03F975"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Unclear</w:t>
            </w:r>
          </w:p>
        </w:tc>
        <w:tc>
          <w:tcPr>
            <w:tcW w:w="1509" w:type="dxa"/>
            <w:vAlign w:val="center"/>
          </w:tcPr>
          <w:p w14:paraId="628609D8"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Development </w:t>
            </w:r>
          </w:p>
        </w:tc>
      </w:tr>
      <w:tr w:rsidR="00C771CC" w:rsidRPr="00A364C2" w14:paraId="1AB905F4" w14:textId="77777777" w:rsidTr="006B7AD6">
        <w:trPr>
          <w:trHeight w:val="870"/>
          <w:jc w:val="center"/>
        </w:trPr>
        <w:tc>
          <w:tcPr>
            <w:tcW w:w="3300" w:type="dxa"/>
            <w:vAlign w:val="center"/>
            <w:hideMark/>
          </w:tcPr>
          <w:p w14:paraId="38F44325"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Toward Involving End-users in Interactive Human-in-the-loop AI Fairness </w:t>
            </w:r>
            <w:r>
              <w:rPr>
                <w:rFonts w:ascii="Times New Roman" w:hAnsi="Times New Roman" w:cs="Times New Roman"/>
                <w:noProof/>
                <w:color w:val="000000" w:themeColor="text1"/>
                <w:sz w:val="18"/>
                <w:szCs w:val="18"/>
              </w:rPr>
              <w:t>[41]</w:t>
            </w:r>
          </w:p>
        </w:tc>
        <w:tc>
          <w:tcPr>
            <w:tcW w:w="5511" w:type="dxa"/>
            <w:vAlign w:val="center"/>
            <w:hideMark/>
          </w:tcPr>
          <w:p w14:paraId="0DC0C2E1"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article describes a tool designed to allow non-technical end-users to assess and address fairness issues in AI systems through tools that enable understanding and adjustment of AI decisions, specifically in loan applications, based on explanatory debugging principles and integrating cultural considerations to enhance the inclusivity and effectiveness of AI fairness audits.</w:t>
            </w:r>
          </w:p>
        </w:tc>
        <w:tc>
          <w:tcPr>
            <w:tcW w:w="2362" w:type="dxa"/>
            <w:vAlign w:val="center"/>
            <w:hideMark/>
          </w:tcPr>
          <w:p w14:paraId="3700DC73"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3715EFC9"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5F9CBAD9"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Development </w:t>
            </w:r>
          </w:p>
        </w:tc>
      </w:tr>
      <w:tr w:rsidR="00C771CC" w:rsidRPr="00A364C2" w14:paraId="2FD254C8" w14:textId="77777777" w:rsidTr="006B7AD6">
        <w:trPr>
          <w:trHeight w:val="1160"/>
          <w:jc w:val="center"/>
        </w:trPr>
        <w:tc>
          <w:tcPr>
            <w:tcW w:w="3300" w:type="dxa"/>
            <w:vAlign w:val="center"/>
            <w:hideMark/>
          </w:tcPr>
          <w:p w14:paraId="4726236D"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Using Model Cards for Ethical Reflection: A Qualitative Exploration </w:t>
            </w:r>
            <w:r>
              <w:rPr>
                <w:rFonts w:ascii="Times New Roman" w:hAnsi="Times New Roman" w:cs="Times New Roman"/>
                <w:noProof/>
                <w:color w:val="000000" w:themeColor="text1"/>
                <w:sz w:val="18"/>
                <w:szCs w:val="18"/>
              </w:rPr>
              <w:t>[40]</w:t>
            </w:r>
          </w:p>
        </w:tc>
        <w:tc>
          <w:tcPr>
            <w:tcW w:w="5511" w:type="dxa"/>
            <w:vAlign w:val="center"/>
            <w:hideMark/>
          </w:tcPr>
          <w:p w14:paraId="1D29F8DF"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article examines the use of Model Cards, a structured documentation tool for AI developers, to reflect on and document ethical considerations in model development, assessing through qualitative research how this tool influences ethical awareness and transparency during design and development, especially in high-stake scenarios like loan applications and university admissions.</w:t>
            </w:r>
          </w:p>
        </w:tc>
        <w:tc>
          <w:tcPr>
            <w:tcW w:w="2362" w:type="dxa"/>
            <w:vAlign w:val="center"/>
            <w:hideMark/>
          </w:tcPr>
          <w:p w14:paraId="6E3D488B"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4014EBEA"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7DAB4DBD"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Pre-development (POC)</w:t>
            </w:r>
          </w:p>
        </w:tc>
      </w:tr>
      <w:tr w:rsidR="00C771CC" w:rsidRPr="00A364C2" w14:paraId="0242D906" w14:textId="77777777" w:rsidTr="006B7AD6">
        <w:trPr>
          <w:trHeight w:val="870"/>
          <w:jc w:val="center"/>
        </w:trPr>
        <w:tc>
          <w:tcPr>
            <w:tcW w:w="3300" w:type="dxa"/>
            <w:vAlign w:val="center"/>
            <w:hideMark/>
          </w:tcPr>
          <w:p w14:paraId="330B3FB8"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Values in Emotion Artificial Intelligence Hiring Services: Technosolutions to Organizational Problems </w:t>
            </w:r>
            <w:r>
              <w:rPr>
                <w:rFonts w:ascii="Times New Roman" w:hAnsi="Times New Roman" w:cs="Times New Roman"/>
                <w:noProof/>
                <w:color w:val="000000" w:themeColor="text1"/>
                <w:sz w:val="18"/>
                <w:szCs w:val="18"/>
              </w:rPr>
              <w:t>[32]</w:t>
            </w:r>
          </w:p>
        </w:tc>
        <w:tc>
          <w:tcPr>
            <w:tcW w:w="5511" w:type="dxa"/>
            <w:vAlign w:val="center"/>
            <w:hideMark/>
          </w:tcPr>
          <w:p w14:paraId="51983F1F"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This study analyses the use of Emotion Artificial Intelligence (EAI) in hiring, examining how EAI services market their technology as solutions to hiring issues like (in)accuracy, (mis)fit, and (in)authenticity, and highlights concerns over their actual utility and ethical implications, suggesting they may also perpetuate biases and undermine fairness.</w:t>
            </w:r>
          </w:p>
        </w:tc>
        <w:tc>
          <w:tcPr>
            <w:tcW w:w="2362" w:type="dxa"/>
            <w:vAlign w:val="center"/>
            <w:hideMark/>
          </w:tcPr>
          <w:p w14:paraId="58BA7AD3"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0506E672"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74C34534"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r w:rsidR="00C771CC" w:rsidRPr="00A364C2" w14:paraId="7EA6D430" w14:textId="77777777" w:rsidTr="006B7AD6">
        <w:trPr>
          <w:trHeight w:val="1160"/>
          <w:jc w:val="center"/>
        </w:trPr>
        <w:tc>
          <w:tcPr>
            <w:tcW w:w="3300" w:type="dxa"/>
            <w:vAlign w:val="center"/>
            <w:hideMark/>
          </w:tcPr>
          <w:p w14:paraId="598C7BD7"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Walking the Walk of AI Ethics: Organizational Challenges and the Individualization of Risk among Ethics Entrepreneurs </w:t>
            </w:r>
            <w:r>
              <w:rPr>
                <w:rFonts w:ascii="Times New Roman" w:hAnsi="Times New Roman" w:cs="Times New Roman"/>
                <w:noProof/>
                <w:color w:val="000000" w:themeColor="text1"/>
                <w:sz w:val="18"/>
                <w:szCs w:val="18"/>
              </w:rPr>
              <w:t>[64]</w:t>
            </w:r>
          </w:p>
        </w:tc>
        <w:tc>
          <w:tcPr>
            <w:tcW w:w="5511" w:type="dxa"/>
            <w:vAlign w:val="center"/>
            <w:hideMark/>
          </w:tcPr>
          <w:p w14:paraId="7D77DDF1"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article explores the challenges ethics workers face in integrating AI ethics within technology companies, highlighting the individual risks for workers from marginali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ed backgrounds and the structural and cultural obstacles that hinder ethical practices, with a particular emphasis on how product innovation prioriti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ation and a lack of institutional support often led to the shortfall of actual ethical implementations.</w:t>
            </w:r>
          </w:p>
        </w:tc>
        <w:tc>
          <w:tcPr>
            <w:tcW w:w="2362" w:type="dxa"/>
            <w:vAlign w:val="center"/>
            <w:hideMark/>
          </w:tcPr>
          <w:p w14:paraId="7A8A5A89"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Mix roles</w:t>
            </w:r>
          </w:p>
        </w:tc>
        <w:tc>
          <w:tcPr>
            <w:tcW w:w="1538" w:type="dxa"/>
            <w:vAlign w:val="center"/>
          </w:tcPr>
          <w:p w14:paraId="28C040DE"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72854B4E"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All phases</w:t>
            </w:r>
          </w:p>
        </w:tc>
      </w:tr>
      <w:tr w:rsidR="00C771CC" w:rsidRPr="00A364C2" w14:paraId="3249F187" w14:textId="77777777" w:rsidTr="006B7AD6">
        <w:trPr>
          <w:trHeight w:val="1160"/>
          <w:jc w:val="center"/>
        </w:trPr>
        <w:tc>
          <w:tcPr>
            <w:tcW w:w="3300" w:type="dxa"/>
            <w:vAlign w:val="center"/>
            <w:hideMark/>
          </w:tcPr>
          <w:p w14:paraId="61272228"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What Does It Mean to be a Responsible AI Practitioner: An Ontology of Roles and Skills </w:t>
            </w:r>
            <w:r>
              <w:rPr>
                <w:rFonts w:ascii="Times New Roman" w:hAnsi="Times New Roman" w:cs="Times New Roman"/>
                <w:noProof/>
                <w:color w:val="000000" w:themeColor="text1"/>
                <w:sz w:val="18"/>
                <w:szCs w:val="18"/>
              </w:rPr>
              <w:t>[65]</w:t>
            </w:r>
          </w:p>
        </w:tc>
        <w:tc>
          <w:tcPr>
            <w:tcW w:w="5511" w:type="dxa"/>
            <w:vAlign w:val="center"/>
            <w:hideMark/>
          </w:tcPr>
          <w:p w14:paraId="355647F3"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The article investigates the emerging roles and requires skills for responsible AI practitioners by analysing job postings and interviews to create an ontology, detailing the necessary functions, skills, and qualifications for roles like researchers, data scientists, and policy analysts, and underscores the </w:t>
            </w:r>
            <w:r w:rsidRPr="00A364C2">
              <w:rPr>
                <w:rFonts w:ascii="Times New Roman" w:hAnsi="Times New Roman" w:cs="Times New Roman"/>
                <w:color w:val="000000" w:themeColor="text1"/>
                <w:sz w:val="18"/>
                <w:szCs w:val="18"/>
              </w:rPr>
              <w:lastRenderedPageBreak/>
              <w:t>importance of interdisciplinary capabilities and ethical considerations in AI development.</w:t>
            </w:r>
          </w:p>
        </w:tc>
        <w:tc>
          <w:tcPr>
            <w:tcW w:w="2362" w:type="dxa"/>
            <w:vAlign w:val="center"/>
            <w:hideMark/>
          </w:tcPr>
          <w:p w14:paraId="4A1312F0"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lastRenderedPageBreak/>
              <w:t>Mix roles</w:t>
            </w:r>
          </w:p>
        </w:tc>
        <w:tc>
          <w:tcPr>
            <w:tcW w:w="1538" w:type="dxa"/>
            <w:vAlign w:val="center"/>
          </w:tcPr>
          <w:p w14:paraId="58CA5CF9"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Unclear</w:t>
            </w:r>
          </w:p>
        </w:tc>
        <w:tc>
          <w:tcPr>
            <w:tcW w:w="1509" w:type="dxa"/>
            <w:vAlign w:val="center"/>
          </w:tcPr>
          <w:p w14:paraId="665DA9DA"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Unclear </w:t>
            </w:r>
          </w:p>
        </w:tc>
      </w:tr>
      <w:tr w:rsidR="00C771CC" w:rsidRPr="00A364C2" w14:paraId="79FA4291" w14:textId="77777777" w:rsidTr="006B7AD6">
        <w:trPr>
          <w:trHeight w:val="1160"/>
          <w:jc w:val="center"/>
        </w:trPr>
        <w:tc>
          <w:tcPr>
            <w:tcW w:w="3300" w:type="dxa"/>
            <w:vAlign w:val="center"/>
            <w:hideMark/>
          </w:tcPr>
          <w:p w14:paraId="59C3A002"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Where Responsible AI Meets Reality: Practitioner Perspectives on Enablers for Shifting Organizational Practices </w:t>
            </w:r>
            <w:r>
              <w:rPr>
                <w:rFonts w:ascii="Times New Roman" w:hAnsi="Times New Roman" w:cs="Times New Roman"/>
                <w:noProof/>
                <w:color w:val="000000" w:themeColor="text1"/>
                <w:sz w:val="18"/>
                <w:szCs w:val="18"/>
              </w:rPr>
              <w:t>[48]</w:t>
            </w:r>
          </w:p>
        </w:tc>
        <w:tc>
          <w:tcPr>
            <w:tcW w:w="5511" w:type="dxa"/>
            <w:vAlign w:val="center"/>
            <w:hideMark/>
          </w:tcPr>
          <w:p w14:paraId="40DE5002"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article examines the integration of responsible AI practices within organi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ations, highlighting the disparity between theoretical frameworks and practical implementation through semi-structured interviews with industry professionals, and maps current and future organi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ational structures that influence responsible AI initiatives, emphasi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ing the necessity for clear organi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ational strategies to effectively transition and implement these practices.</w:t>
            </w:r>
          </w:p>
        </w:tc>
        <w:tc>
          <w:tcPr>
            <w:tcW w:w="2362" w:type="dxa"/>
            <w:vAlign w:val="center"/>
            <w:hideMark/>
          </w:tcPr>
          <w:p w14:paraId="2BB02A0E"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Mix roles</w:t>
            </w:r>
          </w:p>
        </w:tc>
        <w:tc>
          <w:tcPr>
            <w:tcW w:w="1538" w:type="dxa"/>
            <w:vAlign w:val="center"/>
          </w:tcPr>
          <w:p w14:paraId="204A1FF3"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Unclear</w:t>
            </w:r>
          </w:p>
        </w:tc>
        <w:tc>
          <w:tcPr>
            <w:tcW w:w="1509" w:type="dxa"/>
            <w:vAlign w:val="center"/>
          </w:tcPr>
          <w:p w14:paraId="56B85DFB"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Unclear </w:t>
            </w:r>
          </w:p>
        </w:tc>
      </w:tr>
      <w:tr w:rsidR="00C771CC" w:rsidRPr="00A364C2" w14:paraId="4D27AE15" w14:textId="77777777" w:rsidTr="006B7AD6">
        <w:trPr>
          <w:trHeight w:val="870"/>
          <w:jc w:val="center"/>
        </w:trPr>
        <w:tc>
          <w:tcPr>
            <w:tcW w:w="3300" w:type="dxa"/>
            <w:vAlign w:val="center"/>
            <w:hideMark/>
          </w:tcPr>
          <w:p w14:paraId="10D8B375"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Who Audits the Auditors? Recommendations from a Field Scan of the Algorithmic Auditing Ecosystem </w:t>
            </w:r>
            <w:r>
              <w:rPr>
                <w:rFonts w:ascii="Times New Roman" w:hAnsi="Times New Roman" w:cs="Times New Roman"/>
                <w:noProof/>
                <w:color w:val="000000" w:themeColor="text1"/>
                <w:sz w:val="18"/>
                <w:szCs w:val="18"/>
              </w:rPr>
              <w:t>[49]</w:t>
            </w:r>
          </w:p>
        </w:tc>
        <w:tc>
          <w:tcPr>
            <w:tcW w:w="5511" w:type="dxa"/>
            <w:vAlign w:val="center"/>
            <w:hideMark/>
          </w:tcPr>
          <w:p w14:paraId="64694FDE"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This study explores the challenges and state of AI auditing practices, highlighting the lack of standardi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ation and oversight in algorithmic audits assessing AI systems for biases, effectiveness, and transparency, and underscores the need for defined auditing standards and regulatory guidance to mitigate biases and harms.</w:t>
            </w:r>
          </w:p>
        </w:tc>
        <w:tc>
          <w:tcPr>
            <w:tcW w:w="2362" w:type="dxa"/>
            <w:vAlign w:val="center"/>
            <w:hideMark/>
          </w:tcPr>
          <w:p w14:paraId="3729D29D"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Mix roles</w:t>
            </w:r>
          </w:p>
        </w:tc>
        <w:tc>
          <w:tcPr>
            <w:tcW w:w="1538" w:type="dxa"/>
            <w:vAlign w:val="center"/>
          </w:tcPr>
          <w:p w14:paraId="5A819824"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38B68561"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r w:rsidR="00C771CC" w:rsidRPr="00A364C2" w14:paraId="025E4A38" w14:textId="77777777" w:rsidTr="006B7AD6">
        <w:trPr>
          <w:trHeight w:val="870"/>
          <w:jc w:val="center"/>
        </w:trPr>
        <w:tc>
          <w:tcPr>
            <w:tcW w:w="3300" w:type="dxa"/>
            <w:vAlign w:val="center"/>
            <w:hideMark/>
          </w:tcPr>
          <w:p w14:paraId="064E3F4A"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Who Needs to Know What, When?: Broadening the Explainable AI (XAI) Design Space by Looking at Explanations Across the AI Lifecycle </w:t>
            </w:r>
            <w:r>
              <w:rPr>
                <w:rFonts w:ascii="Times New Roman" w:hAnsi="Times New Roman" w:cs="Times New Roman"/>
                <w:noProof/>
                <w:color w:val="000000" w:themeColor="text1"/>
                <w:sz w:val="18"/>
                <w:szCs w:val="18"/>
              </w:rPr>
              <w:t>[54]</w:t>
            </w:r>
          </w:p>
        </w:tc>
        <w:tc>
          <w:tcPr>
            <w:tcW w:w="5511" w:type="dxa"/>
            <w:vAlign w:val="center"/>
            <w:hideMark/>
          </w:tcPr>
          <w:p w14:paraId="02DE9D54"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This article explores the implementation of explainable AI across different stages of AI project development within industrial settings, detailing how the need for explanations evolves throughout the AI lifecycle and is influenced by various stakeholders' needs, to emphasi</w:t>
            </w:r>
            <w:r>
              <w:rPr>
                <w:rFonts w:ascii="Times New Roman" w:hAnsi="Times New Roman" w:cs="Times New Roman"/>
                <w:color w:val="000000" w:themeColor="text1"/>
                <w:sz w:val="18"/>
                <w:szCs w:val="18"/>
              </w:rPr>
              <w:t>s</w:t>
            </w:r>
            <w:r w:rsidRPr="00A364C2">
              <w:rPr>
                <w:rFonts w:ascii="Times New Roman" w:hAnsi="Times New Roman" w:cs="Times New Roman"/>
                <w:color w:val="000000" w:themeColor="text1"/>
                <w:sz w:val="18"/>
                <w:szCs w:val="18"/>
              </w:rPr>
              <w:t>e the importance of a sociotechnical approach in XAI that considers technical, social, and ethical contexts.</w:t>
            </w:r>
          </w:p>
        </w:tc>
        <w:tc>
          <w:tcPr>
            <w:tcW w:w="2362" w:type="dxa"/>
            <w:vAlign w:val="center"/>
            <w:hideMark/>
          </w:tcPr>
          <w:p w14:paraId="31464FC5"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eastAsia="Times New Roman" w:hAnsi="Times New Roman" w:cs="Times New Roman"/>
                <w:sz w:val="18"/>
                <w:szCs w:val="18"/>
                <w:lang w:eastAsia="nb-NO"/>
              </w:rPr>
              <w:t>Explainable AI</w:t>
            </w:r>
          </w:p>
        </w:tc>
        <w:tc>
          <w:tcPr>
            <w:tcW w:w="1538" w:type="dxa"/>
            <w:vAlign w:val="center"/>
          </w:tcPr>
          <w:p w14:paraId="716F1182" w14:textId="77777777" w:rsidR="00C771CC" w:rsidRPr="00A364C2" w:rsidRDefault="00C771CC" w:rsidP="006B7AD6">
            <w:pPr>
              <w:jc w:val="center"/>
              <w:rPr>
                <w:rFonts w:ascii="Times New Roman" w:eastAsia="Times New Roman" w:hAnsi="Times New Roman" w:cs="Times New Roman"/>
                <w:sz w:val="18"/>
                <w:szCs w:val="18"/>
                <w:lang w:eastAsia="nb-NO"/>
              </w:rPr>
            </w:pPr>
            <w:r w:rsidRPr="00A364C2">
              <w:rPr>
                <w:rFonts w:ascii="Times New Roman" w:hAnsi="Times New Roman" w:cs="Times New Roman"/>
                <w:color w:val="000000" w:themeColor="text1"/>
                <w:sz w:val="18"/>
                <w:szCs w:val="18"/>
              </w:rPr>
              <w:t>Mix of levels</w:t>
            </w:r>
          </w:p>
        </w:tc>
        <w:tc>
          <w:tcPr>
            <w:tcW w:w="1509" w:type="dxa"/>
            <w:vAlign w:val="center"/>
          </w:tcPr>
          <w:p w14:paraId="4CFF8A02"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All phases</w:t>
            </w:r>
          </w:p>
        </w:tc>
      </w:tr>
      <w:tr w:rsidR="00C771CC" w:rsidRPr="00A364C2" w14:paraId="499FA00E" w14:textId="77777777" w:rsidTr="006B7AD6">
        <w:trPr>
          <w:trHeight w:val="870"/>
          <w:jc w:val="center"/>
        </w:trPr>
        <w:tc>
          <w:tcPr>
            <w:tcW w:w="3300" w:type="dxa"/>
            <w:vAlign w:val="center"/>
            <w:hideMark/>
          </w:tcPr>
          <w:p w14:paraId="7651F180"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Work with AI and Work for AI: Autonomous Vehicle Safety Drivers’ Lived Experiences </w:t>
            </w:r>
            <w:r>
              <w:rPr>
                <w:rFonts w:ascii="Times New Roman" w:hAnsi="Times New Roman" w:cs="Times New Roman"/>
                <w:noProof/>
                <w:color w:val="000000" w:themeColor="text1"/>
                <w:sz w:val="18"/>
                <w:szCs w:val="18"/>
              </w:rPr>
              <w:t>[9]</w:t>
            </w:r>
          </w:p>
        </w:tc>
        <w:tc>
          <w:tcPr>
            <w:tcW w:w="5511" w:type="dxa"/>
            <w:vAlign w:val="center"/>
            <w:hideMark/>
          </w:tcPr>
          <w:p w14:paraId="40AAAD52"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This article discusses real AI systems in the form of autonomous vehicles (L3 or L4) that require safety drivers to oversee and intervene in driving tasks, demonstrating human-AI interaction where the AI handles driving under human supervision in real-world scenarios.</w:t>
            </w:r>
          </w:p>
        </w:tc>
        <w:tc>
          <w:tcPr>
            <w:tcW w:w="2362" w:type="dxa"/>
            <w:vAlign w:val="center"/>
            <w:hideMark/>
          </w:tcPr>
          <w:p w14:paraId="6EC7E9E5"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Collaborative AI</w:t>
            </w:r>
          </w:p>
        </w:tc>
        <w:tc>
          <w:tcPr>
            <w:tcW w:w="1538" w:type="dxa"/>
            <w:vAlign w:val="center"/>
          </w:tcPr>
          <w:p w14:paraId="0664DE7F"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66B85B9E"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r w:rsidR="00C771CC" w:rsidRPr="00A364C2" w14:paraId="2BC99883" w14:textId="77777777" w:rsidTr="006B7AD6">
        <w:trPr>
          <w:trHeight w:val="580"/>
          <w:jc w:val="center"/>
        </w:trPr>
        <w:tc>
          <w:tcPr>
            <w:tcW w:w="3300" w:type="dxa"/>
            <w:vAlign w:val="center"/>
            <w:hideMark/>
          </w:tcPr>
          <w:p w14:paraId="0BCC02E5"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You Sound Depressed: A Case Study on Sonde Health’s Diagnostic Use of Voice Analysis AI </w:t>
            </w:r>
            <w:r>
              <w:rPr>
                <w:rFonts w:ascii="Times New Roman" w:hAnsi="Times New Roman" w:cs="Times New Roman"/>
                <w:noProof/>
                <w:color w:val="000000" w:themeColor="text1"/>
                <w:sz w:val="18"/>
                <w:szCs w:val="18"/>
              </w:rPr>
              <w:t>[53]</w:t>
            </w:r>
          </w:p>
        </w:tc>
        <w:tc>
          <w:tcPr>
            <w:tcW w:w="5511" w:type="dxa"/>
            <w:vAlign w:val="center"/>
            <w:hideMark/>
          </w:tcPr>
          <w:p w14:paraId="2C97BB72" w14:textId="77777777" w:rsidR="00C771CC" w:rsidRPr="00A364C2" w:rsidRDefault="00C771CC" w:rsidP="006B7AD6">
            <w:pP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The AI app, Mental Fitness by Sonde Health, uses audio signal processing and machine learning to analyse acoustic features in a user's 30-second voice sample, identifying vocal biomarkers that provide objective health and wellness insights.</w:t>
            </w:r>
          </w:p>
        </w:tc>
        <w:tc>
          <w:tcPr>
            <w:tcW w:w="2362" w:type="dxa"/>
            <w:vAlign w:val="center"/>
            <w:hideMark/>
          </w:tcPr>
          <w:p w14:paraId="53FEDD5A"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AI-assisted decision making</w:t>
            </w:r>
          </w:p>
        </w:tc>
        <w:tc>
          <w:tcPr>
            <w:tcW w:w="1538" w:type="dxa"/>
            <w:vAlign w:val="center"/>
          </w:tcPr>
          <w:p w14:paraId="737EB6D6"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High risk</w:t>
            </w:r>
          </w:p>
        </w:tc>
        <w:tc>
          <w:tcPr>
            <w:tcW w:w="1509" w:type="dxa"/>
            <w:vAlign w:val="center"/>
          </w:tcPr>
          <w:p w14:paraId="5F391438" w14:textId="77777777" w:rsidR="00C771CC" w:rsidRPr="00A364C2" w:rsidRDefault="00C771CC" w:rsidP="006B7AD6">
            <w:pPr>
              <w:jc w:val="center"/>
              <w:rPr>
                <w:rFonts w:ascii="Times New Roman" w:hAnsi="Times New Roman" w:cs="Times New Roman"/>
                <w:color w:val="000000" w:themeColor="text1"/>
                <w:sz w:val="18"/>
                <w:szCs w:val="18"/>
              </w:rPr>
            </w:pPr>
            <w:r w:rsidRPr="00A364C2">
              <w:rPr>
                <w:rFonts w:ascii="Times New Roman" w:hAnsi="Times New Roman" w:cs="Times New Roman"/>
                <w:color w:val="000000" w:themeColor="text1"/>
                <w:sz w:val="18"/>
                <w:szCs w:val="18"/>
              </w:rPr>
              <w:t xml:space="preserve">Deployment </w:t>
            </w:r>
          </w:p>
        </w:tc>
      </w:tr>
    </w:tbl>
    <w:p w14:paraId="6FECB034" w14:textId="77777777" w:rsidR="00C771CC" w:rsidRPr="00A364C2" w:rsidRDefault="00C771CC" w:rsidP="00C771CC">
      <w:pPr>
        <w:rPr>
          <w:rFonts w:ascii="Times New Roman" w:hAnsi="Times New Roman" w:cs="Times New Roman"/>
          <w:color w:val="000000" w:themeColor="text1"/>
          <w:sz w:val="18"/>
          <w:szCs w:val="18"/>
        </w:rPr>
      </w:pPr>
    </w:p>
    <w:p w14:paraId="6630BA31" w14:textId="77777777" w:rsidR="00C771CC" w:rsidRPr="00A364C2" w:rsidRDefault="00C771CC" w:rsidP="00C771CC">
      <w:pPr>
        <w:rPr>
          <w:rFonts w:ascii="Times New Roman" w:hAnsi="Times New Roman" w:cs="Times New Roman"/>
          <w:color w:val="000000" w:themeColor="text1"/>
          <w:sz w:val="18"/>
          <w:szCs w:val="18"/>
        </w:rPr>
      </w:pPr>
    </w:p>
    <w:p w14:paraId="7663DB04" w14:textId="77777777" w:rsidR="00C771CC" w:rsidRDefault="00C771CC" w:rsidP="00C771CC">
      <w:pPr>
        <w:rPr>
          <w:rFonts w:ascii="Times New Roman" w:hAnsi="Times New Roman" w:cs="Times New Roman"/>
          <w:b/>
          <w:bCs/>
          <w:sz w:val="18"/>
          <w:szCs w:val="18"/>
        </w:rPr>
      </w:pPr>
      <w:r>
        <w:rPr>
          <w:rFonts w:ascii="Times New Roman" w:hAnsi="Times New Roman" w:cs="Times New Roman"/>
          <w:b/>
          <w:bCs/>
          <w:sz w:val="18"/>
          <w:szCs w:val="18"/>
        </w:rPr>
        <w:br w:type="page"/>
      </w:r>
    </w:p>
    <w:p w14:paraId="6FD613E6" w14:textId="77777777" w:rsidR="00C771CC" w:rsidRPr="00A364C2" w:rsidRDefault="00C771CC" w:rsidP="00C771CC">
      <w:pPr>
        <w:rPr>
          <w:rFonts w:ascii="Times New Roman" w:hAnsi="Times New Roman" w:cs="Times New Roman"/>
          <w:sz w:val="18"/>
          <w:szCs w:val="18"/>
        </w:rPr>
      </w:pPr>
      <w:r w:rsidRPr="00A364C2">
        <w:rPr>
          <w:rFonts w:ascii="Times New Roman" w:hAnsi="Times New Roman" w:cs="Times New Roman"/>
          <w:b/>
          <w:bCs/>
          <w:sz w:val="18"/>
          <w:szCs w:val="18"/>
        </w:rPr>
        <w:lastRenderedPageBreak/>
        <w:t>Appendix 4</w:t>
      </w:r>
      <w:r w:rsidRPr="00A364C2">
        <w:rPr>
          <w:rFonts w:ascii="Times New Roman" w:hAnsi="Times New Roman" w:cs="Times New Roman"/>
          <w:sz w:val="18"/>
          <w:szCs w:val="18"/>
        </w:rPr>
        <w:t xml:space="preserve"> Overview of 45 included articles and the main themes of suggested Responsible AI practices </w:t>
      </w:r>
    </w:p>
    <w:tbl>
      <w:tblPr>
        <w:tblStyle w:val="TableGrid"/>
        <w:tblW w:w="14283" w:type="dxa"/>
        <w:tblLayout w:type="fixed"/>
        <w:tblLook w:val="04A0" w:firstRow="1" w:lastRow="0" w:firstColumn="1" w:lastColumn="0" w:noHBand="0" w:noVBand="1"/>
      </w:tblPr>
      <w:tblGrid>
        <w:gridCol w:w="2209"/>
        <w:gridCol w:w="1097"/>
        <w:gridCol w:w="1098"/>
        <w:gridCol w:w="1097"/>
        <w:gridCol w:w="1098"/>
        <w:gridCol w:w="1098"/>
        <w:gridCol w:w="1097"/>
        <w:gridCol w:w="1098"/>
        <w:gridCol w:w="1098"/>
        <w:gridCol w:w="1097"/>
        <w:gridCol w:w="1098"/>
        <w:gridCol w:w="1098"/>
      </w:tblGrid>
      <w:tr w:rsidR="00C771CC" w:rsidRPr="00A364C2" w14:paraId="7E478F7F" w14:textId="77777777" w:rsidTr="006B7AD6">
        <w:trPr>
          <w:cantSplit/>
          <w:tblHeader/>
        </w:trPr>
        <w:tc>
          <w:tcPr>
            <w:tcW w:w="2209" w:type="dxa"/>
            <w:vAlign w:val="center"/>
          </w:tcPr>
          <w:p w14:paraId="02C64AAE"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lastRenderedPageBreak/>
              <w:t>Title (alphabetically)</w:t>
            </w:r>
          </w:p>
        </w:tc>
        <w:tc>
          <w:tcPr>
            <w:tcW w:w="1097" w:type="dxa"/>
            <w:vAlign w:val="center"/>
          </w:tcPr>
          <w:p w14:paraId="0C2BACE3"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Account-ability</w:t>
            </w:r>
          </w:p>
          <w:p w14:paraId="02943260"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(N=7)</w:t>
            </w:r>
          </w:p>
        </w:tc>
        <w:tc>
          <w:tcPr>
            <w:tcW w:w="1098" w:type="dxa"/>
            <w:vAlign w:val="center"/>
          </w:tcPr>
          <w:p w14:paraId="0A5D2FF0"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Harm prevention</w:t>
            </w:r>
          </w:p>
          <w:p w14:paraId="3404AEB6"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(N=17)</w:t>
            </w:r>
          </w:p>
        </w:tc>
        <w:tc>
          <w:tcPr>
            <w:tcW w:w="1097" w:type="dxa"/>
            <w:vAlign w:val="center"/>
          </w:tcPr>
          <w:p w14:paraId="32AF393E"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Fairness and equity</w:t>
            </w:r>
          </w:p>
          <w:p w14:paraId="0733C343"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(N=10)</w:t>
            </w:r>
          </w:p>
        </w:tc>
        <w:tc>
          <w:tcPr>
            <w:tcW w:w="1098" w:type="dxa"/>
            <w:vAlign w:val="center"/>
          </w:tcPr>
          <w:p w14:paraId="67D69C9B"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Explain-able</w:t>
            </w:r>
          </w:p>
          <w:p w14:paraId="2F42DA26"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(N=16)</w:t>
            </w:r>
          </w:p>
        </w:tc>
        <w:tc>
          <w:tcPr>
            <w:tcW w:w="1098" w:type="dxa"/>
            <w:vAlign w:val="center"/>
          </w:tcPr>
          <w:p w14:paraId="32B7B69A"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AI literacy (N=13)</w:t>
            </w:r>
          </w:p>
        </w:tc>
        <w:tc>
          <w:tcPr>
            <w:tcW w:w="1097" w:type="dxa"/>
            <w:vAlign w:val="center"/>
          </w:tcPr>
          <w:p w14:paraId="4CE500C5"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Value creation</w:t>
            </w:r>
          </w:p>
          <w:p w14:paraId="085B62B5"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(N=13)</w:t>
            </w:r>
          </w:p>
        </w:tc>
        <w:tc>
          <w:tcPr>
            <w:tcW w:w="1098" w:type="dxa"/>
            <w:vAlign w:val="center"/>
          </w:tcPr>
          <w:p w14:paraId="34E664C4"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Privacy and security</w:t>
            </w:r>
          </w:p>
          <w:p w14:paraId="05B470B9"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(N=7)</w:t>
            </w:r>
          </w:p>
        </w:tc>
        <w:tc>
          <w:tcPr>
            <w:tcW w:w="1098" w:type="dxa"/>
            <w:vAlign w:val="center"/>
          </w:tcPr>
          <w:p w14:paraId="7655218D"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Human in the loop</w:t>
            </w:r>
          </w:p>
          <w:p w14:paraId="3AF50ED7"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(N=28)</w:t>
            </w:r>
          </w:p>
        </w:tc>
        <w:tc>
          <w:tcPr>
            <w:tcW w:w="1097" w:type="dxa"/>
            <w:vAlign w:val="center"/>
          </w:tcPr>
          <w:p w14:paraId="6647283E"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Human-AI calibration</w:t>
            </w:r>
          </w:p>
          <w:p w14:paraId="52DFC011"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(N=24)</w:t>
            </w:r>
          </w:p>
        </w:tc>
        <w:tc>
          <w:tcPr>
            <w:tcW w:w="1098" w:type="dxa"/>
            <w:vAlign w:val="center"/>
          </w:tcPr>
          <w:p w14:paraId="6CD83B71"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RAI govern-ance</w:t>
            </w:r>
          </w:p>
          <w:p w14:paraId="3E6D5423"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(N=13)</w:t>
            </w:r>
          </w:p>
        </w:tc>
        <w:tc>
          <w:tcPr>
            <w:tcW w:w="1098" w:type="dxa"/>
            <w:vAlign w:val="center"/>
          </w:tcPr>
          <w:p w14:paraId="0341A6C0"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AI deploy-ment effect</w:t>
            </w:r>
          </w:p>
          <w:p w14:paraId="08A6B3AC" w14:textId="77777777" w:rsidR="00C771CC" w:rsidRPr="00A364C2" w:rsidRDefault="00C771CC" w:rsidP="006B7AD6">
            <w:pPr>
              <w:jc w:val="center"/>
              <w:rPr>
                <w:rFonts w:ascii="Times New Roman" w:hAnsi="Times New Roman" w:cs="Times New Roman"/>
                <w:b/>
                <w:bCs/>
                <w:sz w:val="18"/>
                <w:szCs w:val="18"/>
              </w:rPr>
            </w:pPr>
            <w:r w:rsidRPr="00A364C2">
              <w:rPr>
                <w:rFonts w:ascii="Times New Roman" w:hAnsi="Times New Roman" w:cs="Times New Roman"/>
                <w:b/>
                <w:bCs/>
                <w:sz w:val="18"/>
                <w:szCs w:val="18"/>
              </w:rPr>
              <w:t>(N=11)</w:t>
            </w:r>
          </w:p>
        </w:tc>
      </w:tr>
      <w:tr w:rsidR="00C771CC" w:rsidRPr="00A364C2" w14:paraId="5E25B844" w14:textId="77777777" w:rsidTr="006B7AD6">
        <w:trPr>
          <w:cantSplit/>
          <w:tblHeader/>
        </w:trPr>
        <w:tc>
          <w:tcPr>
            <w:tcW w:w="2209" w:type="dxa"/>
            <w:vAlign w:val="center"/>
          </w:tcPr>
          <w:p w14:paraId="1A58ECF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A Care Robot with Ethical Sensing System for Older Adults at Home </w:t>
            </w:r>
            <w:r>
              <w:rPr>
                <w:rFonts w:ascii="Times New Roman" w:hAnsi="Times New Roman" w:cs="Times New Roman"/>
                <w:noProof/>
                <w:color w:val="000000" w:themeColor="text1"/>
                <w:sz w:val="18"/>
                <w:szCs w:val="18"/>
              </w:rPr>
              <w:t>[11]</w:t>
            </w:r>
          </w:p>
        </w:tc>
        <w:tc>
          <w:tcPr>
            <w:tcW w:w="1097" w:type="dxa"/>
            <w:vAlign w:val="center"/>
          </w:tcPr>
          <w:p w14:paraId="6086C72B"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D93B2DC"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16416D87"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713921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4D818C0"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213A77E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B15F5F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488D40C"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403BC4B9"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4FF6CA7E"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9C32315" w14:textId="77777777" w:rsidR="00C771CC" w:rsidRPr="00A364C2" w:rsidRDefault="00C771CC" w:rsidP="006B7AD6">
            <w:pPr>
              <w:jc w:val="center"/>
              <w:rPr>
                <w:rFonts w:ascii="Times New Roman" w:hAnsi="Times New Roman" w:cs="Times New Roman"/>
                <w:sz w:val="18"/>
                <w:szCs w:val="18"/>
              </w:rPr>
            </w:pPr>
          </w:p>
        </w:tc>
      </w:tr>
      <w:tr w:rsidR="00C771CC" w:rsidRPr="00A364C2" w14:paraId="784C1E3C" w14:textId="77777777" w:rsidTr="006B7AD6">
        <w:trPr>
          <w:cantSplit/>
          <w:tblHeader/>
        </w:trPr>
        <w:tc>
          <w:tcPr>
            <w:tcW w:w="2209" w:type="dxa"/>
            <w:vAlign w:val="center"/>
          </w:tcPr>
          <w:p w14:paraId="681AE82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sz w:val="18"/>
                <w:szCs w:val="18"/>
              </w:rPr>
              <w:t xml:space="preserve">A Multi-Institutional Study Using Artificial Intelligence to Provide Reliable and Fair Feedback to Surgeons </w:t>
            </w:r>
            <w:r>
              <w:rPr>
                <w:rFonts w:ascii="Times New Roman" w:hAnsi="Times New Roman" w:cs="Times New Roman"/>
                <w:noProof/>
                <w:sz w:val="18"/>
                <w:szCs w:val="18"/>
              </w:rPr>
              <w:t>[43]</w:t>
            </w:r>
          </w:p>
        </w:tc>
        <w:tc>
          <w:tcPr>
            <w:tcW w:w="1097" w:type="dxa"/>
            <w:vAlign w:val="center"/>
          </w:tcPr>
          <w:p w14:paraId="6B495677"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78710CF"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139CBF87"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7F6C47ED"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78103D8A"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2215CD7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977611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3D363B4"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4FA4AF6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BE9F967"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A11CF57" w14:textId="77777777" w:rsidR="00C771CC" w:rsidRPr="00A364C2" w:rsidRDefault="00C771CC" w:rsidP="006B7AD6">
            <w:pPr>
              <w:jc w:val="center"/>
              <w:rPr>
                <w:rFonts w:ascii="Times New Roman" w:hAnsi="Times New Roman" w:cs="Times New Roman"/>
                <w:sz w:val="18"/>
                <w:szCs w:val="18"/>
              </w:rPr>
            </w:pPr>
          </w:p>
        </w:tc>
      </w:tr>
      <w:tr w:rsidR="00C771CC" w:rsidRPr="00A364C2" w14:paraId="5CB25A13" w14:textId="77777777" w:rsidTr="006B7AD6">
        <w:trPr>
          <w:cantSplit/>
          <w:tblHeader/>
        </w:trPr>
        <w:tc>
          <w:tcPr>
            <w:tcW w:w="2209" w:type="dxa"/>
            <w:vAlign w:val="center"/>
          </w:tcPr>
          <w:p w14:paraId="1B30D7A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Considerations in the Reliability and Fairness Audits of Predictive Models for Advance Care Planning </w:t>
            </w:r>
            <w:r>
              <w:rPr>
                <w:rFonts w:ascii="Times New Roman" w:hAnsi="Times New Roman" w:cs="Times New Roman"/>
                <w:noProof/>
                <w:color w:val="000000" w:themeColor="text1"/>
                <w:sz w:val="18"/>
                <w:szCs w:val="18"/>
              </w:rPr>
              <w:t>[66]</w:t>
            </w:r>
          </w:p>
        </w:tc>
        <w:tc>
          <w:tcPr>
            <w:tcW w:w="1097" w:type="dxa"/>
            <w:vAlign w:val="center"/>
          </w:tcPr>
          <w:p w14:paraId="3BCD5B2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02F10A8"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389ED1ED"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FE8433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C67982E"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3D45F89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05DED67"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E6965A0"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5C6CA9D4"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FBC09D9"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7BD2AFE2" w14:textId="77777777" w:rsidR="00C771CC" w:rsidRPr="00A364C2" w:rsidRDefault="00C771CC" w:rsidP="006B7AD6">
            <w:pPr>
              <w:jc w:val="center"/>
              <w:rPr>
                <w:rFonts w:ascii="Times New Roman" w:hAnsi="Times New Roman" w:cs="Times New Roman"/>
                <w:sz w:val="18"/>
                <w:szCs w:val="18"/>
              </w:rPr>
            </w:pPr>
          </w:p>
        </w:tc>
      </w:tr>
      <w:tr w:rsidR="00C771CC" w:rsidRPr="00A364C2" w14:paraId="1DAA5738" w14:textId="77777777" w:rsidTr="006B7AD6">
        <w:trPr>
          <w:cantSplit/>
          <w:tblHeader/>
        </w:trPr>
        <w:tc>
          <w:tcPr>
            <w:tcW w:w="2209" w:type="dxa"/>
            <w:vAlign w:val="center"/>
          </w:tcPr>
          <w:p w14:paraId="4136772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Developing an Automated Assessment of In-session Patient Activation for Psychological Therapy: Codevelopment Approach </w:t>
            </w:r>
            <w:r>
              <w:rPr>
                <w:rFonts w:ascii="Times New Roman" w:hAnsi="Times New Roman" w:cs="Times New Roman"/>
                <w:noProof/>
                <w:color w:val="000000" w:themeColor="text1"/>
                <w:sz w:val="18"/>
                <w:szCs w:val="18"/>
              </w:rPr>
              <w:t>[63]</w:t>
            </w:r>
          </w:p>
        </w:tc>
        <w:tc>
          <w:tcPr>
            <w:tcW w:w="1097" w:type="dxa"/>
            <w:vAlign w:val="center"/>
          </w:tcPr>
          <w:p w14:paraId="6186BEE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955AD29"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36E0B53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593F496"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81B0BE2"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40A3E4CC"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A8D3E26"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796220E"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65A53C4A"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F06CE7C"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32C183B" w14:textId="77777777" w:rsidR="00C771CC" w:rsidRPr="00A364C2" w:rsidRDefault="00C771CC" w:rsidP="006B7AD6">
            <w:pPr>
              <w:jc w:val="center"/>
              <w:rPr>
                <w:rFonts w:ascii="Times New Roman" w:hAnsi="Times New Roman" w:cs="Times New Roman"/>
                <w:sz w:val="18"/>
                <w:szCs w:val="18"/>
              </w:rPr>
            </w:pPr>
          </w:p>
        </w:tc>
      </w:tr>
      <w:tr w:rsidR="00C771CC" w:rsidRPr="00A364C2" w14:paraId="5B62885C" w14:textId="77777777" w:rsidTr="006B7AD6">
        <w:trPr>
          <w:cantSplit/>
          <w:tblHeader/>
        </w:trPr>
        <w:tc>
          <w:tcPr>
            <w:tcW w:w="2209" w:type="dxa"/>
            <w:vAlign w:val="center"/>
          </w:tcPr>
          <w:p w14:paraId="2AE0B34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Engaging Multidisciplinary Clinical Users in the Design of an Artificial Intelligence-Powered Graphical User Interface for Intensive Care Unit Instability Decision Support </w:t>
            </w:r>
            <w:r>
              <w:rPr>
                <w:rFonts w:ascii="Times New Roman" w:hAnsi="Times New Roman" w:cs="Times New Roman"/>
                <w:noProof/>
                <w:color w:val="000000" w:themeColor="text1"/>
                <w:sz w:val="18"/>
                <w:szCs w:val="18"/>
              </w:rPr>
              <w:t>[61]</w:t>
            </w:r>
          </w:p>
        </w:tc>
        <w:tc>
          <w:tcPr>
            <w:tcW w:w="1097" w:type="dxa"/>
            <w:vAlign w:val="center"/>
          </w:tcPr>
          <w:p w14:paraId="094A333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E9A7919"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0724AAEC"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4BDD68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1DB0A9A" w14:textId="77777777" w:rsidR="00C771CC" w:rsidRPr="00A364C2" w:rsidRDefault="00C771CC" w:rsidP="006B7AD6">
            <w:pPr>
              <w:jc w:val="center"/>
              <w:rPr>
                <w:rFonts w:ascii="Times New Roman" w:eastAsia="Symbol" w:hAnsi="Times New Roman" w:cs="Times New Roman"/>
                <w:sz w:val="18"/>
                <w:szCs w:val="18"/>
              </w:rPr>
            </w:pPr>
          </w:p>
        </w:tc>
        <w:tc>
          <w:tcPr>
            <w:tcW w:w="1097" w:type="dxa"/>
            <w:vAlign w:val="center"/>
          </w:tcPr>
          <w:p w14:paraId="6B327376"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0984549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4AD7C05"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7E7BA5E0"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8978F5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961E388"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r>
      <w:tr w:rsidR="00C771CC" w:rsidRPr="00A364C2" w14:paraId="771F77B0" w14:textId="77777777" w:rsidTr="006B7AD6">
        <w:trPr>
          <w:cantSplit/>
          <w:tblHeader/>
        </w:trPr>
        <w:tc>
          <w:tcPr>
            <w:tcW w:w="2209" w:type="dxa"/>
            <w:vAlign w:val="center"/>
          </w:tcPr>
          <w:p w14:paraId="6E1614D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Ethical Considerations in Implementing AI for Mortality Prediction in the Emergency Department: Linking Theory and Practice </w:t>
            </w:r>
            <w:r>
              <w:rPr>
                <w:rFonts w:ascii="Times New Roman" w:hAnsi="Times New Roman" w:cs="Times New Roman"/>
                <w:noProof/>
                <w:color w:val="000000" w:themeColor="text1"/>
                <w:sz w:val="18"/>
                <w:szCs w:val="18"/>
              </w:rPr>
              <w:t>[8]</w:t>
            </w:r>
          </w:p>
        </w:tc>
        <w:tc>
          <w:tcPr>
            <w:tcW w:w="1097" w:type="dxa"/>
            <w:vAlign w:val="center"/>
          </w:tcPr>
          <w:p w14:paraId="602ACA7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4A5CDA2"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47CEA59B"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DB3F869"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C4DAA76" w14:textId="77777777" w:rsidR="00C771CC" w:rsidRPr="00A364C2" w:rsidRDefault="00C771CC" w:rsidP="006B7AD6">
            <w:pPr>
              <w:jc w:val="center"/>
              <w:rPr>
                <w:rFonts w:ascii="Times New Roman" w:eastAsia="Symbol"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2A91544C"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245BC2E0"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F4FC7FD"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2B83316"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4F8CCEB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7E27E98"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r>
      <w:tr w:rsidR="00C771CC" w:rsidRPr="00A364C2" w14:paraId="49A0425B" w14:textId="77777777" w:rsidTr="006B7AD6">
        <w:trPr>
          <w:cantSplit/>
          <w:tblHeader/>
        </w:trPr>
        <w:tc>
          <w:tcPr>
            <w:tcW w:w="2209" w:type="dxa"/>
            <w:vAlign w:val="center"/>
          </w:tcPr>
          <w:p w14:paraId="0D3F9F6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ProHealth eCoach: User-Centered Design and Development of an eCoach App to Promote Healthy Lifestyle with Personalized Activity Recommendations </w:t>
            </w:r>
            <w:r>
              <w:rPr>
                <w:rFonts w:ascii="Times New Roman" w:hAnsi="Times New Roman" w:cs="Times New Roman"/>
                <w:noProof/>
                <w:color w:val="000000" w:themeColor="text1"/>
                <w:sz w:val="18"/>
                <w:szCs w:val="18"/>
              </w:rPr>
              <w:t>[55]</w:t>
            </w:r>
          </w:p>
        </w:tc>
        <w:tc>
          <w:tcPr>
            <w:tcW w:w="1097" w:type="dxa"/>
            <w:vAlign w:val="center"/>
          </w:tcPr>
          <w:p w14:paraId="5CD35E6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3D883E9"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14493EDD"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8FD671F"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C69EB01"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5669379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D8583FA"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2624E08B"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6FC6FC5A"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3FCBE9F4"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CDB06CB"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r>
      <w:tr w:rsidR="00C771CC" w:rsidRPr="00A364C2" w14:paraId="6AD779A5" w14:textId="77777777" w:rsidTr="006B7AD6">
        <w:trPr>
          <w:cantSplit/>
          <w:tblHeader/>
        </w:trPr>
        <w:tc>
          <w:tcPr>
            <w:tcW w:w="2209" w:type="dxa"/>
            <w:vAlign w:val="center"/>
          </w:tcPr>
          <w:p w14:paraId="241E882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lastRenderedPageBreak/>
              <w:t xml:space="preserve">Smartphone Applications for Triaging Adults with Skin Lesions that are Suspicious for Melanoma </w:t>
            </w:r>
            <w:r>
              <w:rPr>
                <w:rFonts w:ascii="Times New Roman" w:hAnsi="Times New Roman" w:cs="Times New Roman"/>
                <w:noProof/>
                <w:color w:val="000000" w:themeColor="text1"/>
                <w:sz w:val="18"/>
                <w:szCs w:val="18"/>
              </w:rPr>
              <w:t>[70]</w:t>
            </w:r>
          </w:p>
        </w:tc>
        <w:tc>
          <w:tcPr>
            <w:tcW w:w="1097" w:type="dxa"/>
            <w:vAlign w:val="center"/>
          </w:tcPr>
          <w:p w14:paraId="4259497B"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664D84F"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15CB4CBB"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334B697E"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F1ACC28"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7216FC0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6CEE51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A369F41"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1C8877FA"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A6F72EF"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0990EBE" w14:textId="77777777" w:rsidR="00C771CC" w:rsidRPr="00A364C2" w:rsidRDefault="00C771CC" w:rsidP="006B7AD6">
            <w:pPr>
              <w:jc w:val="center"/>
              <w:rPr>
                <w:rFonts w:ascii="Times New Roman" w:hAnsi="Times New Roman" w:cs="Times New Roman"/>
                <w:sz w:val="18"/>
                <w:szCs w:val="18"/>
              </w:rPr>
            </w:pPr>
          </w:p>
        </w:tc>
      </w:tr>
      <w:tr w:rsidR="00C771CC" w:rsidRPr="00A364C2" w14:paraId="1F3A6E92" w14:textId="77777777" w:rsidTr="006B7AD6">
        <w:trPr>
          <w:cantSplit/>
          <w:tblHeader/>
        </w:trPr>
        <w:tc>
          <w:tcPr>
            <w:tcW w:w="2209" w:type="dxa"/>
            <w:vAlign w:val="center"/>
          </w:tcPr>
          <w:p w14:paraId="67629AFC"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The Application of the Principles of Responsible AI on Social Media Marketing for Digital Health </w:t>
            </w:r>
            <w:r>
              <w:rPr>
                <w:rFonts w:ascii="Times New Roman" w:hAnsi="Times New Roman" w:cs="Times New Roman"/>
                <w:noProof/>
                <w:color w:val="000000" w:themeColor="text1"/>
                <w:sz w:val="18"/>
                <w:szCs w:val="18"/>
              </w:rPr>
              <w:t>[47]</w:t>
            </w:r>
          </w:p>
        </w:tc>
        <w:tc>
          <w:tcPr>
            <w:tcW w:w="1097" w:type="dxa"/>
            <w:vAlign w:val="center"/>
          </w:tcPr>
          <w:p w14:paraId="4CE0B30D"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341DD13"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70CB1C8F"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3B13810D"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764AA729" w14:textId="77777777" w:rsidR="00C771CC" w:rsidRPr="00A364C2" w:rsidRDefault="00C771CC" w:rsidP="006B7AD6">
            <w:pPr>
              <w:jc w:val="center"/>
              <w:rPr>
                <w:rFonts w:ascii="Times New Roman" w:eastAsia="Symbol"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28FBCF20"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F45C295"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1246C4AB"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3FF3953C"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7EB0F2B7"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55C411A" w14:textId="77777777" w:rsidR="00C771CC" w:rsidRPr="00A364C2" w:rsidRDefault="00C771CC" w:rsidP="006B7AD6">
            <w:pPr>
              <w:jc w:val="center"/>
              <w:rPr>
                <w:rFonts w:ascii="Times New Roman" w:hAnsi="Times New Roman" w:cs="Times New Roman"/>
                <w:sz w:val="18"/>
                <w:szCs w:val="18"/>
              </w:rPr>
            </w:pPr>
          </w:p>
        </w:tc>
      </w:tr>
      <w:tr w:rsidR="00C771CC" w:rsidRPr="00A364C2" w14:paraId="25B453CC" w14:textId="77777777" w:rsidTr="006B7AD6">
        <w:trPr>
          <w:cantSplit/>
          <w:tblHeader/>
        </w:trPr>
        <w:tc>
          <w:tcPr>
            <w:tcW w:w="2209" w:type="dxa"/>
            <w:vAlign w:val="center"/>
          </w:tcPr>
          <w:p w14:paraId="1FB08EA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The Participatory Value-Sensitive Design (VSD) of a mHealth App Targeting Citizens with Dementia in a Danish Municipality </w:t>
            </w:r>
            <w:r>
              <w:rPr>
                <w:rFonts w:ascii="Times New Roman" w:hAnsi="Times New Roman" w:cs="Times New Roman"/>
                <w:noProof/>
                <w:color w:val="000000" w:themeColor="text1"/>
                <w:sz w:val="18"/>
                <w:szCs w:val="18"/>
              </w:rPr>
              <w:t>[36]</w:t>
            </w:r>
          </w:p>
        </w:tc>
        <w:tc>
          <w:tcPr>
            <w:tcW w:w="1097" w:type="dxa"/>
            <w:vAlign w:val="center"/>
          </w:tcPr>
          <w:p w14:paraId="535CD48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B518281"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71084B54"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63EC5C2"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11358137" w14:textId="77777777" w:rsidR="00C771CC" w:rsidRPr="00A364C2" w:rsidRDefault="00C771CC" w:rsidP="006B7AD6">
            <w:pPr>
              <w:jc w:val="center"/>
              <w:rPr>
                <w:rFonts w:ascii="Times New Roman" w:eastAsia="Symbol" w:hAnsi="Times New Roman" w:cs="Times New Roman"/>
                <w:sz w:val="18"/>
                <w:szCs w:val="18"/>
              </w:rPr>
            </w:pPr>
          </w:p>
        </w:tc>
        <w:tc>
          <w:tcPr>
            <w:tcW w:w="1097" w:type="dxa"/>
            <w:vAlign w:val="center"/>
          </w:tcPr>
          <w:p w14:paraId="4CAAD75F"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11540C9"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376340BA"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75B6F403"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06BC0C2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72A1D56"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r>
      <w:tr w:rsidR="00C771CC" w:rsidRPr="00A364C2" w14:paraId="7F8ECA69" w14:textId="77777777" w:rsidTr="006B7AD6">
        <w:trPr>
          <w:cantSplit/>
          <w:tblHeader/>
        </w:trPr>
        <w:tc>
          <w:tcPr>
            <w:tcW w:w="2209" w:type="dxa"/>
            <w:vAlign w:val="center"/>
          </w:tcPr>
          <w:p w14:paraId="11FF6DC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Utilization of Self-Diagnosis Health Chatbots in Real-World Settings: Case Study </w:t>
            </w:r>
            <w:r>
              <w:rPr>
                <w:rFonts w:ascii="Times New Roman" w:hAnsi="Times New Roman" w:cs="Times New Roman"/>
                <w:noProof/>
                <w:color w:val="000000" w:themeColor="text1"/>
                <w:sz w:val="18"/>
                <w:szCs w:val="18"/>
              </w:rPr>
              <w:t>[12]</w:t>
            </w:r>
          </w:p>
        </w:tc>
        <w:tc>
          <w:tcPr>
            <w:tcW w:w="1097" w:type="dxa"/>
            <w:vAlign w:val="center"/>
          </w:tcPr>
          <w:p w14:paraId="0F23861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0DC2AE5"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79668DC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E59C50F"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04E9D274"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193B655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6AA783F"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4D3B59F"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8EB5918"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27C5E0BC"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D4B5F2A" w14:textId="77777777" w:rsidR="00C771CC" w:rsidRPr="00A364C2" w:rsidRDefault="00C771CC" w:rsidP="006B7AD6">
            <w:pPr>
              <w:jc w:val="center"/>
              <w:rPr>
                <w:rFonts w:ascii="Times New Roman" w:hAnsi="Times New Roman" w:cs="Times New Roman"/>
                <w:sz w:val="18"/>
                <w:szCs w:val="18"/>
              </w:rPr>
            </w:pPr>
          </w:p>
        </w:tc>
      </w:tr>
      <w:tr w:rsidR="00C771CC" w:rsidRPr="00A364C2" w14:paraId="405B1B96" w14:textId="77777777" w:rsidTr="006B7AD6">
        <w:trPr>
          <w:cantSplit/>
          <w:tblHeader/>
        </w:trPr>
        <w:tc>
          <w:tcPr>
            <w:tcW w:w="2209" w:type="dxa"/>
            <w:vAlign w:val="center"/>
          </w:tcPr>
          <w:p w14:paraId="23F81D9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A Sector-Based Approach to AI ethics: Understanding Ethical Issues of AI-related Incidents within Their Sectoral context </w:t>
            </w:r>
            <w:r>
              <w:rPr>
                <w:rFonts w:ascii="Times New Roman" w:hAnsi="Times New Roman" w:cs="Times New Roman"/>
                <w:noProof/>
                <w:color w:val="000000" w:themeColor="text1"/>
                <w:sz w:val="18"/>
                <w:szCs w:val="18"/>
              </w:rPr>
              <w:t>[31]</w:t>
            </w:r>
          </w:p>
        </w:tc>
        <w:tc>
          <w:tcPr>
            <w:tcW w:w="1097" w:type="dxa"/>
            <w:vAlign w:val="center"/>
          </w:tcPr>
          <w:p w14:paraId="00944F6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4B5D2B7"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5E61A33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2BED65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E316FEB"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599F599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13C0FA7"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8315CCD"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8C1E3DC"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14F626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D7E4649"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r>
      <w:tr w:rsidR="00C771CC" w:rsidRPr="00A364C2" w14:paraId="4C990CBF" w14:textId="77777777" w:rsidTr="006B7AD6">
        <w:trPr>
          <w:cantSplit/>
          <w:tblHeader/>
        </w:trPr>
        <w:tc>
          <w:tcPr>
            <w:tcW w:w="2209" w:type="dxa"/>
            <w:vAlign w:val="center"/>
          </w:tcPr>
          <w:p w14:paraId="023E24C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Algorithmic Hiring in Practice: Recruiter and HR Professional's Perspectives on AI Use in Hiring </w:t>
            </w:r>
            <w:r>
              <w:rPr>
                <w:rFonts w:ascii="Times New Roman" w:hAnsi="Times New Roman" w:cs="Times New Roman"/>
                <w:noProof/>
                <w:color w:val="000000" w:themeColor="text1"/>
                <w:sz w:val="18"/>
                <w:szCs w:val="18"/>
              </w:rPr>
              <w:t>[42]</w:t>
            </w:r>
          </w:p>
        </w:tc>
        <w:tc>
          <w:tcPr>
            <w:tcW w:w="1097" w:type="dxa"/>
            <w:vAlign w:val="center"/>
          </w:tcPr>
          <w:p w14:paraId="2514E31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D58E78A"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46B75F1E"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03C8CE67"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9A30A5A" w14:textId="77777777" w:rsidR="00C771CC" w:rsidRPr="00A364C2" w:rsidRDefault="00C771CC" w:rsidP="006B7AD6">
            <w:pPr>
              <w:jc w:val="center"/>
              <w:rPr>
                <w:rFonts w:ascii="Times New Roman" w:eastAsia="Symbol" w:hAnsi="Times New Roman" w:cs="Times New Roman"/>
                <w:sz w:val="18"/>
                <w:szCs w:val="18"/>
              </w:rPr>
            </w:pPr>
          </w:p>
        </w:tc>
        <w:tc>
          <w:tcPr>
            <w:tcW w:w="1097" w:type="dxa"/>
            <w:vAlign w:val="center"/>
          </w:tcPr>
          <w:p w14:paraId="0ED0FCBC"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027C6A34"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A02FF50"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6009A9A2"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DBD894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B48A2C4"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r>
      <w:tr w:rsidR="00C771CC" w:rsidRPr="00A364C2" w14:paraId="3E9ED0EE" w14:textId="77777777" w:rsidTr="006B7AD6">
        <w:trPr>
          <w:cantSplit/>
          <w:tblHeader/>
        </w:trPr>
        <w:tc>
          <w:tcPr>
            <w:tcW w:w="2209" w:type="dxa"/>
            <w:vAlign w:val="center"/>
          </w:tcPr>
          <w:p w14:paraId="268AE98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FATE in AI: Towards Algorithmic Inclusivity and Accessibility </w:t>
            </w:r>
            <w:r>
              <w:rPr>
                <w:rFonts w:ascii="Times New Roman" w:hAnsi="Times New Roman" w:cs="Times New Roman"/>
                <w:noProof/>
                <w:color w:val="000000" w:themeColor="text1"/>
                <w:sz w:val="18"/>
                <w:szCs w:val="18"/>
              </w:rPr>
              <w:t>[51]</w:t>
            </w:r>
          </w:p>
        </w:tc>
        <w:tc>
          <w:tcPr>
            <w:tcW w:w="1097" w:type="dxa"/>
            <w:vAlign w:val="center"/>
          </w:tcPr>
          <w:p w14:paraId="3A2DE0B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D11E1C9"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020F9CB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BFAB60C"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4C26C759"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06BA7BC6"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B2B179F"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F360D8B"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57B28515"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76A84C9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18E63FE"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r>
      <w:tr w:rsidR="00C771CC" w:rsidRPr="00A364C2" w14:paraId="1EE46615" w14:textId="77777777" w:rsidTr="006B7AD6">
        <w:trPr>
          <w:cantSplit/>
          <w:tblHeader/>
        </w:trPr>
        <w:tc>
          <w:tcPr>
            <w:tcW w:w="2209" w:type="dxa"/>
            <w:vAlign w:val="center"/>
          </w:tcPr>
          <w:p w14:paraId="6DC2032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Ground Truth or Dare: Factors Affecting the Creation Of Medical Datasets For Training AI </w:t>
            </w:r>
            <w:r>
              <w:rPr>
                <w:rFonts w:ascii="Times New Roman" w:hAnsi="Times New Roman" w:cs="Times New Roman"/>
                <w:noProof/>
                <w:color w:val="000000" w:themeColor="text1"/>
                <w:sz w:val="18"/>
                <w:szCs w:val="18"/>
              </w:rPr>
              <w:t>[38]</w:t>
            </w:r>
          </w:p>
        </w:tc>
        <w:tc>
          <w:tcPr>
            <w:tcW w:w="1097" w:type="dxa"/>
            <w:vAlign w:val="center"/>
          </w:tcPr>
          <w:p w14:paraId="46FF5D4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DA99D72"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7F09EA8A"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A779EF4"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A19C2FF"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95A67A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C46982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B470181"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7E1191B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30F3FB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B0C389A" w14:textId="77777777" w:rsidR="00C771CC" w:rsidRPr="00A364C2" w:rsidRDefault="00C771CC" w:rsidP="006B7AD6">
            <w:pPr>
              <w:jc w:val="center"/>
              <w:rPr>
                <w:rFonts w:ascii="Times New Roman" w:hAnsi="Times New Roman" w:cs="Times New Roman"/>
                <w:sz w:val="18"/>
                <w:szCs w:val="18"/>
              </w:rPr>
            </w:pPr>
          </w:p>
        </w:tc>
      </w:tr>
      <w:tr w:rsidR="00C771CC" w:rsidRPr="00A364C2" w14:paraId="16007E89" w14:textId="77777777" w:rsidTr="006B7AD6">
        <w:trPr>
          <w:cantSplit/>
          <w:tblHeader/>
        </w:trPr>
        <w:tc>
          <w:tcPr>
            <w:tcW w:w="2209" w:type="dxa"/>
            <w:vAlign w:val="center"/>
          </w:tcPr>
          <w:p w14:paraId="3B2D0108"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Human-Centered AI Design in Reality: A Study of Developer Companies’ Practices </w:t>
            </w:r>
            <w:r>
              <w:rPr>
                <w:rFonts w:ascii="Times New Roman" w:hAnsi="Times New Roman" w:cs="Times New Roman"/>
                <w:noProof/>
                <w:color w:val="000000" w:themeColor="text1"/>
                <w:sz w:val="18"/>
                <w:szCs w:val="18"/>
              </w:rPr>
              <w:t>[46]</w:t>
            </w:r>
          </w:p>
        </w:tc>
        <w:tc>
          <w:tcPr>
            <w:tcW w:w="1097" w:type="dxa"/>
            <w:vAlign w:val="center"/>
          </w:tcPr>
          <w:p w14:paraId="488D5BBC"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2050E3D"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47003D49"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F3BEE9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93BEA5E"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3A9B134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A3E8F2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D06FCF8"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1023B79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546311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0D5D2B0" w14:textId="77777777" w:rsidR="00C771CC" w:rsidRPr="00A364C2" w:rsidRDefault="00C771CC" w:rsidP="006B7AD6">
            <w:pPr>
              <w:jc w:val="center"/>
              <w:rPr>
                <w:rFonts w:ascii="Times New Roman" w:hAnsi="Times New Roman" w:cs="Times New Roman"/>
                <w:sz w:val="18"/>
                <w:szCs w:val="18"/>
              </w:rPr>
            </w:pPr>
          </w:p>
        </w:tc>
      </w:tr>
      <w:tr w:rsidR="00C771CC" w:rsidRPr="00A364C2" w14:paraId="09A7403B" w14:textId="77777777" w:rsidTr="006B7AD6">
        <w:trPr>
          <w:cantSplit/>
          <w:tblHeader/>
        </w:trPr>
        <w:tc>
          <w:tcPr>
            <w:tcW w:w="2209" w:type="dxa"/>
            <w:vAlign w:val="center"/>
          </w:tcPr>
          <w:p w14:paraId="2C03040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lastRenderedPageBreak/>
              <w:t xml:space="preserve">Improving the Accuracy and Transparency of Underwriting with Artificial Intelligence to Transform the Life-Insurance Industry </w:t>
            </w:r>
            <w:r>
              <w:rPr>
                <w:rFonts w:ascii="Times New Roman" w:hAnsi="Times New Roman" w:cs="Times New Roman"/>
                <w:noProof/>
                <w:color w:val="000000" w:themeColor="text1"/>
                <w:sz w:val="18"/>
                <w:szCs w:val="18"/>
              </w:rPr>
              <w:t>[7]</w:t>
            </w:r>
          </w:p>
        </w:tc>
        <w:tc>
          <w:tcPr>
            <w:tcW w:w="1097" w:type="dxa"/>
            <w:vAlign w:val="center"/>
          </w:tcPr>
          <w:p w14:paraId="0ABDFAC7"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54A584B"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002A1156"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8E7CCC8"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1FA80BDF" w14:textId="77777777" w:rsidR="00C771CC" w:rsidRPr="00A364C2" w:rsidRDefault="00C771CC" w:rsidP="006B7AD6">
            <w:pPr>
              <w:jc w:val="center"/>
              <w:rPr>
                <w:rFonts w:ascii="Times New Roman" w:eastAsia="Symbol" w:hAnsi="Times New Roman" w:cs="Times New Roman"/>
                <w:sz w:val="18"/>
                <w:szCs w:val="18"/>
              </w:rPr>
            </w:pPr>
          </w:p>
        </w:tc>
        <w:tc>
          <w:tcPr>
            <w:tcW w:w="1097" w:type="dxa"/>
            <w:vAlign w:val="center"/>
          </w:tcPr>
          <w:p w14:paraId="0CDC2B81"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757D9DE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F1F5692"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20490CF6"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2D82FED4"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576CD1B" w14:textId="77777777" w:rsidR="00C771CC" w:rsidRPr="00A364C2" w:rsidRDefault="00C771CC" w:rsidP="006B7AD6">
            <w:pPr>
              <w:jc w:val="center"/>
              <w:rPr>
                <w:rFonts w:ascii="Times New Roman" w:hAnsi="Times New Roman" w:cs="Times New Roman"/>
                <w:sz w:val="18"/>
                <w:szCs w:val="18"/>
              </w:rPr>
            </w:pPr>
          </w:p>
        </w:tc>
      </w:tr>
      <w:tr w:rsidR="00C771CC" w:rsidRPr="00A364C2" w14:paraId="5D80E7EB" w14:textId="77777777" w:rsidTr="006B7AD6">
        <w:trPr>
          <w:cantSplit/>
          <w:tblHeader/>
        </w:trPr>
        <w:tc>
          <w:tcPr>
            <w:tcW w:w="2209" w:type="dxa"/>
            <w:vAlign w:val="center"/>
          </w:tcPr>
          <w:p w14:paraId="7057CC7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Integration of the Vision of People with Diabetes into the Development Process to Improve Self-management via Diabetes Apps: Qualitative Interview Study </w:t>
            </w:r>
            <w:r>
              <w:rPr>
                <w:rFonts w:ascii="Times New Roman" w:hAnsi="Times New Roman" w:cs="Times New Roman"/>
                <w:noProof/>
                <w:color w:val="000000" w:themeColor="text1"/>
                <w:sz w:val="18"/>
                <w:szCs w:val="18"/>
              </w:rPr>
              <w:t>[62]</w:t>
            </w:r>
          </w:p>
        </w:tc>
        <w:tc>
          <w:tcPr>
            <w:tcW w:w="1097" w:type="dxa"/>
            <w:vAlign w:val="center"/>
          </w:tcPr>
          <w:p w14:paraId="734C7B9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82E9298"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0DBAAE5C"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DBFAA6E"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CFA21D7"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32F113D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592032E"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D90D5C7"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2865F382"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A3B8F4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9F37FF7" w14:textId="77777777" w:rsidR="00C771CC" w:rsidRPr="00A364C2" w:rsidRDefault="00C771CC" w:rsidP="006B7AD6">
            <w:pPr>
              <w:jc w:val="center"/>
              <w:rPr>
                <w:rFonts w:ascii="Times New Roman" w:hAnsi="Times New Roman" w:cs="Times New Roman"/>
                <w:sz w:val="18"/>
                <w:szCs w:val="18"/>
              </w:rPr>
            </w:pPr>
          </w:p>
        </w:tc>
      </w:tr>
      <w:tr w:rsidR="00C771CC" w:rsidRPr="00A364C2" w14:paraId="391E310C" w14:textId="77777777" w:rsidTr="006B7AD6">
        <w:trPr>
          <w:cantSplit/>
          <w:tblHeader/>
        </w:trPr>
        <w:tc>
          <w:tcPr>
            <w:tcW w:w="2209" w:type="dxa"/>
            <w:vAlign w:val="center"/>
          </w:tcPr>
          <w:p w14:paraId="354DFD4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Investigating How Practitioners Use Human-AI Guidelines: A Case Study on the People + AI Guidebook </w:t>
            </w:r>
            <w:r>
              <w:rPr>
                <w:rFonts w:ascii="Times New Roman" w:hAnsi="Times New Roman" w:cs="Times New Roman"/>
                <w:noProof/>
                <w:color w:val="000000" w:themeColor="text1"/>
                <w:sz w:val="18"/>
                <w:szCs w:val="18"/>
              </w:rPr>
              <w:t>[59]</w:t>
            </w:r>
          </w:p>
        </w:tc>
        <w:tc>
          <w:tcPr>
            <w:tcW w:w="1097" w:type="dxa"/>
            <w:vAlign w:val="center"/>
          </w:tcPr>
          <w:p w14:paraId="0BF9B37B"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5673BBF"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46BBB7E"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404B7F4"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411C3B1"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088D0BAF"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605FCC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EBE838E"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7DC9B9B2"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3EE5DD12"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135EDBAD"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r>
      <w:tr w:rsidR="00C771CC" w:rsidRPr="00A364C2" w14:paraId="29C9D0CC" w14:textId="77777777" w:rsidTr="006B7AD6">
        <w:trPr>
          <w:cantSplit/>
          <w:tblHeader/>
        </w:trPr>
        <w:tc>
          <w:tcPr>
            <w:tcW w:w="2209" w:type="dxa"/>
            <w:vAlign w:val="center"/>
          </w:tcPr>
          <w:p w14:paraId="564C71D9"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Large Language Models for Therapy Recommendations Across 3 Clinical Specialties: Comparative Study </w:t>
            </w:r>
            <w:r>
              <w:rPr>
                <w:rFonts w:ascii="Times New Roman" w:hAnsi="Times New Roman" w:cs="Times New Roman"/>
                <w:noProof/>
                <w:color w:val="000000" w:themeColor="text1"/>
                <w:sz w:val="18"/>
                <w:szCs w:val="18"/>
              </w:rPr>
              <w:t>[34]</w:t>
            </w:r>
          </w:p>
        </w:tc>
        <w:tc>
          <w:tcPr>
            <w:tcW w:w="1097" w:type="dxa"/>
            <w:vAlign w:val="center"/>
          </w:tcPr>
          <w:p w14:paraId="4DB87F87"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A0134E3"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5B56AFF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7A8BBB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F355AE8"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0CED357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32834FA"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8851723"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4D57C0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D03C8A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535534F" w14:textId="77777777" w:rsidR="00C771CC" w:rsidRPr="00A364C2" w:rsidRDefault="00C771CC" w:rsidP="006B7AD6">
            <w:pPr>
              <w:jc w:val="center"/>
              <w:rPr>
                <w:rFonts w:ascii="Times New Roman" w:hAnsi="Times New Roman" w:cs="Times New Roman"/>
                <w:sz w:val="18"/>
                <w:szCs w:val="18"/>
              </w:rPr>
            </w:pPr>
          </w:p>
        </w:tc>
      </w:tr>
      <w:tr w:rsidR="00C771CC" w:rsidRPr="00A364C2" w14:paraId="66A9B89C" w14:textId="77777777" w:rsidTr="006B7AD6">
        <w:trPr>
          <w:cantSplit/>
          <w:tblHeader/>
        </w:trPr>
        <w:tc>
          <w:tcPr>
            <w:tcW w:w="2209" w:type="dxa"/>
            <w:vAlign w:val="center"/>
          </w:tcPr>
          <w:p w14:paraId="3E5BE67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Lessons Learned from Problem Gambling Classification: Indirect Discrimination and Algorithmic Fairness </w:t>
            </w:r>
            <w:r>
              <w:rPr>
                <w:rFonts w:ascii="Times New Roman" w:hAnsi="Times New Roman" w:cs="Times New Roman"/>
                <w:noProof/>
                <w:color w:val="000000" w:themeColor="text1"/>
                <w:sz w:val="18"/>
                <w:szCs w:val="18"/>
              </w:rPr>
              <w:t>[44]</w:t>
            </w:r>
          </w:p>
        </w:tc>
        <w:tc>
          <w:tcPr>
            <w:tcW w:w="1097" w:type="dxa"/>
            <w:vAlign w:val="center"/>
          </w:tcPr>
          <w:p w14:paraId="66A4701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D6C0F0C"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458A1527"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D5A522E"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D0FA6D2"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0C7FA6A6"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828F89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6D46003"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4C7439AB"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1D5223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88EBB07" w14:textId="77777777" w:rsidR="00C771CC" w:rsidRPr="00A364C2" w:rsidRDefault="00C771CC" w:rsidP="006B7AD6">
            <w:pPr>
              <w:jc w:val="center"/>
              <w:rPr>
                <w:rFonts w:ascii="Times New Roman" w:hAnsi="Times New Roman" w:cs="Times New Roman"/>
                <w:sz w:val="18"/>
                <w:szCs w:val="18"/>
              </w:rPr>
            </w:pPr>
          </w:p>
        </w:tc>
      </w:tr>
      <w:tr w:rsidR="00C771CC" w:rsidRPr="00A364C2" w14:paraId="10CDDFC9" w14:textId="77777777" w:rsidTr="006B7AD6">
        <w:trPr>
          <w:cantSplit/>
          <w:tblHeader/>
        </w:trPr>
        <w:tc>
          <w:tcPr>
            <w:tcW w:w="2209" w:type="dxa"/>
            <w:vAlign w:val="center"/>
          </w:tcPr>
          <w:p w14:paraId="181C13F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One Size Does Not Fit All: Participants' Experiences of the SelfBACK App to Support Self-Management of Low Back Pain-A Qualitative Interview Study </w:t>
            </w:r>
            <w:r>
              <w:rPr>
                <w:rFonts w:ascii="Times New Roman" w:hAnsi="Times New Roman" w:cs="Times New Roman"/>
                <w:noProof/>
                <w:color w:val="000000" w:themeColor="text1"/>
                <w:sz w:val="18"/>
                <w:szCs w:val="18"/>
              </w:rPr>
              <w:t>[60]</w:t>
            </w:r>
          </w:p>
        </w:tc>
        <w:tc>
          <w:tcPr>
            <w:tcW w:w="1097" w:type="dxa"/>
            <w:vAlign w:val="center"/>
          </w:tcPr>
          <w:p w14:paraId="08359ACF"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B80A8A8"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1D2E40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2821CA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4924382"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7A348A0B"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CA0D49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10768DC"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244EA3E1"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77F1AE0D"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DAF1539" w14:textId="77777777" w:rsidR="00C771CC" w:rsidRPr="00A364C2" w:rsidRDefault="00C771CC" w:rsidP="006B7AD6">
            <w:pPr>
              <w:jc w:val="center"/>
              <w:rPr>
                <w:rFonts w:ascii="Times New Roman" w:hAnsi="Times New Roman" w:cs="Times New Roman"/>
                <w:sz w:val="18"/>
                <w:szCs w:val="18"/>
              </w:rPr>
            </w:pPr>
          </w:p>
        </w:tc>
      </w:tr>
      <w:tr w:rsidR="00C771CC" w:rsidRPr="00A364C2" w14:paraId="074185DC" w14:textId="77777777" w:rsidTr="006B7AD6">
        <w:trPr>
          <w:cantSplit/>
          <w:tblHeader/>
        </w:trPr>
        <w:tc>
          <w:tcPr>
            <w:tcW w:w="2209" w:type="dxa"/>
            <w:vAlign w:val="center"/>
          </w:tcPr>
          <w:p w14:paraId="450EDEB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Open Video Data Sharing in Developmental Science and Clinical Practice </w:t>
            </w:r>
            <w:r>
              <w:rPr>
                <w:rFonts w:ascii="Times New Roman" w:hAnsi="Times New Roman" w:cs="Times New Roman"/>
                <w:noProof/>
                <w:color w:val="000000" w:themeColor="text1"/>
                <w:sz w:val="18"/>
                <w:szCs w:val="18"/>
              </w:rPr>
              <w:t>[56]</w:t>
            </w:r>
          </w:p>
        </w:tc>
        <w:tc>
          <w:tcPr>
            <w:tcW w:w="1097" w:type="dxa"/>
            <w:vAlign w:val="center"/>
          </w:tcPr>
          <w:p w14:paraId="6682CAE6"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2AED124"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479A280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FFE2EC4"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5550512"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39B064B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F14D73D"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1D920452"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05BC8A5F"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D15040D"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A4940A4" w14:textId="77777777" w:rsidR="00C771CC" w:rsidRPr="00A364C2" w:rsidRDefault="00C771CC" w:rsidP="006B7AD6">
            <w:pPr>
              <w:jc w:val="center"/>
              <w:rPr>
                <w:rFonts w:ascii="Times New Roman" w:hAnsi="Times New Roman" w:cs="Times New Roman"/>
                <w:sz w:val="18"/>
                <w:szCs w:val="18"/>
              </w:rPr>
            </w:pPr>
          </w:p>
        </w:tc>
      </w:tr>
      <w:tr w:rsidR="00C771CC" w:rsidRPr="00A364C2" w14:paraId="0F8D14BB" w14:textId="77777777" w:rsidTr="006B7AD6">
        <w:trPr>
          <w:cantSplit/>
          <w:tblHeader/>
        </w:trPr>
        <w:tc>
          <w:tcPr>
            <w:tcW w:w="2209" w:type="dxa"/>
            <w:vAlign w:val="center"/>
          </w:tcPr>
          <w:p w14:paraId="77B8F7D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Participatory Algorithmic Management: Elicitation Methods for Worker Well-Being Models </w:t>
            </w:r>
            <w:r>
              <w:rPr>
                <w:rFonts w:ascii="Times New Roman" w:hAnsi="Times New Roman" w:cs="Times New Roman"/>
                <w:noProof/>
                <w:color w:val="000000" w:themeColor="text1"/>
                <w:sz w:val="18"/>
                <w:szCs w:val="18"/>
              </w:rPr>
              <w:t>[57]</w:t>
            </w:r>
          </w:p>
        </w:tc>
        <w:tc>
          <w:tcPr>
            <w:tcW w:w="1097" w:type="dxa"/>
            <w:vAlign w:val="center"/>
          </w:tcPr>
          <w:p w14:paraId="0E084E9E"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FBCCBB4"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38DF9D1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59A805A"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33AE658"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45A39C4E"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0B02A1D"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14C62D7"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1A78B6D0"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240A01D6"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EF53207" w14:textId="77777777" w:rsidR="00C771CC" w:rsidRPr="00A364C2" w:rsidRDefault="00C771CC" w:rsidP="006B7AD6">
            <w:pPr>
              <w:jc w:val="center"/>
              <w:rPr>
                <w:rFonts w:ascii="Times New Roman" w:hAnsi="Times New Roman" w:cs="Times New Roman"/>
                <w:sz w:val="18"/>
                <w:szCs w:val="18"/>
              </w:rPr>
            </w:pPr>
          </w:p>
        </w:tc>
      </w:tr>
      <w:tr w:rsidR="00C771CC" w:rsidRPr="00A364C2" w14:paraId="62427CE6" w14:textId="77777777" w:rsidTr="006B7AD6">
        <w:trPr>
          <w:cantSplit/>
          <w:tblHeader/>
        </w:trPr>
        <w:tc>
          <w:tcPr>
            <w:tcW w:w="2209" w:type="dxa"/>
            <w:vAlign w:val="center"/>
          </w:tcPr>
          <w:p w14:paraId="326109C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lastRenderedPageBreak/>
              <w:t xml:space="preserve">Patchwork: The Hidden, Human Labor of AI Integration within Essential Work </w:t>
            </w:r>
            <w:r>
              <w:rPr>
                <w:rFonts w:ascii="Times New Roman" w:hAnsi="Times New Roman" w:cs="Times New Roman"/>
                <w:noProof/>
                <w:color w:val="000000" w:themeColor="text1"/>
                <w:sz w:val="18"/>
                <w:szCs w:val="18"/>
              </w:rPr>
              <w:t>[13]</w:t>
            </w:r>
          </w:p>
        </w:tc>
        <w:tc>
          <w:tcPr>
            <w:tcW w:w="1097" w:type="dxa"/>
            <w:vAlign w:val="center"/>
          </w:tcPr>
          <w:p w14:paraId="4FC0C17A"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0CB4947"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01C6E81D"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6C3404E"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B86CAC7" w14:textId="77777777" w:rsidR="00C771CC" w:rsidRPr="00A364C2" w:rsidRDefault="00C771CC" w:rsidP="006B7AD6">
            <w:pPr>
              <w:jc w:val="center"/>
              <w:rPr>
                <w:rFonts w:ascii="Times New Roman" w:eastAsia="Symbol" w:hAnsi="Times New Roman" w:cs="Times New Roman"/>
                <w:sz w:val="18"/>
                <w:szCs w:val="18"/>
              </w:rPr>
            </w:pPr>
          </w:p>
        </w:tc>
        <w:tc>
          <w:tcPr>
            <w:tcW w:w="1097" w:type="dxa"/>
            <w:vAlign w:val="center"/>
          </w:tcPr>
          <w:p w14:paraId="0D1E07FE"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4254AA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5ACD489"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426261A3"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3488A3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0EA9428"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r>
      <w:tr w:rsidR="00C771CC" w:rsidRPr="00A364C2" w14:paraId="0A5F2410" w14:textId="77777777" w:rsidTr="006B7AD6">
        <w:trPr>
          <w:cantSplit/>
          <w:tblHeader/>
        </w:trPr>
        <w:tc>
          <w:tcPr>
            <w:tcW w:w="2209" w:type="dxa"/>
            <w:vAlign w:val="center"/>
          </w:tcPr>
          <w:p w14:paraId="2BBE7081"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Public Health Calls for/with AI: An Ethnographic Perspective </w:t>
            </w:r>
            <w:r>
              <w:rPr>
                <w:rFonts w:ascii="Times New Roman" w:hAnsi="Times New Roman" w:cs="Times New Roman"/>
                <w:noProof/>
                <w:color w:val="000000" w:themeColor="text1"/>
                <w:sz w:val="18"/>
                <w:szCs w:val="18"/>
              </w:rPr>
              <w:t>[45]</w:t>
            </w:r>
          </w:p>
        </w:tc>
        <w:tc>
          <w:tcPr>
            <w:tcW w:w="1097" w:type="dxa"/>
            <w:vAlign w:val="center"/>
          </w:tcPr>
          <w:p w14:paraId="43EEBC6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8BDEC4B"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91EDA47"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FA8B83F"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6B13CA6" w14:textId="77777777" w:rsidR="00C771CC" w:rsidRPr="00A364C2" w:rsidRDefault="00C771CC" w:rsidP="006B7AD6">
            <w:pPr>
              <w:jc w:val="center"/>
              <w:rPr>
                <w:rFonts w:ascii="Times New Roman" w:eastAsia="Symbol" w:hAnsi="Times New Roman" w:cs="Times New Roman"/>
                <w:sz w:val="18"/>
                <w:szCs w:val="18"/>
              </w:rPr>
            </w:pPr>
          </w:p>
        </w:tc>
        <w:tc>
          <w:tcPr>
            <w:tcW w:w="1097" w:type="dxa"/>
            <w:vAlign w:val="center"/>
          </w:tcPr>
          <w:p w14:paraId="38709E7F"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37D411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7369F65"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558D9439"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337C20D4"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C0441DA" w14:textId="77777777" w:rsidR="00C771CC" w:rsidRPr="00A364C2" w:rsidRDefault="00C771CC" w:rsidP="006B7AD6">
            <w:pPr>
              <w:jc w:val="center"/>
              <w:rPr>
                <w:rFonts w:ascii="Times New Roman" w:hAnsi="Times New Roman" w:cs="Times New Roman"/>
                <w:sz w:val="18"/>
                <w:szCs w:val="18"/>
              </w:rPr>
            </w:pPr>
          </w:p>
        </w:tc>
      </w:tr>
      <w:tr w:rsidR="00C771CC" w:rsidRPr="00A364C2" w14:paraId="72D5D459" w14:textId="77777777" w:rsidTr="006B7AD6">
        <w:trPr>
          <w:cantSplit/>
          <w:tblHeader/>
        </w:trPr>
        <w:tc>
          <w:tcPr>
            <w:tcW w:w="2209" w:type="dxa"/>
            <w:vAlign w:val="center"/>
          </w:tcPr>
          <w:p w14:paraId="7EF72172"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Questioning the AI: Informing Design Practices for Explainable AI User Experiences </w:t>
            </w:r>
            <w:r>
              <w:rPr>
                <w:rFonts w:ascii="Times New Roman" w:hAnsi="Times New Roman" w:cs="Times New Roman"/>
                <w:noProof/>
                <w:color w:val="000000" w:themeColor="text1"/>
                <w:sz w:val="18"/>
                <w:szCs w:val="18"/>
              </w:rPr>
              <w:t>[52]</w:t>
            </w:r>
          </w:p>
        </w:tc>
        <w:tc>
          <w:tcPr>
            <w:tcW w:w="1097" w:type="dxa"/>
            <w:vAlign w:val="center"/>
          </w:tcPr>
          <w:p w14:paraId="69CB15FC"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F176341"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2F476E0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25421CF"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0A1EF4B"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F65FC1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68400A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118DC0F"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31BEEE70"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04CE010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E0938D2" w14:textId="77777777" w:rsidR="00C771CC" w:rsidRPr="00A364C2" w:rsidRDefault="00C771CC" w:rsidP="006B7AD6">
            <w:pPr>
              <w:jc w:val="center"/>
              <w:rPr>
                <w:rFonts w:ascii="Times New Roman" w:hAnsi="Times New Roman" w:cs="Times New Roman"/>
                <w:sz w:val="18"/>
                <w:szCs w:val="18"/>
              </w:rPr>
            </w:pPr>
          </w:p>
        </w:tc>
      </w:tr>
      <w:tr w:rsidR="00C771CC" w:rsidRPr="00A364C2" w14:paraId="525820C5" w14:textId="77777777" w:rsidTr="006B7AD6">
        <w:trPr>
          <w:cantSplit/>
          <w:tblHeader/>
        </w:trPr>
        <w:tc>
          <w:tcPr>
            <w:tcW w:w="2209" w:type="dxa"/>
            <w:vAlign w:val="center"/>
          </w:tcPr>
          <w:p w14:paraId="10404CE7"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Rethinking the Role of AI with Physicians in Oncology: Revealing Perspectives from Clinical and Research Workflows </w:t>
            </w:r>
            <w:r>
              <w:rPr>
                <w:rFonts w:ascii="Times New Roman" w:hAnsi="Times New Roman" w:cs="Times New Roman"/>
                <w:noProof/>
                <w:color w:val="000000" w:themeColor="text1"/>
                <w:sz w:val="18"/>
                <w:szCs w:val="18"/>
              </w:rPr>
              <w:t>[35]</w:t>
            </w:r>
          </w:p>
        </w:tc>
        <w:tc>
          <w:tcPr>
            <w:tcW w:w="1097" w:type="dxa"/>
            <w:vAlign w:val="center"/>
          </w:tcPr>
          <w:p w14:paraId="0DD2E30F"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E5D5F35"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0F1A6D44"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3DE8AAC"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0B7A881C" w14:textId="77777777" w:rsidR="00C771CC" w:rsidRPr="00A364C2" w:rsidRDefault="00C771CC" w:rsidP="006B7AD6">
            <w:pPr>
              <w:jc w:val="center"/>
              <w:rPr>
                <w:rFonts w:ascii="Times New Roman" w:eastAsia="Symbol"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76C4404F"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1E401FF"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032D71AD"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016EABC1"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0DBFBD8C"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FD75157" w14:textId="77777777" w:rsidR="00C771CC" w:rsidRPr="00A364C2" w:rsidRDefault="00C771CC" w:rsidP="006B7AD6">
            <w:pPr>
              <w:jc w:val="center"/>
              <w:rPr>
                <w:rFonts w:ascii="Times New Roman" w:hAnsi="Times New Roman" w:cs="Times New Roman"/>
                <w:sz w:val="18"/>
                <w:szCs w:val="18"/>
              </w:rPr>
            </w:pPr>
          </w:p>
        </w:tc>
      </w:tr>
      <w:tr w:rsidR="00C771CC" w:rsidRPr="00A364C2" w14:paraId="14AA35CE" w14:textId="77777777" w:rsidTr="006B7AD6">
        <w:trPr>
          <w:cantSplit/>
          <w:tblHeader/>
        </w:trPr>
        <w:tc>
          <w:tcPr>
            <w:tcW w:w="2209" w:type="dxa"/>
            <w:vAlign w:val="center"/>
          </w:tcPr>
          <w:p w14:paraId="19EE115F"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Risk Assessment and Classification of Medical Device Software for the Internet of Medical Things: Challenges Arising from Connected, Intelligent Medical Devices </w:t>
            </w:r>
            <w:r>
              <w:rPr>
                <w:rFonts w:ascii="Times New Roman" w:hAnsi="Times New Roman" w:cs="Times New Roman"/>
                <w:noProof/>
                <w:color w:val="000000" w:themeColor="text1"/>
                <w:sz w:val="18"/>
                <w:szCs w:val="18"/>
              </w:rPr>
              <w:t>[50]</w:t>
            </w:r>
          </w:p>
        </w:tc>
        <w:tc>
          <w:tcPr>
            <w:tcW w:w="1097" w:type="dxa"/>
            <w:vAlign w:val="center"/>
          </w:tcPr>
          <w:p w14:paraId="5D1D3377"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44C40C9"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3C5E2FB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4597160"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765F26F2"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3B65FF2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2FA9B7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32A05D4"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2E2E96AB"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4C56F350"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3EC1320F"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r>
      <w:tr w:rsidR="00C771CC" w:rsidRPr="00A364C2" w14:paraId="3BEE1701" w14:textId="77777777" w:rsidTr="006B7AD6">
        <w:trPr>
          <w:cantSplit/>
          <w:tblHeader/>
        </w:trPr>
        <w:tc>
          <w:tcPr>
            <w:tcW w:w="2209" w:type="dxa"/>
            <w:vAlign w:val="center"/>
          </w:tcPr>
          <w:p w14:paraId="60DED6D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Stories from the Frontline: Recuperating Essential Worker Accounts of AI Integration </w:t>
            </w:r>
            <w:r>
              <w:rPr>
                <w:rFonts w:ascii="Times New Roman" w:hAnsi="Times New Roman" w:cs="Times New Roman"/>
                <w:noProof/>
                <w:color w:val="000000" w:themeColor="text1"/>
                <w:sz w:val="18"/>
                <w:szCs w:val="18"/>
              </w:rPr>
              <w:t>[14]</w:t>
            </w:r>
          </w:p>
        </w:tc>
        <w:tc>
          <w:tcPr>
            <w:tcW w:w="1097" w:type="dxa"/>
            <w:vAlign w:val="center"/>
          </w:tcPr>
          <w:p w14:paraId="5FE48FA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E67F78C"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559095B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6CB8D5B"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9FA9EAB"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4EA5F25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F4DF25B"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C575A3B"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3E2D8D1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48A3E0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679DBB1"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r>
      <w:tr w:rsidR="00C771CC" w:rsidRPr="00A364C2" w14:paraId="00312A59" w14:textId="77777777" w:rsidTr="006B7AD6">
        <w:trPr>
          <w:cantSplit/>
          <w:tblHeader/>
        </w:trPr>
        <w:tc>
          <w:tcPr>
            <w:tcW w:w="2209" w:type="dxa"/>
            <w:vAlign w:val="center"/>
          </w:tcPr>
          <w:p w14:paraId="37F5450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Supporting Human-AI Collaboration in Auditing LLMs with LLMs </w:t>
            </w:r>
            <w:r>
              <w:rPr>
                <w:rFonts w:ascii="Times New Roman" w:hAnsi="Times New Roman" w:cs="Times New Roman"/>
                <w:noProof/>
                <w:color w:val="000000" w:themeColor="text1"/>
                <w:sz w:val="18"/>
                <w:szCs w:val="18"/>
              </w:rPr>
              <w:t>[58]</w:t>
            </w:r>
          </w:p>
        </w:tc>
        <w:tc>
          <w:tcPr>
            <w:tcW w:w="1097" w:type="dxa"/>
            <w:vAlign w:val="center"/>
          </w:tcPr>
          <w:p w14:paraId="5765D1D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8301D10"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8D7E79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DDCAAEE"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59637D6"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7EE9029A"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C15C36F"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9F74BF8"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1F2A5059"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3559257F"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80057B2" w14:textId="77777777" w:rsidR="00C771CC" w:rsidRPr="00A364C2" w:rsidRDefault="00C771CC" w:rsidP="006B7AD6">
            <w:pPr>
              <w:jc w:val="center"/>
              <w:rPr>
                <w:rFonts w:ascii="Times New Roman" w:hAnsi="Times New Roman" w:cs="Times New Roman"/>
                <w:sz w:val="18"/>
                <w:szCs w:val="18"/>
              </w:rPr>
            </w:pPr>
          </w:p>
        </w:tc>
      </w:tr>
      <w:tr w:rsidR="00C771CC" w:rsidRPr="00A364C2" w14:paraId="746A406B" w14:textId="77777777" w:rsidTr="006B7AD6">
        <w:trPr>
          <w:cantSplit/>
          <w:tblHeader/>
        </w:trPr>
        <w:tc>
          <w:tcPr>
            <w:tcW w:w="2209" w:type="dxa"/>
            <w:vAlign w:val="center"/>
          </w:tcPr>
          <w:p w14:paraId="79325446"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The Ethical Use of High-Performance Computing and Artificial Intelligence: Fighting COVID-19 at Barcelona Supercomputing Center </w:t>
            </w:r>
            <w:r>
              <w:rPr>
                <w:rFonts w:ascii="Times New Roman" w:hAnsi="Times New Roman" w:cs="Times New Roman"/>
                <w:noProof/>
                <w:color w:val="000000" w:themeColor="text1"/>
                <w:sz w:val="18"/>
                <w:szCs w:val="18"/>
              </w:rPr>
              <w:t>[39]</w:t>
            </w:r>
          </w:p>
        </w:tc>
        <w:tc>
          <w:tcPr>
            <w:tcW w:w="1097" w:type="dxa"/>
            <w:vAlign w:val="center"/>
          </w:tcPr>
          <w:p w14:paraId="1AD7E743"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7CFB181"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25D99C9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859614A"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07F62735"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094ACF2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5F90BA5"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0E406693"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57ABE0A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7D5686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11381E0" w14:textId="77777777" w:rsidR="00C771CC" w:rsidRPr="00A364C2" w:rsidRDefault="00C771CC" w:rsidP="006B7AD6">
            <w:pPr>
              <w:jc w:val="center"/>
              <w:rPr>
                <w:rFonts w:ascii="Times New Roman" w:hAnsi="Times New Roman" w:cs="Times New Roman"/>
                <w:sz w:val="18"/>
                <w:szCs w:val="18"/>
              </w:rPr>
            </w:pPr>
          </w:p>
        </w:tc>
      </w:tr>
      <w:tr w:rsidR="00C771CC" w:rsidRPr="00A364C2" w14:paraId="3F3E374B" w14:textId="77777777" w:rsidTr="006B7AD6">
        <w:trPr>
          <w:cantSplit/>
          <w:tblHeader/>
        </w:trPr>
        <w:tc>
          <w:tcPr>
            <w:tcW w:w="2209" w:type="dxa"/>
            <w:vAlign w:val="center"/>
          </w:tcPr>
          <w:p w14:paraId="2B36451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The Fallacy of AI Functionality </w:t>
            </w:r>
            <w:r>
              <w:rPr>
                <w:rFonts w:ascii="Times New Roman" w:hAnsi="Times New Roman" w:cs="Times New Roman"/>
                <w:noProof/>
                <w:color w:val="000000" w:themeColor="text1"/>
                <w:sz w:val="18"/>
                <w:szCs w:val="18"/>
              </w:rPr>
              <w:t>[67]</w:t>
            </w:r>
          </w:p>
        </w:tc>
        <w:tc>
          <w:tcPr>
            <w:tcW w:w="1097" w:type="dxa"/>
            <w:vAlign w:val="center"/>
          </w:tcPr>
          <w:p w14:paraId="5C05D694"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705C753"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3BCBA0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A38A60F"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A47644A" w14:textId="77777777" w:rsidR="00C771CC" w:rsidRPr="00A364C2" w:rsidRDefault="00C771CC" w:rsidP="006B7AD6">
            <w:pPr>
              <w:jc w:val="center"/>
              <w:rPr>
                <w:rFonts w:ascii="Times New Roman" w:eastAsia="Symbol" w:hAnsi="Times New Roman" w:cs="Times New Roman"/>
                <w:sz w:val="18"/>
                <w:szCs w:val="18"/>
              </w:rPr>
            </w:pPr>
          </w:p>
        </w:tc>
        <w:tc>
          <w:tcPr>
            <w:tcW w:w="1097" w:type="dxa"/>
            <w:vAlign w:val="center"/>
          </w:tcPr>
          <w:p w14:paraId="2FDF58BB"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265BBC5A"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85587F0"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744CC15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FA27841"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6EC3871" w14:textId="77777777" w:rsidR="00C771CC" w:rsidRPr="00A364C2" w:rsidRDefault="00C771CC" w:rsidP="006B7AD6">
            <w:pPr>
              <w:jc w:val="center"/>
              <w:rPr>
                <w:rFonts w:ascii="Times New Roman" w:hAnsi="Times New Roman" w:cs="Times New Roman"/>
                <w:sz w:val="18"/>
                <w:szCs w:val="18"/>
              </w:rPr>
            </w:pPr>
          </w:p>
        </w:tc>
      </w:tr>
      <w:tr w:rsidR="00C771CC" w:rsidRPr="00A364C2" w14:paraId="21B4E61D" w14:textId="77777777" w:rsidTr="006B7AD6">
        <w:trPr>
          <w:cantSplit/>
          <w:tblHeader/>
        </w:trPr>
        <w:tc>
          <w:tcPr>
            <w:tcW w:w="2209" w:type="dxa"/>
            <w:vAlign w:val="center"/>
          </w:tcPr>
          <w:p w14:paraId="50DC15D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The Medical Authority of AI: A Study of AI-enabled Consumer-Facing Health Technology </w:t>
            </w:r>
            <w:r>
              <w:rPr>
                <w:rFonts w:ascii="Times New Roman" w:hAnsi="Times New Roman" w:cs="Times New Roman"/>
                <w:noProof/>
                <w:color w:val="000000" w:themeColor="text1"/>
                <w:sz w:val="18"/>
                <w:szCs w:val="18"/>
              </w:rPr>
              <w:t>[37]</w:t>
            </w:r>
          </w:p>
        </w:tc>
        <w:tc>
          <w:tcPr>
            <w:tcW w:w="1097" w:type="dxa"/>
            <w:vAlign w:val="center"/>
          </w:tcPr>
          <w:p w14:paraId="263E613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223ACAE"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6DA4702A"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86FFD1B"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B4DECC4"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578113FD"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DE8A34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0CBE65B"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1951008F"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38F3D13"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3926D48D" w14:textId="77777777" w:rsidR="00C771CC" w:rsidRPr="00A364C2" w:rsidRDefault="00C771CC" w:rsidP="006B7AD6">
            <w:pPr>
              <w:jc w:val="center"/>
              <w:rPr>
                <w:rFonts w:ascii="Times New Roman" w:hAnsi="Times New Roman" w:cs="Times New Roman"/>
                <w:sz w:val="18"/>
                <w:szCs w:val="18"/>
              </w:rPr>
            </w:pPr>
          </w:p>
        </w:tc>
      </w:tr>
      <w:tr w:rsidR="00C771CC" w:rsidRPr="00A364C2" w14:paraId="4720FE61" w14:textId="77777777" w:rsidTr="006B7AD6">
        <w:trPr>
          <w:cantSplit/>
          <w:tblHeader/>
        </w:trPr>
        <w:tc>
          <w:tcPr>
            <w:tcW w:w="2209" w:type="dxa"/>
            <w:vAlign w:val="center"/>
          </w:tcPr>
          <w:p w14:paraId="33ECA58D"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lastRenderedPageBreak/>
              <w:t xml:space="preserve">The Need for Knowledge Extraction: Understanding Harmful Gambling Behavior with Neural Networks </w:t>
            </w:r>
            <w:r>
              <w:rPr>
                <w:rFonts w:ascii="Times New Roman" w:hAnsi="Times New Roman" w:cs="Times New Roman"/>
                <w:noProof/>
                <w:color w:val="000000" w:themeColor="text1"/>
                <w:sz w:val="18"/>
                <w:szCs w:val="18"/>
              </w:rPr>
              <w:t>[33]</w:t>
            </w:r>
          </w:p>
        </w:tc>
        <w:tc>
          <w:tcPr>
            <w:tcW w:w="1097" w:type="dxa"/>
            <w:vAlign w:val="center"/>
          </w:tcPr>
          <w:p w14:paraId="1897E2D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5E66365"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427FD4E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D16CEF9"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2F0EFD60"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D1B1A5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3CDC2CF"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7B76554"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61B7111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717ADCB"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2732A0C" w14:textId="77777777" w:rsidR="00C771CC" w:rsidRPr="00A364C2" w:rsidRDefault="00C771CC" w:rsidP="006B7AD6">
            <w:pPr>
              <w:jc w:val="center"/>
              <w:rPr>
                <w:rFonts w:ascii="Times New Roman" w:hAnsi="Times New Roman" w:cs="Times New Roman"/>
                <w:sz w:val="18"/>
                <w:szCs w:val="18"/>
              </w:rPr>
            </w:pPr>
          </w:p>
        </w:tc>
      </w:tr>
      <w:tr w:rsidR="00C771CC" w:rsidRPr="00A364C2" w14:paraId="2706E713" w14:textId="77777777" w:rsidTr="006B7AD6">
        <w:trPr>
          <w:cantSplit/>
          <w:tblHeader/>
        </w:trPr>
        <w:tc>
          <w:tcPr>
            <w:tcW w:w="2209" w:type="dxa"/>
            <w:vAlign w:val="center"/>
          </w:tcPr>
          <w:p w14:paraId="57CB97FE"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Toward Involving End-users in Interactive Human-in-the-loop AI Fairness </w:t>
            </w:r>
            <w:r>
              <w:rPr>
                <w:rFonts w:ascii="Times New Roman" w:hAnsi="Times New Roman" w:cs="Times New Roman"/>
                <w:noProof/>
                <w:color w:val="000000" w:themeColor="text1"/>
                <w:sz w:val="18"/>
                <w:szCs w:val="18"/>
              </w:rPr>
              <w:t>[41]</w:t>
            </w:r>
          </w:p>
        </w:tc>
        <w:tc>
          <w:tcPr>
            <w:tcW w:w="1097" w:type="dxa"/>
            <w:vAlign w:val="center"/>
          </w:tcPr>
          <w:p w14:paraId="3892D36D"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3C5C281"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04C3BAC4"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3E093E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99695DA" w14:textId="77777777" w:rsidR="00C771CC" w:rsidRPr="00A364C2" w:rsidRDefault="00C771CC" w:rsidP="006B7AD6">
            <w:pPr>
              <w:jc w:val="center"/>
              <w:rPr>
                <w:rFonts w:ascii="Times New Roman" w:eastAsia="Symbol" w:hAnsi="Times New Roman" w:cs="Times New Roman"/>
                <w:sz w:val="18"/>
                <w:szCs w:val="18"/>
              </w:rPr>
            </w:pPr>
          </w:p>
        </w:tc>
        <w:tc>
          <w:tcPr>
            <w:tcW w:w="1097" w:type="dxa"/>
            <w:vAlign w:val="center"/>
          </w:tcPr>
          <w:p w14:paraId="60FFA7FB"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4ADC3594"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D005018"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100DA70D"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6CE5AC9"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57DD2A5" w14:textId="77777777" w:rsidR="00C771CC" w:rsidRPr="00A364C2" w:rsidRDefault="00C771CC" w:rsidP="006B7AD6">
            <w:pPr>
              <w:jc w:val="center"/>
              <w:rPr>
                <w:rFonts w:ascii="Times New Roman" w:hAnsi="Times New Roman" w:cs="Times New Roman"/>
                <w:sz w:val="18"/>
                <w:szCs w:val="18"/>
              </w:rPr>
            </w:pPr>
          </w:p>
        </w:tc>
      </w:tr>
      <w:tr w:rsidR="00C771CC" w:rsidRPr="00A364C2" w14:paraId="7CD095F6" w14:textId="77777777" w:rsidTr="006B7AD6">
        <w:trPr>
          <w:cantSplit/>
          <w:tblHeader/>
        </w:trPr>
        <w:tc>
          <w:tcPr>
            <w:tcW w:w="2209" w:type="dxa"/>
            <w:vAlign w:val="center"/>
          </w:tcPr>
          <w:p w14:paraId="4EDB834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Using Model Cards for Ethical Reflection: A Qualitative Exploration </w:t>
            </w:r>
            <w:r>
              <w:rPr>
                <w:rFonts w:ascii="Times New Roman" w:hAnsi="Times New Roman" w:cs="Times New Roman"/>
                <w:noProof/>
                <w:color w:val="000000" w:themeColor="text1"/>
                <w:sz w:val="18"/>
                <w:szCs w:val="18"/>
              </w:rPr>
              <w:t>[40]</w:t>
            </w:r>
          </w:p>
        </w:tc>
        <w:tc>
          <w:tcPr>
            <w:tcW w:w="1097" w:type="dxa"/>
            <w:vAlign w:val="center"/>
          </w:tcPr>
          <w:p w14:paraId="5648A159"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3B62A9A6"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531328BC"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210E8F90"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46A643EE"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7388D946"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4044E2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4366A5C"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069B1681"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06BB067E"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FF4C905" w14:textId="77777777" w:rsidR="00C771CC" w:rsidRPr="00A364C2" w:rsidRDefault="00C771CC" w:rsidP="006B7AD6">
            <w:pPr>
              <w:jc w:val="center"/>
              <w:rPr>
                <w:rFonts w:ascii="Times New Roman" w:hAnsi="Times New Roman" w:cs="Times New Roman"/>
                <w:sz w:val="18"/>
                <w:szCs w:val="18"/>
              </w:rPr>
            </w:pPr>
          </w:p>
        </w:tc>
      </w:tr>
      <w:tr w:rsidR="00C771CC" w:rsidRPr="00A364C2" w14:paraId="0ACA8660" w14:textId="77777777" w:rsidTr="006B7AD6">
        <w:trPr>
          <w:cantSplit/>
          <w:tblHeader/>
        </w:trPr>
        <w:tc>
          <w:tcPr>
            <w:tcW w:w="2209" w:type="dxa"/>
            <w:vAlign w:val="center"/>
          </w:tcPr>
          <w:p w14:paraId="6915F3B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Values in Emotion Artificial Intelligence Hiring Services: Technosolutions to Organizational Problems </w:t>
            </w:r>
            <w:r>
              <w:rPr>
                <w:rFonts w:ascii="Times New Roman" w:hAnsi="Times New Roman" w:cs="Times New Roman"/>
                <w:noProof/>
                <w:color w:val="000000" w:themeColor="text1"/>
                <w:sz w:val="18"/>
                <w:szCs w:val="18"/>
              </w:rPr>
              <w:t>[32]</w:t>
            </w:r>
          </w:p>
        </w:tc>
        <w:tc>
          <w:tcPr>
            <w:tcW w:w="1097" w:type="dxa"/>
            <w:vAlign w:val="center"/>
          </w:tcPr>
          <w:p w14:paraId="0A332B9E"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81CFD1A"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3B26AAD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57485CB"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23DA378"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41B533EC"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F95ABFD"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BF3FF27"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2A90206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6381A2F"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1516632" w14:textId="77777777" w:rsidR="00C771CC" w:rsidRPr="00A364C2" w:rsidRDefault="00C771CC" w:rsidP="006B7AD6">
            <w:pPr>
              <w:jc w:val="center"/>
              <w:rPr>
                <w:rFonts w:ascii="Times New Roman" w:hAnsi="Times New Roman" w:cs="Times New Roman"/>
                <w:sz w:val="18"/>
                <w:szCs w:val="18"/>
              </w:rPr>
            </w:pPr>
          </w:p>
        </w:tc>
      </w:tr>
      <w:tr w:rsidR="00C771CC" w:rsidRPr="00A364C2" w14:paraId="14B39196" w14:textId="77777777" w:rsidTr="006B7AD6">
        <w:trPr>
          <w:cantSplit/>
          <w:tblHeader/>
        </w:trPr>
        <w:tc>
          <w:tcPr>
            <w:tcW w:w="2209" w:type="dxa"/>
            <w:vAlign w:val="center"/>
          </w:tcPr>
          <w:p w14:paraId="1691CE2B"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Walking the Walk of AI Ethics: Organizational Challenges and the Individualization of Risk among Ethics Entrepreneurs </w:t>
            </w:r>
            <w:r>
              <w:rPr>
                <w:rFonts w:ascii="Times New Roman" w:hAnsi="Times New Roman" w:cs="Times New Roman"/>
                <w:noProof/>
                <w:color w:val="000000" w:themeColor="text1"/>
                <w:sz w:val="18"/>
                <w:szCs w:val="18"/>
              </w:rPr>
              <w:t>[64]</w:t>
            </w:r>
          </w:p>
        </w:tc>
        <w:tc>
          <w:tcPr>
            <w:tcW w:w="1097" w:type="dxa"/>
            <w:vAlign w:val="center"/>
          </w:tcPr>
          <w:p w14:paraId="729F116C"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B6C5937"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66A76BEB"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FE4078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A011112"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05F8A946"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F828BB7"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E36C88B"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56B846E6"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684CD8D"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FCE9EEB" w14:textId="77777777" w:rsidR="00C771CC" w:rsidRPr="00A364C2" w:rsidRDefault="00C771CC" w:rsidP="006B7AD6">
            <w:pPr>
              <w:jc w:val="center"/>
              <w:rPr>
                <w:rFonts w:ascii="Times New Roman" w:hAnsi="Times New Roman" w:cs="Times New Roman"/>
                <w:sz w:val="18"/>
                <w:szCs w:val="18"/>
              </w:rPr>
            </w:pPr>
          </w:p>
        </w:tc>
      </w:tr>
      <w:tr w:rsidR="00C771CC" w:rsidRPr="00A364C2" w14:paraId="6887DF7E" w14:textId="77777777" w:rsidTr="006B7AD6">
        <w:trPr>
          <w:cantSplit/>
          <w:tblHeader/>
        </w:trPr>
        <w:tc>
          <w:tcPr>
            <w:tcW w:w="2209" w:type="dxa"/>
            <w:vAlign w:val="center"/>
          </w:tcPr>
          <w:p w14:paraId="47E4F6C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What Does It Mean to be a Responsible AI Practitioner: An Ontology of Roles and Skills </w:t>
            </w:r>
            <w:r>
              <w:rPr>
                <w:rFonts w:ascii="Times New Roman" w:hAnsi="Times New Roman" w:cs="Times New Roman"/>
                <w:noProof/>
                <w:color w:val="000000" w:themeColor="text1"/>
                <w:sz w:val="18"/>
                <w:szCs w:val="18"/>
              </w:rPr>
              <w:t>[65]</w:t>
            </w:r>
          </w:p>
        </w:tc>
        <w:tc>
          <w:tcPr>
            <w:tcW w:w="1097" w:type="dxa"/>
            <w:vAlign w:val="center"/>
          </w:tcPr>
          <w:p w14:paraId="35DB9DC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5410707"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AB77DAB"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C5CF91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5CBC2E4"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50063C4"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B00463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492C163"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7D11D42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0047FD6"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37A8F9E7" w14:textId="77777777" w:rsidR="00C771CC" w:rsidRPr="00A364C2" w:rsidRDefault="00C771CC" w:rsidP="006B7AD6">
            <w:pPr>
              <w:jc w:val="center"/>
              <w:rPr>
                <w:rFonts w:ascii="Times New Roman" w:hAnsi="Times New Roman" w:cs="Times New Roman"/>
                <w:sz w:val="18"/>
                <w:szCs w:val="18"/>
              </w:rPr>
            </w:pPr>
          </w:p>
        </w:tc>
      </w:tr>
      <w:tr w:rsidR="00C771CC" w:rsidRPr="00A364C2" w14:paraId="784848FF" w14:textId="77777777" w:rsidTr="006B7AD6">
        <w:trPr>
          <w:cantSplit/>
          <w:tblHeader/>
        </w:trPr>
        <w:tc>
          <w:tcPr>
            <w:tcW w:w="2209" w:type="dxa"/>
            <w:vAlign w:val="center"/>
          </w:tcPr>
          <w:p w14:paraId="3F95D70A"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Where Responsible AI Meets Reality: Practitioner Perspectives on Enablers for Shifting Organizational Practices </w:t>
            </w:r>
            <w:r>
              <w:rPr>
                <w:rFonts w:ascii="Times New Roman" w:hAnsi="Times New Roman" w:cs="Times New Roman"/>
                <w:noProof/>
                <w:color w:val="000000" w:themeColor="text1"/>
                <w:sz w:val="18"/>
                <w:szCs w:val="18"/>
              </w:rPr>
              <w:t>[48]</w:t>
            </w:r>
          </w:p>
        </w:tc>
        <w:tc>
          <w:tcPr>
            <w:tcW w:w="1097" w:type="dxa"/>
            <w:vAlign w:val="center"/>
          </w:tcPr>
          <w:p w14:paraId="7267748B"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05EEF781"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3B99BED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43B3A0A"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F2E55BE" w14:textId="77777777" w:rsidR="00C771CC" w:rsidRPr="00A364C2" w:rsidRDefault="00C771CC" w:rsidP="006B7AD6">
            <w:pPr>
              <w:jc w:val="center"/>
              <w:rPr>
                <w:rFonts w:ascii="Times New Roman" w:eastAsia="Symbol"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6F9C3821"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7224F96"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A54023C"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63E6A25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1EEEF0D"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6557A78" w14:textId="77777777" w:rsidR="00C771CC" w:rsidRPr="00A364C2" w:rsidRDefault="00C771CC" w:rsidP="006B7AD6">
            <w:pPr>
              <w:jc w:val="center"/>
              <w:rPr>
                <w:rFonts w:ascii="Times New Roman" w:hAnsi="Times New Roman" w:cs="Times New Roman"/>
                <w:sz w:val="18"/>
                <w:szCs w:val="18"/>
              </w:rPr>
            </w:pPr>
          </w:p>
        </w:tc>
      </w:tr>
      <w:tr w:rsidR="00C771CC" w:rsidRPr="00A364C2" w14:paraId="6FE7CFD4" w14:textId="77777777" w:rsidTr="006B7AD6">
        <w:trPr>
          <w:cantSplit/>
          <w:tblHeader/>
        </w:trPr>
        <w:tc>
          <w:tcPr>
            <w:tcW w:w="2209" w:type="dxa"/>
            <w:vAlign w:val="center"/>
          </w:tcPr>
          <w:p w14:paraId="08256510"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Who Audits the Auditors? Recommendations from a Field Scan of the Algorithmic Auditing Ecosystem </w:t>
            </w:r>
            <w:r>
              <w:rPr>
                <w:rFonts w:ascii="Times New Roman" w:hAnsi="Times New Roman" w:cs="Times New Roman"/>
                <w:noProof/>
                <w:color w:val="000000" w:themeColor="text1"/>
                <w:sz w:val="18"/>
                <w:szCs w:val="18"/>
              </w:rPr>
              <w:t>[49]</w:t>
            </w:r>
          </w:p>
        </w:tc>
        <w:tc>
          <w:tcPr>
            <w:tcW w:w="1097" w:type="dxa"/>
            <w:vAlign w:val="center"/>
          </w:tcPr>
          <w:p w14:paraId="1DA2C532"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0873D35A"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5E7FE26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B1DB14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D260605"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66C1CDF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406BEEA"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1D6F678"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2EBA1CCE"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34EFE20E"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71C00E0C" w14:textId="77777777" w:rsidR="00C771CC" w:rsidRPr="00A364C2" w:rsidRDefault="00C771CC" w:rsidP="006B7AD6">
            <w:pPr>
              <w:jc w:val="center"/>
              <w:rPr>
                <w:rFonts w:ascii="Times New Roman" w:hAnsi="Times New Roman" w:cs="Times New Roman"/>
                <w:sz w:val="18"/>
                <w:szCs w:val="18"/>
              </w:rPr>
            </w:pPr>
          </w:p>
        </w:tc>
      </w:tr>
      <w:tr w:rsidR="00C771CC" w:rsidRPr="00A364C2" w14:paraId="6B861B01" w14:textId="77777777" w:rsidTr="006B7AD6">
        <w:trPr>
          <w:cantSplit/>
          <w:tblHeader/>
        </w:trPr>
        <w:tc>
          <w:tcPr>
            <w:tcW w:w="2209" w:type="dxa"/>
            <w:vAlign w:val="center"/>
          </w:tcPr>
          <w:p w14:paraId="2B1CE064"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lastRenderedPageBreak/>
              <w:t xml:space="preserve">Who Needs to Know What, When?: Broadening the Explainable AI (XAI) Design Space by Looking at Explanations Across the AI Lifecycle </w:t>
            </w:r>
            <w:r>
              <w:rPr>
                <w:rFonts w:ascii="Times New Roman" w:hAnsi="Times New Roman" w:cs="Times New Roman"/>
                <w:noProof/>
                <w:color w:val="000000" w:themeColor="text1"/>
                <w:sz w:val="18"/>
                <w:szCs w:val="18"/>
              </w:rPr>
              <w:t>[54]</w:t>
            </w:r>
          </w:p>
        </w:tc>
        <w:tc>
          <w:tcPr>
            <w:tcW w:w="1097" w:type="dxa"/>
            <w:vAlign w:val="center"/>
          </w:tcPr>
          <w:p w14:paraId="0DD93738"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61281F7B"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5B4C9E1A"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55A4548"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13209BF9" w14:textId="77777777" w:rsidR="00C771CC" w:rsidRPr="00A364C2" w:rsidRDefault="00C771CC" w:rsidP="006B7AD6">
            <w:pPr>
              <w:jc w:val="center"/>
              <w:rPr>
                <w:rFonts w:ascii="Times New Roman" w:eastAsia="Symbol"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650C5780"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2585C49C"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7D458DC"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4861AEA3"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66757E5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47C318F" w14:textId="77777777" w:rsidR="00C771CC" w:rsidRPr="00A364C2" w:rsidRDefault="00C771CC" w:rsidP="006B7AD6">
            <w:pPr>
              <w:jc w:val="center"/>
              <w:rPr>
                <w:rFonts w:ascii="Times New Roman" w:hAnsi="Times New Roman" w:cs="Times New Roman"/>
                <w:sz w:val="18"/>
                <w:szCs w:val="18"/>
              </w:rPr>
            </w:pPr>
          </w:p>
        </w:tc>
      </w:tr>
      <w:tr w:rsidR="00C771CC" w:rsidRPr="00A364C2" w14:paraId="780D5EAC" w14:textId="77777777" w:rsidTr="006B7AD6">
        <w:trPr>
          <w:cantSplit/>
          <w:tblHeader/>
        </w:trPr>
        <w:tc>
          <w:tcPr>
            <w:tcW w:w="2209" w:type="dxa"/>
            <w:vAlign w:val="center"/>
          </w:tcPr>
          <w:p w14:paraId="12C6F053"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Work with AI and Work for AI: Autonomous Vehicle Safety Drivers’ Lived Experiences </w:t>
            </w:r>
            <w:r>
              <w:rPr>
                <w:rFonts w:ascii="Times New Roman" w:hAnsi="Times New Roman" w:cs="Times New Roman"/>
                <w:noProof/>
                <w:color w:val="000000" w:themeColor="text1"/>
                <w:sz w:val="18"/>
                <w:szCs w:val="18"/>
              </w:rPr>
              <w:t>[9]</w:t>
            </w:r>
          </w:p>
        </w:tc>
        <w:tc>
          <w:tcPr>
            <w:tcW w:w="1097" w:type="dxa"/>
            <w:vAlign w:val="center"/>
          </w:tcPr>
          <w:p w14:paraId="74FE5679"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5C48543F"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5DD4CB21"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7818D7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01C5429"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69D58B7F"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05588D7"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2C6F63B1"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485050FF"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8" w:type="dxa"/>
            <w:vAlign w:val="center"/>
          </w:tcPr>
          <w:p w14:paraId="4C401C5B"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28CA11B" w14:textId="77777777" w:rsidR="00C771CC" w:rsidRPr="00A364C2" w:rsidRDefault="00C771CC" w:rsidP="006B7AD6">
            <w:pPr>
              <w:jc w:val="center"/>
              <w:rPr>
                <w:rFonts w:ascii="Times New Roman" w:hAnsi="Times New Roman" w:cs="Times New Roman"/>
                <w:sz w:val="18"/>
                <w:szCs w:val="18"/>
              </w:rPr>
            </w:pPr>
          </w:p>
        </w:tc>
      </w:tr>
      <w:tr w:rsidR="00C771CC" w:rsidRPr="00A364C2" w14:paraId="5D51B06A" w14:textId="77777777" w:rsidTr="006B7AD6">
        <w:trPr>
          <w:cantSplit/>
          <w:tblHeader/>
        </w:trPr>
        <w:tc>
          <w:tcPr>
            <w:tcW w:w="2209" w:type="dxa"/>
            <w:vAlign w:val="center"/>
          </w:tcPr>
          <w:p w14:paraId="33F5F2D5" w14:textId="77777777" w:rsidR="00C771CC" w:rsidRPr="00A364C2" w:rsidRDefault="00C771CC" w:rsidP="006B7AD6">
            <w:pPr>
              <w:jc w:val="center"/>
              <w:rPr>
                <w:rFonts w:ascii="Times New Roman" w:hAnsi="Times New Roman" w:cs="Times New Roman"/>
                <w:sz w:val="18"/>
                <w:szCs w:val="18"/>
              </w:rPr>
            </w:pPr>
            <w:r w:rsidRPr="00A364C2">
              <w:rPr>
                <w:rFonts w:ascii="Times New Roman" w:hAnsi="Times New Roman" w:cs="Times New Roman"/>
                <w:color w:val="000000" w:themeColor="text1"/>
                <w:sz w:val="18"/>
                <w:szCs w:val="18"/>
              </w:rPr>
              <w:t xml:space="preserve">You Sound Depressed: A Case Study on Sonde Health’s Diagnostic Use of Voice Analysis AI </w:t>
            </w:r>
            <w:r>
              <w:rPr>
                <w:rFonts w:ascii="Times New Roman" w:hAnsi="Times New Roman" w:cs="Times New Roman"/>
                <w:noProof/>
                <w:color w:val="000000" w:themeColor="text1"/>
                <w:sz w:val="18"/>
                <w:szCs w:val="18"/>
              </w:rPr>
              <w:t>[53]</w:t>
            </w:r>
          </w:p>
        </w:tc>
        <w:tc>
          <w:tcPr>
            <w:tcW w:w="1097" w:type="dxa"/>
            <w:vAlign w:val="center"/>
          </w:tcPr>
          <w:p w14:paraId="7D71A313"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B8A1DF8"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4CAC758E"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F26A6D9"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58DB99A3" w14:textId="77777777" w:rsidR="00C771CC" w:rsidRPr="00A364C2" w:rsidRDefault="00C771CC" w:rsidP="006B7AD6">
            <w:pPr>
              <w:jc w:val="center"/>
              <w:rPr>
                <w:rFonts w:ascii="Times New Roman" w:hAnsi="Times New Roman" w:cs="Times New Roman"/>
                <w:sz w:val="18"/>
                <w:szCs w:val="18"/>
              </w:rPr>
            </w:pPr>
            <w:r w:rsidRPr="00A364C2">
              <w:rPr>
                <w:rFonts w:ascii="Times New Roman" w:eastAsia="Symbol" w:hAnsi="Times New Roman" w:cs="Times New Roman"/>
                <w:sz w:val="18"/>
                <w:szCs w:val="18"/>
              </w:rPr>
              <w:sym w:font="Symbol" w:char="F0D6"/>
            </w:r>
          </w:p>
        </w:tc>
        <w:tc>
          <w:tcPr>
            <w:tcW w:w="1097" w:type="dxa"/>
            <w:vAlign w:val="center"/>
          </w:tcPr>
          <w:p w14:paraId="7BA1F500"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0F410BB2"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4D6A6788" w14:textId="77777777" w:rsidR="00C771CC" w:rsidRPr="00A364C2" w:rsidRDefault="00C771CC" w:rsidP="006B7AD6">
            <w:pPr>
              <w:jc w:val="center"/>
              <w:rPr>
                <w:rFonts w:ascii="Times New Roman" w:hAnsi="Times New Roman" w:cs="Times New Roman"/>
                <w:sz w:val="18"/>
                <w:szCs w:val="18"/>
              </w:rPr>
            </w:pPr>
          </w:p>
        </w:tc>
        <w:tc>
          <w:tcPr>
            <w:tcW w:w="1097" w:type="dxa"/>
            <w:vAlign w:val="center"/>
          </w:tcPr>
          <w:p w14:paraId="0612AB45"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154127E6" w14:textId="77777777" w:rsidR="00C771CC" w:rsidRPr="00A364C2" w:rsidRDefault="00C771CC" w:rsidP="006B7AD6">
            <w:pPr>
              <w:jc w:val="center"/>
              <w:rPr>
                <w:rFonts w:ascii="Times New Roman" w:hAnsi="Times New Roman" w:cs="Times New Roman"/>
                <w:sz w:val="18"/>
                <w:szCs w:val="18"/>
              </w:rPr>
            </w:pPr>
          </w:p>
        </w:tc>
        <w:tc>
          <w:tcPr>
            <w:tcW w:w="1098" w:type="dxa"/>
            <w:vAlign w:val="center"/>
          </w:tcPr>
          <w:p w14:paraId="7FA44E02" w14:textId="77777777" w:rsidR="00C771CC" w:rsidRPr="00A364C2" w:rsidRDefault="00C771CC" w:rsidP="006B7AD6">
            <w:pPr>
              <w:jc w:val="center"/>
              <w:rPr>
                <w:rFonts w:ascii="Times New Roman" w:hAnsi="Times New Roman" w:cs="Times New Roman"/>
                <w:sz w:val="18"/>
                <w:szCs w:val="18"/>
              </w:rPr>
            </w:pPr>
          </w:p>
        </w:tc>
      </w:tr>
    </w:tbl>
    <w:p w14:paraId="21E9BEEE" w14:textId="77777777" w:rsidR="00C771CC" w:rsidRPr="00A364C2" w:rsidRDefault="00C771CC" w:rsidP="00C771CC">
      <w:pPr>
        <w:rPr>
          <w:rFonts w:ascii="Times New Roman" w:hAnsi="Times New Roman" w:cs="Times New Roman"/>
          <w:color w:val="000000" w:themeColor="text1"/>
          <w:sz w:val="18"/>
          <w:szCs w:val="18"/>
        </w:rPr>
      </w:pPr>
    </w:p>
    <w:p w14:paraId="1F4E83EF" w14:textId="77777777" w:rsidR="00C771CC" w:rsidRPr="00A364C2" w:rsidRDefault="00C771CC" w:rsidP="00C771CC">
      <w:pPr>
        <w:rPr>
          <w:rFonts w:ascii="Times New Roman" w:hAnsi="Times New Roman" w:cs="Times New Roman"/>
          <w:color w:val="C00000"/>
          <w:sz w:val="18"/>
          <w:szCs w:val="18"/>
        </w:rPr>
      </w:pPr>
    </w:p>
    <w:p w14:paraId="77963F55" w14:textId="77777777" w:rsidR="00F553FF" w:rsidRDefault="00F553FF"/>
    <w:sectPr w:rsidR="00F553FF" w:rsidSect="00B8331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29282B"/>
    <w:multiLevelType w:val="hybridMultilevel"/>
    <w:tmpl w:val="45D670C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7A85E38"/>
    <w:multiLevelType w:val="hybridMultilevel"/>
    <w:tmpl w:val="A8ECECF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98D2838"/>
    <w:multiLevelType w:val="hybridMultilevel"/>
    <w:tmpl w:val="4C1E8F20"/>
    <w:lvl w:ilvl="0" w:tplc="04140001">
      <w:start w:val="1"/>
      <w:numFmt w:val="bullet"/>
      <w:lvlText w:val=""/>
      <w:lvlJc w:val="left"/>
      <w:pPr>
        <w:ind w:left="774" w:hanging="360"/>
      </w:pPr>
      <w:rPr>
        <w:rFonts w:ascii="Symbol" w:hAnsi="Symbol" w:hint="default"/>
      </w:rPr>
    </w:lvl>
    <w:lvl w:ilvl="1" w:tplc="04140003" w:tentative="1">
      <w:start w:val="1"/>
      <w:numFmt w:val="bullet"/>
      <w:lvlText w:val="o"/>
      <w:lvlJc w:val="left"/>
      <w:pPr>
        <w:ind w:left="1494" w:hanging="360"/>
      </w:pPr>
      <w:rPr>
        <w:rFonts w:ascii="Courier New" w:hAnsi="Courier New" w:cs="Courier New" w:hint="default"/>
      </w:rPr>
    </w:lvl>
    <w:lvl w:ilvl="2" w:tplc="04140005" w:tentative="1">
      <w:start w:val="1"/>
      <w:numFmt w:val="bullet"/>
      <w:lvlText w:val=""/>
      <w:lvlJc w:val="left"/>
      <w:pPr>
        <w:ind w:left="2214" w:hanging="360"/>
      </w:pPr>
      <w:rPr>
        <w:rFonts w:ascii="Wingdings" w:hAnsi="Wingdings" w:hint="default"/>
      </w:rPr>
    </w:lvl>
    <w:lvl w:ilvl="3" w:tplc="04140001" w:tentative="1">
      <w:start w:val="1"/>
      <w:numFmt w:val="bullet"/>
      <w:lvlText w:val=""/>
      <w:lvlJc w:val="left"/>
      <w:pPr>
        <w:ind w:left="2934" w:hanging="360"/>
      </w:pPr>
      <w:rPr>
        <w:rFonts w:ascii="Symbol" w:hAnsi="Symbol" w:hint="default"/>
      </w:rPr>
    </w:lvl>
    <w:lvl w:ilvl="4" w:tplc="04140003" w:tentative="1">
      <w:start w:val="1"/>
      <w:numFmt w:val="bullet"/>
      <w:lvlText w:val="o"/>
      <w:lvlJc w:val="left"/>
      <w:pPr>
        <w:ind w:left="3654" w:hanging="360"/>
      </w:pPr>
      <w:rPr>
        <w:rFonts w:ascii="Courier New" w:hAnsi="Courier New" w:cs="Courier New" w:hint="default"/>
      </w:rPr>
    </w:lvl>
    <w:lvl w:ilvl="5" w:tplc="04140005" w:tentative="1">
      <w:start w:val="1"/>
      <w:numFmt w:val="bullet"/>
      <w:lvlText w:val=""/>
      <w:lvlJc w:val="left"/>
      <w:pPr>
        <w:ind w:left="4374" w:hanging="360"/>
      </w:pPr>
      <w:rPr>
        <w:rFonts w:ascii="Wingdings" w:hAnsi="Wingdings" w:hint="default"/>
      </w:rPr>
    </w:lvl>
    <w:lvl w:ilvl="6" w:tplc="04140001" w:tentative="1">
      <w:start w:val="1"/>
      <w:numFmt w:val="bullet"/>
      <w:lvlText w:val=""/>
      <w:lvlJc w:val="left"/>
      <w:pPr>
        <w:ind w:left="5094" w:hanging="360"/>
      </w:pPr>
      <w:rPr>
        <w:rFonts w:ascii="Symbol" w:hAnsi="Symbol" w:hint="default"/>
      </w:rPr>
    </w:lvl>
    <w:lvl w:ilvl="7" w:tplc="04140003" w:tentative="1">
      <w:start w:val="1"/>
      <w:numFmt w:val="bullet"/>
      <w:lvlText w:val="o"/>
      <w:lvlJc w:val="left"/>
      <w:pPr>
        <w:ind w:left="5814" w:hanging="360"/>
      </w:pPr>
      <w:rPr>
        <w:rFonts w:ascii="Courier New" w:hAnsi="Courier New" w:cs="Courier New" w:hint="default"/>
      </w:rPr>
    </w:lvl>
    <w:lvl w:ilvl="8" w:tplc="04140005" w:tentative="1">
      <w:start w:val="1"/>
      <w:numFmt w:val="bullet"/>
      <w:lvlText w:val=""/>
      <w:lvlJc w:val="left"/>
      <w:pPr>
        <w:ind w:left="6534" w:hanging="360"/>
      </w:pPr>
      <w:rPr>
        <w:rFonts w:ascii="Wingdings" w:hAnsi="Wingdings" w:hint="default"/>
      </w:rPr>
    </w:lvl>
  </w:abstractNum>
  <w:abstractNum w:abstractNumId="3" w15:restartNumberingAfterBreak="0">
    <w:nsid w:val="0A341A32"/>
    <w:multiLevelType w:val="hybridMultilevel"/>
    <w:tmpl w:val="264EFBB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0A5E6860"/>
    <w:multiLevelType w:val="hybridMultilevel"/>
    <w:tmpl w:val="D87493BC"/>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13DD2F68"/>
    <w:multiLevelType w:val="hybridMultilevel"/>
    <w:tmpl w:val="D40A36C4"/>
    <w:lvl w:ilvl="0" w:tplc="04140001">
      <w:start w:val="1"/>
      <w:numFmt w:val="bullet"/>
      <w:lvlText w:val=""/>
      <w:lvlJc w:val="left"/>
      <w:pPr>
        <w:ind w:left="1068" w:hanging="360"/>
      </w:pPr>
      <w:rPr>
        <w:rFonts w:ascii="Symbol" w:hAnsi="Symbol" w:hint="default"/>
      </w:rPr>
    </w:lvl>
    <w:lvl w:ilvl="1" w:tplc="04140003" w:tentative="1">
      <w:start w:val="1"/>
      <w:numFmt w:val="bullet"/>
      <w:lvlText w:val="o"/>
      <w:lvlJc w:val="left"/>
      <w:pPr>
        <w:ind w:left="1788" w:hanging="360"/>
      </w:pPr>
      <w:rPr>
        <w:rFonts w:ascii="Courier New" w:hAnsi="Courier New" w:cs="Courier New" w:hint="default"/>
      </w:rPr>
    </w:lvl>
    <w:lvl w:ilvl="2" w:tplc="04140005" w:tentative="1">
      <w:start w:val="1"/>
      <w:numFmt w:val="bullet"/>
      <w:lvlText w:val=""/>
      <w:lvlJc w:val="left"/>
      <w:pPr>
        <w:ind w:left="2508" w:hanging="360"/>
      </w:pPr>
      <w:rPr>
        <w:rFonts w:ascii="Wingdings" w:hAnsi="Wingdings" w:hint="default"/>
      </w:rPr>
    </w:lvl>
    <w:lvl w:ilvl="3" w:tplc="04140001" w:tentative="1">
      <w:start w:val="1"/>
      <w:numFmt w:val="bullet"/>
      <w:lvlText w:val=""/>
      <w:lvlJc w:val="left"/>
      <w:pPr>
        <w:ind w:left="3228" w:hanging="360"/>
      </w:pPr>
      <w:rPr>
        <w:rFonts w:ascii="Symbol" w:hAnsi="Symbol" w:hint="default"/>
      </w:rPr>
    </w:lvl>
    <w:lvl w:ilvl="4" w:tplc="04140003" w:tentative="1">
      <w:start w:val="1"/>
      <w:numFmt w:val="bullet"/>
      <w:lvlText w:val="o"/>
      <w:lvlJc w:val="left"/>
      <w:pPr>
        <w:ind w:left="3948" w:hanging="360"/>
      </w:pPr>
      <w:rPr>
        <w:rFonts w:ascii="Courier New" w:hAnsi="Courier New" w:cs="Courier New" w:hint="default"/>
      </w:rPr>
    </w:lvl>
    <w:lvl w:ilvl="5" w:tplc="04140005" w:tentative="1">
      <w:start w:val="1"/>
      <w:numFmt w:val="bullet"/>
      <w:lvlText w:val=""/>
      <w:lvlJc w:val="left"/>
      <w:pPr>
        <w:ind w:left="4668" w:hanging="360"/>
      </w:pPr>
      <w:rPr>
        <w:rFonts w:ascii="Wingdings" w:hAnsi="Wingdings" w:hint="default"/>
      </w:rPr>
    </w:lvl>
    <w:lvl w:ilvl="6" w:tplc="04140001" w:tentative="1">
      <w:start w:val="1"/>
      <w:numFmt w:val="bullet"/>
      <w:lvlText w:val=""/>
      <w:lvlJc w:val="left"/>
      <w:pPr>
        <w:ind w:left="5388" w:hanging="360"/>
      </w:pPr>
      <w:rPr>
        <w:rFonts w:ascii="Symbol" w:hAnsi="Symbol" w:hint="default"/>
      </w:rPr>
    </w:lvl>
    <w:lvl w:ilvl="7" w:tplc="04140003" w:tentative="1">
      <w:start w:val="1"/>
      <w:numFmt w:val="bullet"/>
      <w:lvlText w:val="o"/>
      <w:lvlJc w:val="left"/>
      <w:pPr>
        <w:ind w:left="6108" w:hanging="360"/>
      </w:pPr>
      <w:rPr>
        <w:rFonts w:ascii="Courier New" w:hAnsi="Courier New" w:cs="Courier New" w:hint="default"/>
      </w:rPr>
    </w:lvl>
    <w:lvl w:ilvl="8" w:tplc="04140005" w:tentative="1">
      <w:start w:val="1"/>
      <w:numFmt w:val="bullet"/>
      <w:lvlText w:val=""/>
      <w:lvlJc w:val="left"/>
      <w:pPr>
        <w:ind w:left="6828" w:hanging="360"/>
      </w:pPr>
      <w:rPr>
        <w:rFonts w:ascii="Wingdings" w:hAnsi="Wingdings" w:hint="default"/>
      </w:rPr>
    </w:lvl>
  </w:abstractNum>
  <w:abstractNum w:abstractNumId="6" w15:restartNumberingAfterBreak="0">
    <w:nsid w:val="152A18DD"/>
    <w:multiLevelType w:val="multilevel"/>
    <w:tmpl w:val="1F24E81E"/>
    <w:lvl w:ilvl="0">
      <w:start w:val="3"/>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7" w15:restartNumberingAfterBreak="0">
    <w:nsid w:val="218229BD"/>
    <w:multiLevelType w:val="hybridMultilevel"/>
    <w:tmpl w:val="F22E979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23D607AA"/>
    <w:multiLevelType w:val="hybridMultilevel"/>
    <w:tmpl w:val="4AE0F99A"/>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244357D1"/>
    <w:multiLevelType w:val="hybridMultilevel"/>
    <w:tmpl w:val="736C63C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29E15486"/>
    <w:multiLevelType w:val="hybridMultilevel"/>
    <w:tmpl w:val="37B6AE0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2B55056B"/>
    <w:multiLevelType w:val="hybridMultilevel"/>
    <w:tmpl w:val="2C0AF750"/>
    <w:lvl w:ilvl="0" w:tplc="434AE07E">
      <w:numFmt w:val="bullet"/>
      <w:lvlText w:val="-"/>
      <w:lvlJc w:val="left"/>
      <w:pPr>
        <w:ind w:left="720" w:hanging="360"/>
      </w:pPr>
      <w:rPr>
        <w:rFonts w:ascii="Calibri" w:eastAsiaTheme="minorEastAsia"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2F9C2BC4"/>
    <w:multiLevelType w:val="hybridMultilevel"/>
    <w:tmpl w:val="8CF046E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303A502C"/>
    <w:multiLevelType w:val="hybridMultilevel"/>
    <w:tmpl w:val="E028154E"/>
    <w:lvl w:ilvl="0" w:tplc="04140001">
      <w:start w:val="1"/>
      <w:numFmt w:val="bullet"/>
      <w:lvlText w:val=""/>
      <w:lvlJc w:val="left"/>
      <w:pPr>
        <w:ind w:left="773" w:hanging="360"/>
      </w:pPr>
      <w:rPr>
        <w:rFonts w:ascii="Symbol" w:hAnsi="Symbol" w:hint="default"/>
      </w:rPr>
    </w:lvl>
    <w:lvl w:ilvl="1" w:tplc="04140003" w:tentative="1">
      <w:start w:val="1"/>
      <w:numFmt w:val="bullet"/>
      <w:lvlText w:val="o"/>
      <w:lvlJc w:val="left"/>
      <w:pPr>
        <w:ind w:left="1493" w:hanging="360"/>
      </w:pPr>
      <w:rPr>
        <w:rFonts w:ascii="Courier New" w:hAnsi="Courier New" w:cs="Courier New" w:hint="default"/>
      </w:rPr>
    </w:lvl>
    <w:lvl w:ilvl="2" w:tplc="04140005" w:tentative="1">
      <w:start w:val="1"/>
      <w:numFmt w:val="bullet"/>
      <w:lvlText w:val=""/>
      <w:lvlJc w:val="left"/>
      <w:pPr>
        <w:ind w:left="2213" w:hanging="360"/>
      </w:pPr>
      <w:rPr>
        <w:rFonts w:ascii="Wingdings" w:hAnsi="Wingdings" w:hint="default"/>
      </w:rPr>
    </w:lvl>
    <w:lvl w:ilvl="3" w:tplc="04140001" w:tentative="1">
      <w:start w:val="1"/>
      <w:numFmt w:val="bullet"/>
      <w:lvlText w:val=""/>
      <w:lvlJc w:val="left"/>
      <w:pPr>
        <w:ind w:left="2933" w:hanging="360"/>
      </w:pPr>
      <w:rPr>
        <w:rFonts w:ascii="Symbol" w:hAnsi="Symbol" w:hint="default"/>
      </w:rPr>
    </w:lvl>
    <w:lvl w:ilvl="4" w:tplc="04140003" w:tentative="1">
      <w:start w:val="1"/>
      <w:numFmt w:val="bullet"/>
      <w:lvlText w:val="o"/>
      <w:lvlJc w:val="left"/>
      <w:pPr>
        <w:ind w:left="3653" w:hanging="360"/>
      </w:pPr>
      <w:rPr>
        <w:rFonts w:ascii="Courier New" w:hAnsi="Courier New" w:cs="Courier New" w:hint="default"/>
      </w:rPr>
    </w:lvl>
    <w:lvl w:ilvl="5" w:tplc="04140005" w:tentative="1">
      <w:start w:val="1"/>
      <w:numFmt w:val="bullet"/>
      <w:lvlText w:val=""/>
      <w:lvlJc w:val="left"/>
      <w:pPr>
        <w:ind w:left="4373" w:hanging="360"/>
      </w:pPr>
      <w:rPr>
        <w:rFonts w:ascii="Wingdings" w:hAnsi="Wingdings" w:hint="default"/>
      </w:rPr>
    </w:lvl>
    <w:lvl w:ilvl="6" w:tplc="04140001" w:tentative="1">
      <w:start w:val="1"/>
      <w:numFmt w:val="bullet"/>
      <w:lvlText w:val=""/>
      <w:lvlJc w:val="left"/>
      <w:pPr>
        <w:ind w:left="5093" w:hanging="360"/>
      </w:pPr>
      <w:rPr>
        <w:rFonts w:ascii="Symbol" w:hAnsi="Symbol" w:hint="default"/>
      </w:rPr>
    </w:lvl>
    <w:lvl w:ilvl="7" w:tplc="04140003" w:tentative="1">
      <w:start w:val="1"/>
      <w:numFmt w:val="bullet"/>
      <w:lvlText w:val="o"/>
      <w:lvlJc w:val="left"/>
      <w:pPr>
        <w:ind w:left="5813" w:hanging="360"/>
      </w:pPr>
      <w:rPr>
        <w:rFonts w:ascii="Courier New" w:hAnsi="Courier New" w:cs="Courier New" w:hint="default"/>
      </w:rPr>
    </w:lvl>
    <w:lvl w:ilvl="8" w:tplc="04140005" w:tentative="1">
      <w:start w:val="1"/>
      <w:numFmt w:val="bullet"/>
      <w:lvlText w:val=""/>
      <w:lvlJc w:val="left"/>
      <w:pPr>
        <w:ind w:left="6533" w:hanging="360"/>
      </w:pPr>
      <w:rPr>
        <w:rFonts w:ascii="Wingdings" w:hAnsi="Wingdings" w:hint="default"/>
      </w:rPr>
    </w:lvl>
  </w:abstractNum>
  <w:abstractNum w:abstractNumId="14" w15:restartNumberingAfterBreak="0">
    <w:nsid w:val="30E21721"/>
    <w:multiLevelType w:val="hybridMultilevel"/>
    <w:tmpl w:val="E06E744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32EF2CFE"/>
    <w:multiLevelType w:val="hybridMultilevel"/>
    <w:tmpl w:val="93441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FD1846"/>
    <w:multiLevelType w:val="hybridMultilevel"/>
    <w:tmpl w:val="F22E8D66"/>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7" w15:restartNumberingAfterBreak="0">
    <w:nsid w:val="37FA3641"/>
    <w:multiLevelType w:val="hybridMultilevel"/>
    <w:tmpl w:val="630A0994"/>
    <w:lvl w:ilvl="0" w:tplc="04140001">
      <w:start w:val="1"/>
      <w:numFmt w:val="bullet"/>
      <w:lvlText w:val=""/>
      <w:lvlJc w:val="left"/>
      <w:pPr>
        <w:ind w:left="360" w:hanging="360"/>
      </w:pPr>
      <w:rPr>
        <w:rFonts w:ascii="Symbol" w:hAnsi="Symbol" w:hint="default"/>
      </w:rPr>
    </w:lvl>
    <w:lvl w:ilvl="1" w:tplc="04140003">
      <w:start w:val="1"/>
      <w:numFmt w:val="bullet"/>
      <w:lvlText w:val="o"/>
      <w:lvlJc w:val="left"/>
      <w:pPr>
        <w:ind w:left="1080" w:hanging="360"/>
      </w:pPr>
      <w:rPr>
        <w:rFonts w:ascii="Courier New" w:hAnsi="Courier New" w:cs="Courier New" w:hint="default"/>
      </w:rPr>
    </w:lvl>
    <w:lvl w:ilvl="2" w:tplc="04140005">
      <w:start w:val="1"/>
      <w:numFmt w:val="bullet"/>
      <w:lvlText w:val=""/>
      <w:lvlJc w:val="left"/>
      <w:pPr>
        <w:ind w:left="1800" w:hanging="360"/>
      </w:pPr>
      <w:rPr>
        <w:rFonts w:ascii="Wingdings" w:hAnsi="Wingdings" w:hint="default"/>
      </w:rPr>
    </w:lvl>
    <w:lvl w:ilvl="3" w:tplc="04140001">
      <w:start w:val="1"/>
      <w:numFmt w:val="bullet"/>
      <w:lvlText w:val=""/>
      <w:lvlJc w:val="left"/>
      <w:pPr>
        <w:ind w:left="2520" w:hanging="360"/>
      </w:pPr>
      <w:rPr>
        <w:rFonts w:ascii="Symbol" w:hAnsi="Symbol" w:hint="default"/>
      </w:rPr>
    </w:lvl>
    <w:lvl w:ilvl="4" w:tplc="04140003">
      <w:start w:val="1"/>
      <w:numFmt w:val="bullet"/>
      <w:lvlText w:val="o"/>
      <w:lvlJc w:val="left"/>
      <w:pPr>
        <w:ind w:left="3240" w:hanging="360"/>
      </w:pPr>
      <w:rPr>
        <w:rFonts w:ascii="Courier New" w:hAnsi="Courier New" w:cs="Courier New" w:hint="default"/>
      </w:rPr>
    </w:lvl>
    <w:lvl w:ilvl="5" w:tplc="04140005">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8" w15:restartNumberingAfterBreak="0">
    <w:nsid w:val="3FCE0EE6"/>
    <w:multiLevelType w:val="multilevel"/>
    <w:tmpl w:val="91700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5020E1D"/>
    <w:multiLevelType w:val="hybridMultilevel"/>
    <w:tmpl w:val="599E86D6"/>
    <w:lvl w:ilvl="0" w:tplc="A37EB63A">
      <w:start w:val="1"/>
      <w:numFmt w:val="decimal"/>
      <w:lvlText w:val="(%1)"/>
      <w:lvlJc w:val="left"/>
      <w:pPr>
        <w:ind w:left="1068" w:hanging="360"/>
      </w:pPr>
      <w:rPr>
        <w:rFonts w:hint="default"/>
      </w:rPr>
    </w:lvl>
    <w:lvl w:ilvl="1" w:tplc="04140019" w:tentative="1">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20" w15:restartNumberingAfterBreak="0">
    <w:nsid w:val="47722702"/>
    <w:multiLevelType w:val="hybridMultilevel"/>
    <w:tmpl w:val="83BEABB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48593B82"/>
    <w:multiLevelType w:val="hybridMultilevel"/>
    <w:tmpl w:val="33CEC36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48F63EF1"/>
    <w:multiLevelType w:val="hybridMultilevel"/>
    <w:tmpl w:val="C1A2F1D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3" w15:restartNumberingAfterBreak="0">
    <w:nsid w:val="57907313"/>
    <w:multiLevelType w:val="hybridMultilevel"/>
    <w:tmpl w:val="D5443C5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5ED25C92"/>
    <w:multiLevelType w:val="hybridMultilevel"/>
    <w:tmpl w:val="48FEC61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15:restartNumberingAfterBreak="0">
    <w:nsid w:val="5FD658AF"/>
    <w:multiLevelType w:val="hybridMultilevel"/>
    <w:tmpl w:val="96107FE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6" w15:restartNumberingAfterBreak="0">
    <w:nsid w:val="64DE6ABB"/>
    <w:multiLevelType w:val="hybridMultilevel"/>
    <w:tmpl w:val="C1961B12"/>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7" w15:restartNumberingAfterBreak="0">
    <w:nsid w:val="64FF4A03"/>
    <w:multiLevelType w:val="hybridMultilevel"/>
    <w:tmpl w:val="18943DB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69B93E89"/>
    <w:multiLevelType w:val="hybridMultilevel"/>
    <w:tmpl w:val="A15E0FA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9" w15:restartNumberingAfterBreak="0">
    <w:nsid w:val="6A366C75"/>
    <w:multiLevelType w:val="hybridMultilevel"/>
    <w:tmpl w:val="00AC041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6E9E686B"/>
    <w:multiLevelType w:val="hybridMultilevel"/>
    <w:tmpl w:val="445C064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1" w15:restartNumberingAfterBreak="0">
    <w:nsid w:val="7214321E"/>
    <w:multiLevelType w:val="hybridMultilevel"/>
    <w:tmpl w:val="FF0E5AC2"/>
    <w:lvl w:ilvl="0" w:tplc="434AE07E">
      <w:numFmt w:val="bullet"/>
      <w:lvlText w:val="-"/>
      <w:lvlJc w:val="left"/>
      <w:pPr>
        <w:ind w:left="720" w:hanging="360"/>
      </w:pPr>
      <w:rPr>
        <w:rFonts w:ascii="Calibri" w:eastAsiaTheme="minorEastAsia"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72A43D58"/>
    <w:multiLevelType w:val="hybridMultilevel"/>
    <w:tmpl w:val="40345FC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7C8300A5"/>
    <w:multiLevelType w:val="hybridMultilevel"/>
    <w:tmpl w:val="D1E4B710"/>
    <w:lvl w:ilvl="0" w:tplc="04140001">
      <w:start w:val="1"/>
      <w:numFmt w:val="bullet"/>
      <w:lvlText w:val=""/>
      <w:lvlJc w:val="left"/>
      <w:pPr>
        <w:ind w:left="360" w:hanging="360"/>
      </w:pPr>
      <w:rPr>
        <w:rFonts w:ascii="Symbol" w:hAnsi="Symbol" w:hint="default"/>
      </w:rPr>
    </w:lvl>
    <w:lvl w:ilvl="1" w:tplc="04140003">
      <w:start w:val="1"/>
      <w:numFmt w:val="bullet"/>
      <w:lvlText w:val="o"/>
      <w:lvlJc w:val="left"/>
      <w:pPr>
        <w:ind w:left="1080" w:hanging="360"/>
      </w:pPr>
      <w:rPr>
        <w:rFonts w:ascii="Courier New" w:hAnsi="Courier New" w:cs="Courier New" w:hint="default"/>
      </w:rPr>
    </w:lvl>
    <w:lvl w:ilvl="2" w:tplc="04140005">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num w:numId="1" w16cid:durableId="1423647230">
    <w:abstractNumId w:val="15"/>
  </w:num>
  <w:num w:numId="2" w16cid:durableId="1912502361">
    <w:abstractNumId w:val="17"/>
  </w:num>
  <w:num w:numId="3" w16cid:durableId="683821848">
    <w:abstractNumId w:val="8"/>
  </w:num>
  <w:num w:numId="4" w16cid:durableId="687023439">
    <w:abstractNumId w:val="5"/>
  </w:num>
  <w:num w:numId="5" w16cid:durableId="1039822351">
    <w:abstractNumId w:val="18"/>
  </w:num>
  <w:num w:numId="6" w16cid:durableId="541862904">
    <w:abstractNumId w:val="4"/>
  </w:num>
  <w:num w:numId="7" w16cid:durableId="97408143">
    <w:abstractNumId w:val="10"/>
  </w:num>
  <w:num w:numId="8" w16cid:durableId="129249540">
    <w:abstractNumId w:val="31"/>
  </w:num>
  <w:num w:numId="9" w16cid:durableId="141193904">
    <w:abstractNumId w:val="11"/>
  </w:num>
  <w:num w:numId="10" w16cid:durableId="854854312">
    <w:abstractNumId w:val="32"/>
  </w:num>
  <w:num w:numId="11" w16cid:durableId="701397149">
    <w:abstractNumId w:val="30"/>
  </w:num>
  <w:num w:numId="12" w16cid:durableId="818157005">
    <w:abstractNumId w:val="6"/>
  </w:num>
  <w:num w:numId="13" w16cid:durableId="62684715">
    <w:abstractNumId w:val="33"/>
  </w:num>
  <w:num w:numId="14" w16cid:durableId="558176808">
    <w:abstractNumId w:val="16"/>
  </w:num>
  <w:num w:numId="15" w16cid:durableId="1625847380">
    <w:abstractNumId w:val="19"/>
  </w:num>
  <w:num w:numId="16" w16cid:durableId="344215000">
    <w:abstractNumId w:val="3"/>
  </w:num>
  <w:num w:numId="17" w16cid:durableId="2007585968">
    <w:abstractNumId w:val="9"/>
  </w:num>
  <w:num w:numId="18" w16cid:durableId="1591740256">
    <w:abstractNumId w:val="14"/>
  </w:num>
  <w:num w:numId="19" w16cid:durableId="509636640">
    <w:abstractNumId w:val="20"/>
  </w:num>
  <w:num w:numId="20" w16cid:durableId="1909342533">
    <w:abstractNumId w:val="13"/>
  </w:num>
  <w:num w:numId="21" w16cid:durableId="1836988097">
    <w:abstractNumId w:val="21"/>
  </w:num>
  <w:num w:numId="22" w16cid:durableId="978269806">
    <w:abstractNumId w:val="24"/>
  </w:num>
  <w:num w:numId="23" w16cid:durableId="1845708640">
    <w:abstractNumId w:val="28"/>
  </w:num>
  <w:num w:numId="24" w16cid:durableId="1607733088">
    <w:abstractNumId w:val="0"/>
  </w:num>
  <w:num w:numId="25" w16cid:durableId="546838333">
    <w:abstractNumId w:val="12"/>
  </w:num>
  <w:num w:numId="26" w16cid:durableId="1189877259">
    <w:abstractNumId w:val="29"/>
  </w:num>
  <w:num w:numId="27" w16cid:durableId="1122455959">
    <w:abstractNumId w:val="23"/>
  </w:num>
  <w:num w:numId="28" w16cid:durableId="703559630">
    <w:abstractNumId w:val="26"/>
  </w:num>
  <w:num w:numId="29" w16cid:durableId="1312248584">
    <w:abstractNumId w:val="7"/>
  </w:num>
  <w:num w:numId="30" w16cid:durableId="1495147864">
    <w:abstractNumId w:val="22"/>
  </w:num>
  <w:num w:numId="31" w16cid:durableId="412506194">
    <w:abstractNumId w:val="1"/>
  </w:num>
  <w:num w:numId="32" w16cid:durableId="1594050800">
    <w:abstractNumId w:val="27"/>
  </w:num>
  <w:num w:numId="33" w16cid:durableId="1771395371">
    <w:abstractNumId w:val="2"/>
  </w:num>
  <w:num w:numId="34" w16cid:durableId="3718040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1CC"/>
    <w:rsid w:val="003C2EF4"/>
    <w:rsid w:val="00B74216"/>
    <w:rsid w:val="00B8331F"/>
    <w:rsid w:val="00C771CC"/>
    <w:rsid w:val="00CC12AB"/>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037E9"/>
  <w15:chartTrackingRefBased/>
  <w15:docId w15:val="{97488A6F-28E3-4ED9-B09D-3C1C21EA8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71CC"/>
    <w:rPr>
      <w:rFonts w:eastAsiaTheme="minorEastAsia"/>
      <w:kern w:val="0"/>
      <w:lang w:val="en-GB"/>
      <w14:ligatures w14:val="none"/>
    </w:rPr>
  </w:style>
  <w:style w:type="paragraph" w:styleId="Heading1">
    <w:name w:val="heading 1"/>
    <w:basedOn w:val="Normal"/>
    <w:next w:val="Normal"/>
    <w:link w:val="Heading1Char"/>
    <w:uiPriority w:val="9"/>
    <w:qFormat/>
    <w:rsid w:val="00C771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771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771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C771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771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71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71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71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71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71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771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771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C771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71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71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71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71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71CC"/>
    <w:rPr>
      <w:rFonts w:eastAsiaTheme="majorEastAsia" w:cstheme="majorBidi"/>
      <w:color w:val="272727" w:themeColor="text1" w:themeTint="D8"/>
    </w:rPr>
  </w:style>
  <w:style w:type="paragraph" w:styleId="Title">
    <w:name w:val="Title"/>
    <w:basedOn w:val="Normal"/>
    <w:next w:val="Normal"/>
    <w:link w:val="TitleChar"/>
    <w:uiPriority w:val="10"/>
    <w:qFormat/>
    <w:rsid w:val="00C771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71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71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71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71CC"/>
    <w:pPr>
      <w:spacing w:before="160"/>
      <w:jc w:val="center"/>
    </w:pPr>
    <w:rPr>
      <w:i/>
      <w:iCs/>
      <w:color w:val="404040" w:themeColor="text1" w:themeTint="BF"/>
    </w:rPr>
  </w:style>
  <w:style w:type="character" w:customStyle="1" w:styleId="QuoteChar">
    <w:name w:val="Quote Char"/>
    <w:basedOn w:val="DefaultParagraphFont"/>
    <w:link w:val="Quote"/>
    <w:uiPriority w:val="29"/>
    <w:rsid w:val="00C771CC"/>
    <w:rPr>
      <w:i/>
      <w:iCs/>
      <w:color w:val="404040" w:themeColor="text1" w:themeTint="BF"/>
    </w:rPr>
  </w:style>
  <w:style w:type="paragraph" w:styleId="ListParagraph">
    <w:name w:val="List Paragraph"/>
    <w:basedOn w:val="Normal"/>
    <w:uiPriority w:val="34"/>
    <w:qFormat/>
    <w:rsid w:val="00C771CC"/>
    <w:pPr>
      <w:ind w:left="720"/>
      <w:contextualSpacing/>
    </w:pPr>
  </w:style>
  <w:style w:type="character" w:styleId="IntenseEmphasis">
    <w:name w:val="Intense Emphasis"/>
    <w:basedOn w:val="DefaultParagraphFont"/>
    <w:uiPriority w:val="21"/>
    <w:qFormat/>
    <w:rsid w:val="00C771CC"/>
    <w:rPr>
      <w:i/>
      <w:iCs/>
      <w:color w:val="0F4761" w:themeColor="accent1" w:themeShade="BF"/>
    </w:rPr>
  </w:style>
  <w:style w:type="paragraph" w:styleId="IntenseQuote">
    <w:name w:val="Intense Quote"/>
    <w:basedOn w:val="Normal"/>
    <w:next w:val="Normal"/>
    <w:link w:val="IntenseQuoteChar"/>
    <w:uiPriority w:val="30"/>
    <w:qFormat/>
    <w:rsid w:val="00C771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71CC"/>
    <w:rPr>
      <w:i/>
      <w:iCs/>
      <w:color w:val="0F4761" w:themeColor="accent1" w:themeShade="BF"/>
    </w:rPr>
  </w:style>
  <w:style w:type="character" w:styleId="IntenseReference">
    <w:name w:val="Intense Reference"/>
    <w:basedOn w:val="DefaultParagraphFont"/>
    <w:uiPriority w:val="32"/>
    <w:qFormat/>
    <w:rsid w:val="00C771CC"/>
    <w:rPr>
      <w:b/>
      <w:bCs/>
      <w:smallCaps/>
      <w:color w:val="0F4761" w:themeColor="accent1" w:themeShade="BF"/>
      <w:spacing w:val="5"/>
    </w:rPr>
  </w:style>
  <w:style w:type="character" w:styleId="Hyperlink">
    <w:name w:val="Hyperlink"/>
    <w:basedOn w:val="DefaultParagraphFont"/>
    <w:uiPriority w:val="99"/>
    <w:unhideWhenUsed/>
    <w:rsid w:val="00C771CC"/>
    <w:rPr>
      <w:color w:val="467886" w:themeColor="hyperlink"/>
      <w:u w:val="single"/>
    </w:rPr>
  </w:style>
  <w:style w:type="character" w:styleId="UnresolvedMention">
    <w:name w:val="Unresolved Mention"/>
    <w:basedOn w:val="DefaultParagraphFont"/>
    <w:uiPriority w:val="99"/>
    <w:semiHidden/>
    <w:unhideWhenUsed/>
    <w:rsid w:val="00C771CC"/>
    <w:rPr>
      <w:color w:val="605E5C"/>
      <w:shd w:val="clear" w:color="auto" w:fill="E1DFDD"/>
    </w:rPr>
  </w:style>
  <w:style w:type="table" w:styleId="TableGrid">
    <w:name w:val="Table Grid"/>
    <w:basedOn w:val="TableNormal"/>
    <w:uiPriority w:val="39"/>
    <w:rsid w:val="00C771CC"/>
    <w:pPr>
      <w:spacing w:after="0" w:line="240" w:lineRule="auto"/>
    </w:pPr>
    <w:rPr>
      <w:rFonts w:eastAsiaTheme="minorEastAsia"/>
      <w:kern w:val="0"/>
      <w:lang w:val="nb-NO"/>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771CC"/>
    <w:rPr>
      <w:sz w:val="16"/>
      <w:szCs w:val="16"/>
    </w:rPr>
  </w:style>
  <w:style w:type="paragraph" w:styleId="CommentText">
    <w:name w:val="annotation text"/>
    <w:basedOn w:val="Normal"/>
    <w:link w:val="CommentTextChar"/>
    <w:uiPriority w:val="99"/>
    <w:unhideWhenUsed/>
    <w:rsid w:val="00C771CC"/>
    <w:pPr>
      <w:spacing w:line="240" w:lineRule="auto"/>
    </w:pPr>
    <w:rPr>
      <w:sz w:val="20"/>
      <w:szCs w:val="20"/>
      <w:lang w:val="en-US"/>
    </w:rPr>
  </w:style>
  <w:style w:type="character" w:customStyle="1" w:styleId="CommentTextChar">
    <w:name w:val="Comment Text Char"/>
    <w:basedOn w:val="DefaultParagraphFont"/>
    <w:link w:val="CommentText"/>
    <w:uiPriority w:val="99"/>
    <w:rsid w:val="00C771CC"/>
    <w:rPr>
      <w:rFonts w:eastAsiaTheme="minorEastAsia"/>
      <w:kern w:val="0"/>
      <w:sz w:val="20"/>
      <w:szCs w:val="20"/>
      <w14:ligatures w14:val="none"/>
    </w:rPr>
  </w:style>
  <w:style w:type="table" w:styleId="PlainTable2">
    <w:name w:val="Plain Table 2"/>
    <w:basedOn w:val="TableNormal"/>
    <w:uiPriority w:val="42"/>
    <w:rsid w:val="00C771CC"/>
    <w:pPr>
      <w:spacing w:after="0" w:line="240" w:lineRule="auto"/>
    </w:pPr>
    <w:rPr>
      <w:rFonts w:eastAsiaTheme="minorEastAsia"/>
      <w:kern w:val="0"/>
      <w:lang w:val="nb-NO"/>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FootnoteText">
    <w:name w:val="footnote text"/>
    <w:basedOn w:val="Normal"/>
    <w:link w:val="FootnoteTextChar"/>
    <w:uiPriority w:val="99"/>
    <w:unhideWhenUsed/>
    <w:rsid w:val="00C771CC"/>
    <w:pPr>
      <w:spacing w:after="0" w:line="240" w:lineRule="auto"/>
    </w:pPr>
    <w:rPr>
      <w:sz w:val="20"/>
      <w:szCs w:val="20"/>
    </w:rPr>
  </w:style>
  <w:style w:type="character" w:customStyle="1" w:styleId="FootnoteTextChar">
    <w:name w:val="Footnote Text Char"/>
    <w:basedOn w:val="DefaultParagraphFont"/>
    <w:link w:val="FootnoteText"/>
    <w:uiPriority w:val="99"/>
    <w:rsid w:val="00C771CC"/>
    <w:rPr>
      <w:rFonts w:eastAsiaTheme="minorEastAsia"/>
      <w:kern w:val="0"/>
      <w:sz w:val="20"/>
      <w:szCs w:val="20"/>
      <w:lang w:val="en-GB"/>
      <w14:ligatures w14:val="none"/>
    </w:rPr>
  </w:style>
  <w:style w:type="character" w:styleId="FootnoteReference">
    <w:name w:val="footnote reference"/>
    <w:basedOn w:val="DefaultParagraphFont"/>
    <w:uiPriority w:val="99"/>
    <w:semiHidden/>
    <w:unhideWhenUsed/>
    <w:rsid w:val="00C771CC"/>
    <w:rPr>
      <w:vertAlign w:val="superscript"/>
    </w:rPr>
  </w:style>
  <w:style w:type="paragraph" w:styleId="Header">
    <w:name w:val="header"/>
    <w:basedOn w:val="Normal"/>
    <w:link w:val="HeaderChar"/>
    <w:uiPriority w:val="99"/>
    <w:unhideWhenUsed/>
    <w:rsid w:val="00C771CC"/>
    <w:pPr>
      <w:tabs>
        <w:tab w:val="center" w:pos="4536"/>
        <w:tab w:val="right" w:pos="9072"/>
      </w:tabs>
      <w:spacing w:after="0" w:line="240" w:lineRule="auto"/>
    </w:pPr>
  </w:style>
  <w:style w:type="character" w:customStyle="1" w:styleId="HeaderChar">
    <w:name w:val="Header Char"/>
    <w:basedOn w:val="DefaultParagraphFont"/>
    <w:link w:val="Header"/>
    <w:uiPriority w:val="99"/>
    <w:rsid w:val="00C771CC"/>
    <w:rPr>
      <w:rFonts w:eastAsiaTheme="minorEastAsia"/>
      <w:kern w:val="0"/>
      <w:lang w:val="en-GB"/>
      <w14:ligatures w14:val="none"/>
    </w:rPr>
  </w:style>
  <w:style w:type="paragraph" w:styleId="Footer">
    <w:name w:val="footer"/>
    <w:basedOn w:val="Normal"/>
    <w:link w:val="FooterChar"/>
    <w:uiPriority w:val="99"/>
    <w:unhideWhenUsed/>
    <w:rsid w:val="00C771CC"/>
    <w:pPr>
      <w:tabs>
        <w:tab w:val="center" w:pos="4536"/>
        <w:tab w:val="right" w:pos="9072"/>
      </w:tabs>
      <w:spacing w:after="0" w:line="240" w:lineRule="auto"/>
    </w:pPr>
  </w:style>
  <w:style w:type="character" w:customStyle="1" w:styleId="FooterChar">
    <w:name w:val="Footer Char"/>
    <w:basedOn w:val="DefaultParagraphFont"/>
    <w:link w:val="Footer"/>
    <w:uiPriority w:val="99"/>
    <w:rsid w:val="00C771CC"/>
    <w:rPr>
      <w:rFonts w:eastAsiaTheme="minorEastAsia"/>
      <w:kern w:val="0"/>
      <w:lang w:val="en-GB"/>
      <w14:ligatures w14:val="none"/>
    </w:rPr>
  </w:style>
  <w:style w:type="paragraph" w:styleId="CommentSubject">
    <w:name w:val="annotation subject"/>
    <w:basedOn w:val="CommentText"/>
    <w:next w:val="CommentText"/>
    <w:link w:val="CommentSubjectChar"/>
    <w:uiPriority w:val="99"/>
    <w:semiHidden/>
    <w:unhideWhenUsed/>
    <w:rsid w:val="00C771CC"/>
    <w:rPr>
      <w:b/>
      <w:bCs/>
      <w:lang w:val="nb-NO"/>
    </w:rPr>
  </w:style>
  <w:style w:type="character" w:customStyle="1" w:styleId="CommentSubjectChar">
    <w:name w:val="Comment Subject Char"/>
    <w:basedOn w:val="CommentTextChar"/>
    <w:link w:val="CommentSubject"/>
    <w:uiPriority w:val="99"/>
    <w:semiHidden/>
    <w:rsid w:val="00C771CC"/>
    <w:rPr>
      <w:rFonts w:eastAsiaTheme="minorEastAsia"/>
      <w:b/>
      <w:bCs/>
      <w:kern w:val="0"/>
      <w:sz w:val="20"/>
      <w:szCs w:val="20"/>
      <w:lang w:val="nb-NO"/>
      <w14:ligatures w14:val="none"/>
    </w:rPr>
  </w:style>
  <w:style w:type="paragraph" w:customStyle="1" w:styleId="EndNoteBibliographyTitle">
    <w:name w:val="EndNote Bibliography Title"/>
    <w:basedOn w:val="Normal"/>
    <w:link w:val="EndNoteBibliographyTitleChar"/>
    <w:rsid w:val="00C771CC"/>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C771CC"/>
    <w:rPr>
      <w:rFonts w:ascii="Calibri" w:eastAsiaTheme="minorEastAsia" w:hAnsi="Calibri" w:cs="Calibri"/>
      <w:noProof/>
      <w:kern w:val="0"/>
      <w14:ligatures w14:val="none"/>
    </w:rPr>
  </w:style>
  <w:style w:type="paragraph" w:customStyle="1" w:styleId="EndNoteBibliography">
    <w:name w:val="EndNote Bibliography"/>
    <w:basedOn w:val="Normal"/>
    <w:link w:val="EndNoteBibliographyChar"/>
    <w:rsid w:val="00C771CC"/>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C771CC"/>
    <w:rPr>
      <w:rFonts w:ascii="Calibri" w:eastAsiaTheme="minorEastAsia" w:hAnsi="Calibri" w:cs="Calibri"/>
      <w:noProof/>
      <w:kern w:val="0"/>
      <w14:ligatures w14:val="none"/>
    </w:rPr>
  </w:style>
  <w:style w:type="character" w:styleId="Mention">
    <w:name w:val="Mention"/>
    <w:basedOn w:val="DefaultParagraphFont"/>
    <w:uiPriority w:val="99"/>
    <w:unhideWhenUsed/>
    <w:rsid w:val="00C771CC"/>
    <w:rPr>
      <w:color w:val="2B579A"/>
      <w:shd w:val="clear" w:color="auto" w:fill="E1DFDD"/>
    </w:rPr>
  </w:style>
  <w:style w:type="paragraph" w:styleId="NormalWeb">
    <w:name w:val="Normal (Web)"/>
    <w:basedOn w:val="Normal"/>
    <w:uiPriority w:val="99"/>
    <w:unhideWhenUsed/>
    <w:rsid w:val="00C771CC"/>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paragraph" w:customStyle="1" w:styleId="paragraph">
    <w:name w:val="paragraph"/>
    <w:basedOn w:val="Normal"/>
    <w:rsid w:val="00C771CC"/>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character" w:customStyle="1" w:styleId="normaltextrun">
    <w:name w:val="normaltextrun"/>
    <w:basedOn w:val="DefaultParagraphFont"/>
    <w:rsid w:val="00C771CC"/>
  </w:style>
  <w:style w:type="character" w:customStyle="1" w:styleId="eop">
    <w:name w:val="eop"/>
    <w:basedOn w:val="DefaultParagraphFont"/>
    <w:rsid w:val="00C771CC"/>
  </w:style>
  <w:style w:type="paragraph" w:styleId="Caption">
    <w:name w:val="caption"/>
    <w:basedOn w:val="Normal"/>
    <w:next w:val="Normal"/>
    <w:uiPriority w:val="35"/>
    <w:semiHidden/>
    <w:unhideWhenUsed/>
    <w:qFormat/>
    <w:rsid w:val="00C771CC"/>
    <w:pPr>
      <w:spacing w:after="200" w:line="240" w:lineRule="auto"/>
    </w:pPr>
    <w:rPr>
      <w:i/>
      <w:iCs/>
      <w:color w:val="0E2841" w:themeColor="text2"/>
      <w:sz w:val="18"/>
      <w:szCs w:val="18"/>
      <w:lang w:val="nb-NO"/>
    </w:rPr>
  </w:style>
  <w:style w:type="character" w:styleId="Strong">
    <w:name w:val="Strong"/>
    <w:basedOn w:val="DefaultParagraphFont"/>
    <w:uiPriority w:val="22"/>
    <w:qFormat/>
    <w:rsid w:val="00C771CC"/>
    <w:rPr>
      <w:b/>
      <w:bCs/>
      <w:color w:val="000000" w:themeColor="text1"/>
    </w:rPr>
  </w:style>
  <w:style w:type="character" w:styleId="Emphasis">
    <w:name w:val="Emphasis"/>
    <w:basedOn w:val="DefaultParagraphFont"/>
    <w:uiPriority w:val="20"/>
    <w:qFormat/>
    <w:rsid w:val="00C771CC"/>
    <w:rPr>
      <w:i/>
      <w:iCs/>
      <w:color w:val="auto"/>
    </w:rPr>
  </w:style>
  <w:style w:type="paragraph" w:styleId="NoSpacing">
    <w:name w:val="No Spacing"/>
    <w:uiPriority w:val="1"/>
    <w:qFormat/>
    <w:rsid w:val="00C771CC"/>
    <w:pPr>
      <w:spacing w:after="0" w:line="240" w:lineRule="auto"/>
    </w:pPr>
    <w:rPr>
      <w:rFonts w:eastAsiaTheme="minorEastAsia"/>
      <w:kern w:val="0"/>
      <w:lang w:val="nb-NO"/>
      <w14:ligatures w14:val="none"/>
    </w:rPr>
  </w:style>
  <w:style w:type="character" w:styleId="SubtleEmphasis">
    <w:name w:val="Subtle Emphasis"/>
    <w:basedOn w:val="DefaultParagraphFont"/>
    <w:uiPriority w:val="19"/>
    <w:qFormat/>
    <w:rsid w:val="00C771CC"/>
    <w:rPr>
      <w:i/>
      <w:iCs/>
      <w:color w:val="404040" w:themeColor="text1" w:themeTint="BF"/>
    </w:rPr>
  </w:style>
  <w:style w:type="character" w:styleId="SubtleReference">
    <w:name w:val="Subtle Reference"/>
    <w:basedOn w:val="DefaultParagraphFont"/>
    <w:uiPriority w:val="31"/>
    <w:qFormat/>
    <w:rsid w:val="00C771CC"/>
    <w:rPr>
      <w:smallCaps/>
      <w:color w:val="404040" w:themeColor="text1" w:themeTint="BF"/>
      <w:u w:val="single" w:color="7F7F7F" w:themeColor="text1" w:themeTint="80"/>
    </w:rPr>
  </w:style>
  <w:style w:type="character" w:styleId="BookTitle">
    <w:name w:val="Book Title"/>
    <w:basedOn w:val="DefaultParagraphFont"/>
    <w:uiPriority w:val="33"/>
    <w:qFormat/>
    <w:rsid w:val="00C771CC"/>
    <w:rPr>
      <w:b w:val="0"/>
      <w:bCs w:val="0"/>
      <w:smallCaps/>
      <w:spacing w:val="5"/>
    </w:rPr>
  </w:style>
  <w:style w:type="paragraph" w:styleId="TOCHeading">
    <w:name w:val="TOC Heading"/>
    <w:basedOn w:val="Heading1"/>
    <w:next w:val="Normal"/>
    <w:uiPriority w:val="39"/>
    <w:semiHidden/>
    <w:unhideWhenUsed/>
    <w:qFormat/>
    <w:rsid w:val="00C771CC"/>
    <w:pPr>
      <w:pBdr>
        <w:bottom w:val="single" w:sz="4" w:space="1" w:color="595959" w:themeColor="text1" w:themeTint="A6"/>
      </w:pBdr>
      <w:spacing w:after="160"/>
      <w:ind w:left="432" w:hanging="432"/>
      <w:outlineLvl w:val="9"/>
    </w:pPr>
    <w:rPr>
      <w:b/>
      <w:bCs/>
      <w:smallCaps/>
      <w:color w:val="000000" w:themeColor="text1"/>
      <w:sz w:val="36"/>
      <w:szCs w:val="36"/>
      <w:lang w:val="nb-NO"/>
    </w:rPr>
  </w:style>
  <w:style w:type="character" w:customStyle="1" w:styleId="ui-provider">
    <w:name w:val="ui-provider"/>
    <w:basedOn w:val="DefaultParagraphFont"/>
    <w:rsid w:val="00C771CC"/>
  </w:style>
  <w:style w:type="paragraph" w:styleId="Revision">
    <w:name w:val="Revision"/>
    <w:hidden/>
    <w:uiPriority w:val="99"/>
    <w:semiHidden/>
    <w:rsid w:val="00C771CC"/>
    <w:pPr>
      <w:spacing w:after="0" w:line="240" w:lineRule="auto"/>
    </w:pPr>
    <w:rPr>
      <w:rFonts w:eastAsiaTheme="minorEastAsia"/>
      <w:kern w:val="0"/>
      <w:lang w:val="en-GB"/>
      <w14:ligatures w14:val="none"/>
    </w:rPr>
  </w:style>
  <w:style w:type="paragraph" w:customStyle="1" w:styleId="pf0">
    <w:name w:val="pf0"/>
    <w:basedOn w:val="Normal"/>
    <w:rsid w:val="00C771CC"/>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character" w:customStyle="1" w:styleId="cf01">
    <w:name w:val="cf01"/>
    <w:basedOn w:val="DefaultParagraphFont"/>
    <w:rsid w:val="00C771CC"/>
    <w:rPr>
      <w:rFonts w:ascii="Segoe UI" w:hAnsi="Segoe UI" w:cs="Segoe UI" w:hint="default"/>
      <w:sz w:val="18"/>
      <w:szCs w:val="18"/>
    </w:rPr>
  </w:style>
  <w:style w:type="character" w:styleId="FollowedHyperlink">
    <w:name w:val="FollowedHyperlink"/>
    <w:basedOn w:val="DefaultParagraphFont"/>
    <w:uiPriority w:val="99"/>
    <w:semiHidden/>
    <w:unhideWhenUsed/>
    <w:rsid w:val="00C771CC"/>
    <w:rPr>
      <w:color w:val="96607D" w:themeColor="followedHyperlink"/>
      <w:u w:val="single"/>
    </w:rPr>
  </w:style>
  <w:style w:type="character" w:customStyle="1" w:styleId="wacimagecontainer">
    <w:name w:val="wacimagecontainer"/>
    <w:basedOn w:val="DefaultParagraphFont"/>
    <w:rsid w:val="00C771CC"/>
  </w:style>
  <w:style w:type="character" w:customStyle="1" w:styleId="authorortitle">
    <w:name w:val="authorortitle"/>
    <w:basedOn w:val="DefaultParagraphFont"/>
    <w:rsid w:val="00C771CC"/>
  </w:style>
  <w:style w:type="table" w:styleId="PlainTable1">
    <w:name w:val="Plain Table 1"/>
    <w:basedOn w:val="TableNormal"/>
    <w:uiPriority w:val="41"/>
    <w:rsid w:val="00C771CC"/>
    <w:pPr>
      <w:spacing w:after="0" w:line="240" w:lineRule="auto"/>
    </w:pPr>
    <w:rPr>
      <w:rFonts w:eastAsiaTheme="minorEastAsia"/>
      <w:kern w:val="0"/>
      <w:lang w:val="nb-NO"/>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6723</Words>
  <Characters>38327</Characters>
  <Application>Microsoft Office Word</Application>
  <DocSecurity>0</DocSecurity>
  <Lines>319</Lines>
  <Paragraphs>89</Paragraphs>
  <ScaleCrop>false</ScaleCrop>
  <Company>Springer Nature</Company>
  <LinksUpToDate>false</LinksUpToDate>
  <CharactersWithSpaces>44961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2</cp:revision>
  <dcterms:created xsi:type="dcterms:W3CDTF">2024-10-22T03:43:00Z</dcterms:created>
  <dcterms:modified xsi:type="dcterms:W3CDTF">2024-10-22T03:44:00Z</dcterms:modified>
</cp:coreProperties>
</file>