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35A0FD" w14:textId="77777777" w:rsidR="00696BD4" w:rsidRPr="000D5BFC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32"/>
          <w:szCs w:val="32"/>
        </w:rPr>
      </w:pPr>
      <w:r w:rsidRPr="000D5BFC">
        <w:rPr>
          <w:rStyle w:val="Hyperlink0"/>
          <w:rFonts w:ascii="Arial" w:hAnsi="Arial" w:cs="Arial"/>
          <w:color w:val="000000" w:themeColor="text1"/>
          <w:sz w:val="32"/>
          <w:szCs w:val="32"/>
        </w:rPr>
        <w:t>Supplementary Figures</w:t>
      </w:r>
    </w:p>
    <w:p w14:paraId="016DCC60" w14:textId="77777777" w:rsidR="00696BD4" w:rsidRPr="000D5BFC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  <w:r w:rsidRPr="000D5BFC">
        <w:rPr>
          <w:rStyle w:val="Hyperlink0"/>
          <w:rFonts w:ascii="Arial" w:hAnsi="Arial" w:cs="Arial"/>
          <w:color w:val="000000" w:themeColor="text1"/>
          <w:sz w:val="24"/>
          <w:szCs w:val="24"/>
        </w:rPr>
        <w:t>Supplementary Figure 1: Free and vesicular eHsp70 (ng/mL) levels measured in the plasma of healthy individuals (n=108) and NSCLC patients in the respective tumor stages (A): I (n=25), II (n=11), III (n=89) and IV (n=53) or (B) IA (n=16), IB (n=9), IIB (n=11), IIIA (n=49), IIIB (n=40), IV (n=53). Statistically significant differences *p&lt;0.05, **p&lt;0.01, ***p&lt;0.001.</w:t>
      </w:r>
    </w:p>
    <w:p w14:paraId="6C4636C5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  <w:r w:rsidRPr="000D5BFC">
        <w:rPr>
          <w:rStyle w:val="Hyperlink0"/>
          <w:rFonts w:ascii="Arial" w:hAnsi="Arial" w:cs="Arial"/>
          <w:color w:val="000000" w:themeColor="text1"/>
          <w:sz w:val="24"/>
          <w:szCs w:val="24"/>
        </w:rPr>
        <w:t>Supplementary Figure 2: Correlative analysis of the largest tumor diameter (cm) of the surgically resected tumors and eHsp70 levels (ng/mL) in NSCLC patients (n=47, R2=0.0616, mean diameter 3.26 cm).</w:t>
      </w:r>
    </w:p>
    <w:p w14:paraId="5CB01C3C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  <w:r w:rsidRPr="00CC1BC6">
        <w:rPr>
          <w:noProof/>
        </w:rPr>
        <w:drawing>
          <wp:inline distT="0" distB="0" distL="0" distR="0" wp14:anchorId="41519EA5" wp14:editId="733FFEB9">
            <wp:extent cx="6323223" cy="3314700"/>
            <wp:effectExtent l="0" t="0" r="1905" b="0"/>
            <wp:docPr id="177693163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931636" name=""/>
                    <pic:cNvPicPr/>
                  </pic:nvPicPr>
                  <pic:blipFill rotWithShape="1">
                    <a:blip r:embed="rId4"/>
                    <a:srcRect l="19060" t="23764" r="18068" b="17647"/>
                    <a:stretch/>
                  </pic:blipFill>
                  <pic:spPr bwMode="auto">
                    <a:xfrm>
                      <a:off x="0" y="0"/>
                      <a:ext cx="6328305" cy="3317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81445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  <w:r w:rsidRPr="00CC1BC6">
        <w:rPr>
          <w:noProof/>
        </w:rPr>
        <w:lastRenderedPageBreak/>
        <w:drawing>
          <wp:inline distT="0" distB="0" distL="0" distR="0" wp14:anchorId="791BF6CA" wp14:editId="40D79FB0">
            <wp:extent cx="6379547" cy="3360420"/>
            <wp:effectExtent l="0" t="0" r="2540" b="0"/>
            <wp:docPr id="182709664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096646" name=""/>
                    <pic:cNvPicPr/>
                  </pic:nvPicPr>
                  <pic:blipFill rotWithShape="1">
                    <a:blip r:embed="rId5"/>
                    <a:srcRect l="17340" t="25648" r="18332" b="14117"/>
                    <a:stretch/>
                  </pic:blipFill>
                  <pic:spPr bwMode="auto">
                    <a:xfrm>
                      <a:off x="0" y="0"/>
                      <a:ext cx="6381621" cy="3361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6E792D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  <w:r w:rsidRPr="00CC1BC6">
        <w:rPr>
          <w:noProof/>
        </w:rPr>
        <w:drawing>
          <wp:inline distT="0" distB="0" distL="0" distR="0" wp14:anchorId="2B1609F7" wp14:editId="07891935">
            <wp:extent cx="6138577" cy="3482340"/>
            <wp:effectExtent l="0" t="0" r="0" b="3810"/>
            <wp:docPr id="3721655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16558" name=""/>
                    <pic:cNvPicPr/>
                  </pic:nvPicPr>
                  <pic:blipFill rotWithShape="1">
                    <a:blip r:embed="rId6"/>
                    <a:srcRect l="18267" t="25647" r="17803" b="9883"/>
                    <a:stretch/>
                  </pic:blipFill>
                  <pic:spPr bwMode="auto">
                    <a:xfrm>
                      <a:off x="0" y="0"/>
                      <a:ext cx="6146852" cy="3487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B9294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30A332CD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7FE09FAF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675B0C22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2AED7574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72BFBBB4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4090DD0E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107D34E3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32"/>
          <w:szCs w:val="32"/>
        </w:rPr>
      </w:pPr>
      <w:r w:rsidRPr="00CC1BC6">
        <w:rPr>
          <w:rStyle w:val="Hyperlink0"/>
          <w:rFonts w:ascii="Arial" w:hAnsi="Arial" w:cs="Arial"/>
          <w:color w:val="000000" w:themeColor="text1"/>
          <w:sz w:val="32"/>
          <w:szCs w:val="32"/>
        </w:rPr>
        <w:t>Supplementary Table 1: Patient characteristics of surgical cases</w:t>
      </w:r>
    </w:p>
    <w:tbl>
      <w:tblPr>
        <w:tblStyle w:val="Tabellenraster1"/>
        <w:tblpPr w:leftFromText="141" w:rightFromText="141" w:vertAnchor="page" w:horzAnchor="margin" w:tblpY="2113"/>
        <w:tblW w:w="0" w:type="auto"/>
        <w:tblLook w:val="04A0" w:firstRow="1" w:lastRow="0" w:firstColumn="1" w:lastColumn="0" w:noHBand="0" w:noVBand="1"/>
      </w:tblPr>
      <w:tblGrid>
        <w:gridCol w:w="716"/>
        <w:gridCol w:w="850"/>
        <w:gridCol w:w="850"/>
        <w:gridCol w:w="440"/>
        <w:gridCol w:w="863"/>
        <w:gridCol w:w="724"/>
        <w:gridCol w:w="839"/>
        <w:gridCol w:w="1376"/>
        <w:gridCol w:w="877"/>
        <w:gridCol w:w="845"/>
      </w:tblGrid>
      <w:tr w:rsidR="00696BD4" w:rsidRPr="00CC1BC6" w14:paraId="5F57BF26" w14:textId="77777777" w:rsidTr="005D1EA8">
        <w:tc>
          <w:tcPr>
            <w:tcW w:w="716" w:type="dxa"/>
          </w:tcPr>
          <w:p w14:paraId="2E6290ED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Stage</w:t>
            </w:r>
          </w:p>
        </w:tc>
        <w:tc>
          <w:tcPr>
            <w:tcW w:w="850" w:type="dxa"/>
          </w:tcPr>
          <w:p w14:paraId="165EB13D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∑n</w:t>
            </w:r>
          </w:p>
        </w:tc>
        <w:tc>
          <w:tcPr>
            <w:tcW w:w="850" w:type="dxa"/>
          </w:tcPr>
          <w:p w14:paraId="49C21C2B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40" w:type="dxa"/>
          </w:tcPr>
          <w:p w14:paraId="36BF8180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n</w:t>
            </w:r>
          </w:p>
        </w:tc>
        <w:tc>
          <w:tcPr>
            <w:tcW w:w="863" w:type="dxa"/>
          </w:tcPr>
          <w:p w14:paraId="6BD7EA35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Adeno</w:t>
            </w:r>
          </w:p>
        </w:tc>
        <w:tc>
          <w:tcPr>
            <w:tcW w:w="724" w:type="dxa"/>
          </w:tcPr>
          <w:p w14:paraId="5540E3DF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SCC</w:t>
            </w:r>
          </w:p>
        </w:tc>
        <w:tc>
          <w:tcPr>
            <w:tcW w:w="839" w:type="dxa"/>
          </w:tcPr>
          <w:p w14:paraId="3572BC27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Other</w:t>
            </w:r>
          </w:p>
        </w:tc>
        <w:tc>
          <w:tcPr>
            <w:tcW w:w="1376" w:type="dxa"/>
          </w:tcPr>
          <w:p w14:paraId="0DA8EB5A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Median age</w:t>
            </w:r>
          </w:p>
        </w:tc>
        <w:tc>
          <w:tcPr>
            <w:tcW w:w="877" w:type="dxa"/>
          </w:tcPr>
          <w:p w14:paraId="2459A49A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Female</w:t>
            </w:r>
          </w:p>
        </w:tc>
        <w:tc>
          <w:tcPr>
            <w:tcW w:w="845" w:type="dxa"/>
          </w:tcPr>
          <w:p w14:paraId="1E0C77AC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Male</w:t>
            </w:r>
          </w:p>
        </w:tc>
      </w:tr>
      <w:tr w:rsidR="00696BD4" w:rsidRPr="00CC1BC6" w14:paraId="6846E418" w14:textId="77777777" w:rsidTr="005D1EA8">
        <w:trPr>
          <w:trHeight w:val="570"/>
        </w:trPr>
        <w:tc>
          <w:tcPr>
            <w:tcW w:w="716" w:type="dxa"/>
            <w:vMerge w:val="restart"/>
          </w:tcPr>
          <w:p w14:paraId="444D0173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</w:t>
            </w:r>
          </w:p>
        </w:tc>
        <w:tc>
          <w:tcPr>
            <w:tcW w:w="850" w:type="dxa"/>
            <w:vMerge w:val="restart"/>
          </w:tcPr>
          <w:p w14:paraId="593D8127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25</w:t>
            </w:r>
          </w:p>
          <w:p w14:paraId="27908FFC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FF06FB7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75FAB005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</w:tcPr>
          <w:p w14:paraId="2D3FA96D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IA</w:t>
            </w:r>
          </w:p>
        </w:tc>
        <w:tc>
          <w:tcPr>
            <w:tcW w:w="440" w:type="dxa"/>
          </w:tcPr>
          <w:p w14:paraId="7E538CF1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</w:t>
            </w:r>
          </w:p>
        </w:tc>
        <w:tc>
          <w:tcPr>
            <w:tcW w:w="863" w:type="dxa"/>
            <w:vMerge w:val="restart"/>
          </w:tcPr>
          <w:p w14:paraId="6652EB4A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</w:t>
            </w:r>
          </w:p>
        </w:tc>
        <w:tc>
          <w:tcPr>
            <w:tcW w:w="724" w:type="dxa"/>
            <w:vMerge w:val="restart"/>
            <w:shd w:val="clear" w:color="auto" w:fill="auto"/>
          </w:tcPr>
          <w:p w14:paraId="16196BE6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839" w:type="dxa"/>
            <w:vMerge w:val="restart"/>
          </w:tcPr>
          <w:p w14:paraId="684D0D40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1376" w:type="dxa"/>
            <w:vMerge w:val="restart"/>
          </w:tcPr>
          <w:p w14:paraId="6F024104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71</w:t>
            </w:r>
          </w:p>
        </w:tc>
        <w:tc>
          <w:tcPr>
            <w:tcW w:w="877" w:type="dxa"/>
            <w:vMerge w:val="restart"/>
          </w:tcPr>
          <w:p w14:paraId="44851E74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</w:t>
            </w:r>
          </w:p>
        </w:tc>
        <w:tc>
          <w:tcPr>
            <w:tcW w:w="845" w:type="dxa"/>
            <w:vMerge w:val="restart"/>
          </w:tcPr>
          <w:p w14:paraId="41EE267A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</w:tr>
      <w:tr w:rsidR="00696BD4" w:rsidRPr="00CC1BC6" w14:paraId="5581FF97" w14:textId="77777777" w:rsidTr="005D1EA8">
        <w:trPr>
          <w:trHeight w:val="132"/>
        </w:trPr>
        <w:tc>
          <w:tcPr>
            <w:tcW w:w="716" w:type="dxa"/>
            <w:vMerge/>
          </w:tcPr>
          <w:p w14:paraId="02A95B64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  <w:vMerge/>
          </w:tcPr>
          <w:p w14:paraId="3623C9AB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</w:tcPr>
          <w:p w14:paraId="15FC83C3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IB</w:t>
            </w:r>
          </w:p>
        </w:tc>
        <w:tc>
          <w:tcPr>
            <w:tcW w:w="440" w:type="dxa"/>
          </w:tcPr>
          <w:p w14:paraId="135783C5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  <w:tc>
          <w:tcPr>
            <w:tcW w:w="863" w:type="dxa"/>
            <w:vMerge/>
          </w:tcPr>
          <w:p w14:paraId="1F66CB53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724" w:type="dxa"/>
            <w:vMerge/>
          </w:tcPr>
          <w:p w14:paraId="4592EFD1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39" w:type="dxa"/>
            <w:vMerge/>
          </w:tcPr>
          <w:p w14:paraId="3106F566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76" w:type="dxa"/>
            <w:vMerge/>
          </w:tcPr>
          <w:p w14:paraId="7301270A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77" w:type="dxa"/>
            <w:vMerge/>
          </w:tcPr>
          <w:p w14:paraId="0E43946F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45" w:type="dxa"/>
            <w:vMerge/>
          </w:tcPr>
          <w:p w14:paraId="51A22C15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696BD4" w:rsidRPr="00CC1BC6" w14:paraId="7D0D5910" w14:textId="77777777" w:rsidTr="005D1EA8">
        <w:trPr>
          <w:trHeight w:val="613"/>
        </w:trPr>
        <w:tc>
          <w:tcPr>
            <w:tcW w:w="716" w:type="dxa"/>
            <w:vMerge w:val="restart"/>
          </w:tcPr>
          <w:p w14:paraId="77371526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II</w:t>
            </w:r>
          </w:p>
        </w:tc>
        <w:tc>
          <w:tcPr>
            <w:tcW w:w="850" w:type="dxa"/>
            <w:vMerge w:val="restart"/>
          </w:tcPr>
          <w:p w14:paraId="17335615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</w:t>
            </w:r>
          </w:p>
          <w:p w14:paraId="277A2019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132E28F7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CE642F3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</w:tcPr>
          <w:p w14:paraId="58A35F75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IIA</w:t>
            </w:r>
          </w:p>
        </w:tc>
        <w:tc>
          <w:tcPr>
            <w:tcW w:w="440" w:type="dxa"/>
          </w:tcPr>
          <w:p w14:paraId="0E91FD06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/</w:t>
            </w:r>
          </w:p>
        </w:tc>
        <w:tc>
          <w:tcPr>
            <w:tcW w:w="863" w:type="dxa"/>
            <w:vMerge w:val="restart"/>
          </w:tcPr>
          <w:p w14:paraId="11A489C7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724" w:type="dxa"/>
            <w:vMerge w:val="restart"/>
          </w:tcPr>
          <w:p w14:paraId="70464C6A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839" w:type="dxa"/>
            <w:vMerge w:val="restart"/>
          </w:tcPr>
          <w:p w14:paraId="53EE7664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1376" w:type="dxa"/>
            <w:vMerge w:val="restart"/>
          </w:tcPr>
          <w:p w14:paraId="7E40CC24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73</w:t>
            </w:r>
          </w:p>
        </w:tc>
        <w:tc>
          <w:tcPr>
            <w:tcW w:w="877" w:type="dxa"/>
            <w:vMerge w:val="restart"/>
          </w:tcPr>
          <w:p w14:paraId="16E47DE9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845" w:type="dxa"/>
            <w:vMerge w:val="restart"/>
          </w:tcPr>
          <w:p w14:paraId="56BF1ECC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</w:tr>
      <w:tr w:rsidR="00696BD4" w:rsidRPr="00CC1BC6" w14:paraId="3234C3E7" w14:textId="77777777" w:rsidTr="005D1EA8">
        <w:trPr>
          <w:trHeight w:val="132"/>
        </w:trPr>
        <w:tc>
          <w:tcPr>
            <w:tcW w:w="716" w:type="dxa"/>
            <w:vMerge/>
          </w:tcPr>
          <w:p w14:paraId="041EBCAB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  <w:vMerge/>
          </w:tcPr>
          <w:p w14:paraId="2A38975B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</w:tcPr>
          <w:p w14:paraId="5813507B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IIB</w:t>
            </w:r>
          </w:p>
        </w:tc>
        <w:tc>
          <w:tcPr>
            <w:tcW w:w="440" w:type="dxa"/>
          </w:tcPr>
          <w:p w14:paraId="78035107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</w:t>
            </w:r>
          </w:p>
        </w:tc>
        <w:tc>
          <w:tcPr>
            <w:tcW w:w="863" w:type="dxa"/>
            <w:vMerge/>
          </w:tcPr>
          <w:p w14:paraId="32486B49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724" w:type="dxa"/>
            <w:vMerge/>
          </w:tcPr>
          <w:p w14:paraId="1F489F2C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39" w:type="dxa"/>
            <w:vMerge/>
          </w:tcPr>
          <w:p w14:paraId="400F11AF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76" w:type="dxa"/>
            <w:vMerge/>
          </w:tcPr>
          <w:p w14:paraId="1D2630FB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77" w:type="dxa"/>
            <w:vMerge/>
          </w:tcPr>
          <w:p w14:paraId="5D31CED2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45" w:type="dxa"/>
            <w:vMerge/>
          </w:tcPr>
          <w:p w14:paraId="5AD82C9F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696BD4" w:rsidRPr="00CC1BC6" w14:paraId="44D90E8D" w14:textId="77777777" w:rsidTr="005D1EA8">
        <w:trPr>
          <w:trHeight w:val="657"/>
        </w:trPr>
        <w:tc>
          <w:tcPr>
            <w:tcW w:w="716" w:type="dxa"/>
            <w:vMerge w:val="restart"/>
          </w:tcPr>
          <w:p w14:paraId="2D4C3D3A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III</w:t>
            </w:r>
          </w:p>
        </w:tc>
        <w:tc>
          <w:tcPr>
            <w:tcW w:w="850" w:type="dxa"/>
            <w:vMerge w:val="restart"/>
          </w:tcPr>
          <w:p w14:paraId="60D59869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</w:t>
            </w:r>
          </w:p>
          <w:p w14:paraId="7D44D2C7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545705F1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298BCCE3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</w:tcPr>
          <w:p w14:paraId="733FEE3D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IIIA</w:t>
            </w:r>
          </w:p>
        </w:tc>
        <w:tc>
          <w:tcPr>
            <w:tcW w:w="440" w:type="dxa"/>
          </w:tcPr>
          <w:p w14:paraId="76A388D4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</w:t>
            </w:r>
          </w:p>
        </w:tc>
        <w:tc>
          <w:tcPr>
            <w:tcW w:w="863" w:type="dxa"/>
            <w:vMerge w:val="restart"/>
          </w:tcPr>
          <w:p w14:paraId="7AC511CA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  <w:tc>
          <w:tcPr>
            <w:tcW w:w="724" w:type="dxa"/>
            <w:vMerge w:val="restart"/>
          </w:tcPr>
          <w:p w14:paraId="75487E6C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  <w:tc>
          <w:tcPr>
            <w:tcW w:w="839" w:type="dxa"/>
            <w:vMerge w:val="restart"/>
          </w:tcPr>
          <w:p w14:paraId="7926E1CD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1376" w:type="dxa"/>
            <w:vMerge w:val="restart"/>
          </w:tcPr>
          <w:p w14:paraId="63B17D51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64</w:t>
            </w:r>
          </w:p>
        </w:tc>
        <w:tc>
          <w:tcPr>
            <w:tcW w:w="877" w:type="dxa"/>
            <w:vMerge w:val="restart"/>
          </w:tcPr>
          <w:p w14:paraId="2B217268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845" w:type="dxa"/>
            <w:vMerge w:val="restart"/>
          </w:tcPr>
          <w:p w14:paraId="3D2EBB6D" w14:textId="77777777" w:rsidR="00696BD4" w:rsidRPr="00CC1BC6" w:rsidRDefault="00696BD4" w:rsidP="005D1EA8">
            <w:pPr>
              <w:spacing w:line="240" w:lineRule="auto"/>
              <w:jc w:val="center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13</w:t>
            </w:r>
          </w:p>
        </w:tc>
      </w:tr>
      <w:tr w:rsidR="00696BD4" w:rsidRPr="00CC1BC6" w14:paraId="4EE19C2B" w14:textId="77777777" w:rsidTr="005D1EA8">
        <w:trPr>
          <w:trHeight w:val="132"/>
        </w:trPr>
        <w:tc>
          <w:tcPr>
            <w:tcW w:w="716" w:type="dxa"/>
            <w:vMerge/>
          </w:tcPr>
          <w:p w14:paraId="56101BC7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  <w:vMerge/>
          </w:tcPr>
          <w:p w14:paraId="430671FE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50" w:type="dxa"/>
          </w:tcPr>
          <w:p w14:paraId="694FE8CD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IIIB</w:t>
            </w:r>
          </w:p>
        </w:tc>
        <w:tc>
          <w:tcPr>
            <w:tcW w:w="440" w:type="dxa"/>
          </w:tcPr>
          <w:p w14:paraId="39A2DDE9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863" w:type="dxa"/>
            <w:vMerge/>
          </w:tcPr>
          <w:p w14:paraId="3827FA87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724" w:type="dxa"/>
            <w:vMerge/>
          </w:tcPr>
          <w:p w14:paraId="70C2E06F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39" w:type="dxa"/>
            <w:vMerge/>
          </w:tcPr>
          <w:p w14:paraId="7F2908E4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76" w:type="dxa"/>
            <w:vMerge/>
          </w:tcPr>
          <w:p w14:paraId="64471BB8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77" w:type="dxa"/>
            <w:vMerge/>
          </w:tcPr>
          <w:p w14:paraId="16FF5CA7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845" w:type="dxa"/>
            <w:vMerge/>
          </w:tcPr>
          <w:p w14:paraId="5D924157" w14:textId="77777777" w:rsidR="00696BD4" w:rsidRPr="00CC1BC6" w:rsidRDefault="00696BD4" w:rsidP="005D1EA8">
            <w:pPr>
              <w:spacing w:line="240" w:lineRule="auto"/>
              <w:rPr>
                <w:rFonts w:cs="Times New Roman"/>
                <w:i/>
                <w:i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14:paraId="4030F73C" w14:textId="77777777" w:rsidR="00696BD4" w:rsidRPr="000D5BFC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32"/>
          <w:szCs w:val="32"/>
        </w:rPr>
      </w:pPr>
    </w:p>
    <w:p w14:paraId="31899BEE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072FB8DB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4CD3504C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61BC49ED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0F6CEC88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60BAD24E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7A22DD50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2691443E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2DF3D3DE" w14:textId="77777777" w:rsidR="00696BD4" w:rsidRDefault="00696BD4" w:rsidP="00696BD4">
      <w:pPr>
        <w:pStyle w:val="EndNoteBibliography"/>
        <w:ind w:left="720" w:hanging="720"/>
        <w:rPr>
          <w:rStyle w:val="Hyperlink0"/>
          <w:rFonts w:ascii="Arial" w:hAnsi="Arial" w:cs="Arial"/>
          <w:color w:val="000000" w:themeColor="text1"/>
          <w:sz w:val="24"/>
          <w:szCs w:val="24"/>
        </w:rPr>
      </w:pPr>
    </w:p>
    <w:p w14:paraId="7E13C137" w14:textId="77777777" w:rsidR="00696BD4" w:rsidRPr="00FE3270" w:rsidRDefault="00696BD4" w:rsidP="00696BD4">
      <w:pPr>
        <w:rPr>
          <w:sz w:val="28"/>
          <w:szCs w:val="28"/>
          <w:lang w:val="en-GB"/>
        </w:rPr>
      </w:pPr>
      <w:r w:rsidRPr="00CC1BC6">
        <w:rPr>
          <w:rStyle w:val="Hyperlink0"/>
          <w:rFonts w:ascii="Arial" w:hAnsi="Arial" w:cs="Arial"/>
          <w:color w:val="000000" w:themeColor="text1"/>
          <w:sz w:val="32"/>
          <w:szCs w:val="32"/>
        </w:rPr>
        <w:t xml:space="preserve">Supplementary </w:t>
      </w:r>
      <w:r w:rsidRPr="00CC1BC6">
        <w:rPr>
          <w:rStyle w:val="Ohne"/>
          <w:rFonts w:ascii="Arial" w:hAnsi="Arial"/>
          <w:color w:val="000000" w:themeColor="text1"/>
          <w:sz w:val="32"/>
          <w:szCs w:val="30"/>
        </w:rPr>
        <w:t>Table 2:</w:t>
      </w:r>
      <w:r w:rsidRPr="00FE3270">
        <w:rPr>
          <w:rStyle w:val="Ohne"/>
          <w:rFonts w:ascii="Arial" w:hAnsi="Arial"/>
          <w:color w:val="000000" w:themeColor="text1"/>
        </w:rPr>
        <w:t xml:space="preserve"> </w:t>
      </w:r>
      <w:r w:rsidRPr="00CC1BC6">
        <w:rPr>
          <w:rStyle w:val="Ohne"/>
          <w:rFonts w:ascii="Arial" w:hAnsi="Arial"/>
          <w:color w:val="000000" w:themeColor="text1"/>
          <w:sz w:val="32"/>
          <w:szCs w:val="30"/>
        </w:rPr>
        <w:t xml:space="preserve">Entity of extrathoracic primary tumors </w:t>
      </w:r>
    </w:p>
    <w:tbl>
      <w:tblPr>
        <w:tblStyle w:val="Tabellenraster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96BD4" w:rsidRPr="00CC1BC6" w14:paraId="24E5C35B" w14:textId="77777777" w:rsidTr="005D1EA8">
        <w:tc>
          <w:tcPr>
            <w:tcW w:w="4531" w:type="dxa"/>
          </w:tcPr>
          <w:p w14:paraId="56E84574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b/>
                <w:bCs/>
                <w:color w:val="auto"/>
                <w:sz w:val="24"/>
                <w:szCs w:val="24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Tumor entity</w:t>
            </w:r>
          </w:p>
        </w:tc>
        <w:tc>
          <w:tcPr>
            <w:tcW w:w="4531" w:type="dxa"/>
          </w:tcPr>
          <w:p w14:paraId="27BD5154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b/>
                <w:bCs/>
                <w:color w:val="auto"/>
                <w:sz w:val="24"/>
                <w:szCs w:val="24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n</w:t>
            </w:r>
          </w:p>
        </w:tc>
      </w:tr>
      <w:tr w:rsidR="00696BD4" w:rsidRPr="00CC1BC6" w14:paraId="6129F004" w14:textId="77777777" w:rsidTr="005D1EA8">
        <w:tc>
          <w:tcPr>
            <w:tcW w:w="4531" w:type="dxa"/>
          </w:tcPr>
          <w:p w14:paraId="1D844A9C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Sarcoma</w:t>
            </w:r>
          </w:p>
        </w:tc>
        <w:tc>
          <w:tcPr>
            <w:tcW w:w="4531" w:type="dxa"/>
          </w:tcPr>
          <w:p w14:paraId="772F0043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</w:tr>
      <w:tr w:rsidR="00696BD4" w:rsidRPr="00CC1BC6" w14:paraId="278C8A6E" w14:textId="77777777" w:rsidTr="005D1EA8">
        <w:tc>
          <w:tcPr>
            <w:tcW w:w="4531" w:type="dxa"/>
          </w:tcPr>
          <w:p w14:paraId="20E9B607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Testicular carcinoma</w:t>
            </w:r>
          </w:p>
        </w:tc>
        <w:tc>
          <w:tcPr>
            <w:tcW w:w="4531" w:type="dxa"/>
          </w:tcPr>
          <w:p w14:paraId="40F8E596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</w:tr>
      <w:tr w:rsidR="00696BD4" w:rsidRPr="00CC1BC6" w14:paraId="256A8C0D" w14:textId="77777777" w:rsidTr="005D1EA8">
        <w:tc>
          <w:tcPr>
            <w:tcW w:w="4531" w:type="dxa"/>
          </w:tcPr>
          <w:p w14:paraId="55A756C1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Colorectal cancer</w:t>
            </w:r>
          </w:p>
        </w:tc>
        <w:tc>
          <w:tcPr>
            <w:tcW w:w="4531" w:type="dxa"/>
          </w:tcPr>
          <w:p w14:paraId="0FB81E2E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</w:tr>
      <w:tr w:rsidR="00696BD4" w:rsidRPr="00CC1BC6" w14:paraId="678D280C" w14:textId="77777777" w:rsidTr="005D1EA8">
        <w:tc>
          <w:tcPr>
            <w:tcW w:w="4531" w:type="dxa"/>
          </w:tcPr>
          <w:p w14:paraId="038B9130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Melanoma</w:t>
            </w:r>
          </w:p>
        </w:tc>
        <w:tc>
          <w:tcPr>
            <w:tcW w:w="4531" w:type="dxa"/>
          </w:tcPr>
          <w:p w14:paraId="1C4D9656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</w:tr>
      <w:tr w:rsidR="00696BD4" w:rsidRPr="00CC1BC6" w14:paraId="1AAF3783" w14:textId="77777777" w:rsidTr="005D1EA8">
        <w:tc>
          <w:tcPr>
            <w:tcW w:w="4531" w:type="dxa"/>
          </w:tcPr>
          <w:p w14:paraId="2D464727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Breast cancer</w:t>
            </w:r>
          </w:p>
        </w:tc>
        <w:tc>
          <w:tcPr>
            <w:tcW w:w="4531" w:type="dxa"/>
          </w:tcPr>
          <w:p w14:paraId="7C246121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696BD4" w:rsidRPr="00CC1BC6" w14:paraId="347E09D9" w14:textId="77777777" w:rsidTr="005D1EA8">
        <w:tc>
          <w:tcPr>
            <w:tcW w:w="4531" w:type="dxa"/>
          </w:tcPr>
          <w:p w14:paraId="4EF14E44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Renal cell carcinoma</w:t>
            </w:r>
          </w:p>
        </w:tc>
        <w:tc>
          <w:tcPr>
            <w:tcW w:w="4531" w:type="dxa"/>
          </w:tcPr>
          <w:p w14:paraId="1A5470F4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</w:tr>
      <w:tr w:rsidR="00696BD4" w:rsidRPr="00CC1BC6" w14:paraId="1C874AFE" w14:textId="77777777" w:rsidTr="005D1EA8">
        <w:tc>
          <w:tcPr>
            <w:tcW w:w="4531" w:type="dxa"/>
          </w:tcPr>
          <w:p w14:paraId="624C8F10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Pharyngeal carcinoma</w:t>
            </w:r>
          </w:p>
        </w:tc>
        <w:tc>
          <w:tcPr>
            <w:tcW w:w="4531" w:type="dxa"/>
          </w:tcPr>
          <w:p w14:paraId="2E1952B9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</w:tr>
      <w:tr w:rsidR="00696BD4" w:rsidRPr="00CC1BC6" w14:paraId="4B8FEBF8" w14:textId="77777777" w:rsidTr="005D1EA8">
        <w:tc>
          <w:tcPr>
            <w:tcW w:w="4531" w:type="dxa"/>
          </w:tcPr>
          <w:p w14:paraId="0D54A634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Pancreatic carcinoma</w:t>
            </w:r>
          </w:p>
        </w:tc>
        <w:tc>
          <w:tcPr>
            <w:tcW w:w="4531" w:type="dxa"/>
          </w:tcPr>
          <w:p w14:paraId="0378C7A6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696BD4" w:rsidRPr="00CC1BC6" w14:paraId="7957F944" w14:textId="77777777" w:rsidTr="005D1EA8">
        <w:tc>
          <w:tcPr>
            <w:tcW w:w="4531" w:type="dxa"/>
          </w:tcPr>
          <w:p w14:paraId="6B5C5990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Thymus carcinoma</w:t>
            </w:r>
          </w:p>
        </w:tc>
        <w:tc>
          <w:tcPr>
            <w:tcW w:w="4531" w:type="dxa"/>
          </w:tcPr>
          <w:p w14:paraId="50E4ECA9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696BD4" w:rsidRPr="00CC1BC6" w14:paraId="315AB52A" w14:textId="77777777" w:rsidTr="005D1EA8">
        <w:tc>
          <w:tcPr>
            <w:tcW w:w="4531" w:type="dxa"/>
          </w:tcPr>
          <w:p w14:paraId="3F0298CB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Squamous cell carcinoma</w:t>
            </w:r>
          </w:p>
        </w:tc>
        <w:tc>
          <w:tcPr>
            <w:tcW w:w="4531" w:type="dxa"/>
          </w:tcPr>
          <w:p w14:paraId="61AC7D95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696BD4" w:rsidRPr="00CC1BC6" w14:paraId="526E3028" w14:textId="77777777" w:rsidTr="005D1EA8">
        <w:tc>
          <w:tcPr>
            <w:tcW w:w="4531" w:type="dxa"/>
          </w:tcPr>
          <w:p w14:paraId="7FE4E5A5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Prostate cancer</w:t>
            </w:r>
          </w:p>
        </w:tc>
        <w:tc>
          <w:tcPr>
            <w:tcW w:w="4531" w:type="dxa"/>
          </w:tcPr>
          <w:p w14:paraId="0B4ADF89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</w:tr>
      <w:tr w:rsidR="00696BD4" w:rsidRPr="00CC1BC6" w14:paraId="68D7C4B5" w14:textId="77777777" w:rsidTr="005D1EA8">
        <w:tc>
          <w:tcPr>
            <w:tcW w:w="4531" w:type="dxa"/>
          </w:tcPr>
          <w:p w14:paraId="683A60DF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lastRenderedPageBreak/>
              <w:t>Urothelial carcinoma</w:t>
            </w:r>
          </w:p>
        </w:tc>
        <w:tc>
          <w:tcPr>
            <w:tcW w:w="4531" w:type="dxa"/>
          </w:tcPr>
          <w:p w14:paraId="22A32BE5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</w:tr>
      <w:tr w:rsidR="00696BD4" w:rsidRPr="00CC1BC6" w14:paraId="72A82F5B" w14:textId="77777777" w:rsidTr="005D1EA8">
        <w:tc>
          <w:tcPr>
            <w:tcW w:w="4531" w:type="dxa"/>
          </w:tcPr>
          <w:p w14:paraId="38A24FC3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∑</w:t>
            </w:r>
          </w:p>
        </w:tc>
        <w:tc>
          <w:tcPr>
            <w:tcW w:w="4531" w:type="dxa"/>
          </w:tcPr>
          <w:p w14:paraId="45DAB6EB" w14:textId="77777777" w:rsidR="00696BD4" w:rsidRPr="00CC1BC6" w:rsidRDefault="00696BD4" w:rsidP="005D1EA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b/>
                <w:bCs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35</w:t>
            </w:r>
          </w:p>
        </w:tc>
      </w:tr>
      <w:tr w:rsidR="00696BD4" w:rsidRPr="00CC1BC6" w14:paraId="7072F80F" w14:textId="77777777" w:rsidTr="005D1EA8">
        <w:tc>
          <w:tcPr>
            <w:tcW w:w="4531" w:type="dxa"/>
          </w:tcPr>
          <w:p w14:paraId="392DBC08" w14:textId="77777777" w:rsidR="00696BD4" w:rsidRPr="00CC1BC6" w:rsidRDefault="00696BD4" w:rsidP="005D1EA8">
            <w:pPr>
              <w:spacing w:line="240" w:lineRule="auto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Female</w:t>
            </w:r>
          </w:p>
        </w:tc>
        <w:tc>
          <w:tcPr>
            <w:tcW w:w="4531" w:type="dxa"/>
          </w:tcPr>
          <w:p w14:paraId="2A93500E" w14:textId="77777777" w:rsidR="00696BD4" w:rsidRPr="00CC1BC6" w:rsidRDefault="00696BD4" w:rsidP="005D1EA8">
            <w:pPr>
              <w:spacing w:line="240" w:lineRule="auto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</w:tr>
      <w:tr w:rsidR="00696BD4" w:rsidRPr="00CC1BC6" w14:paraId="09D5E4B4" w14:textId="77777777" w:rsidTr="005D1EA8">
        <w:tc>
          <w:tcPr>
            <w:tcW w:w="4531" w:type="dxa"/>
          </w:tcPr>
          <w:p w14:paraId="05A34287" w14:textId="77777777" w:rsidR="00696BD4" w:rsidRPr="00CC1BC6" w:rsidRDefault="00696BD4" w:rsidP="005D1EA8">
            <w:pPr>
              <w:tabs>
                <w:tab w:val="left" w:pos="2724"/>
              </w:tabs>
              <w:spacing w:line="240" w:lineRule="auto"/>
              <w:jc w:val="both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Male</w:t>
            </w:r>
          </w:p>
        </w:tc>
        <w:tc>
          <w:tcPr>
            <w:tcW w:w="4531" w:type="dxa"/>
          </w:tcPr>
          <w:p w14:paraId="633BD7E2" w14:textId="77777777" w:rsidR="00696BD4" w:rsidRPr="00CC1BC6" w:rsidRDefault="00696BD4" w:rsidP="005D1EA8">
            <w:pPr>
              <w:spacing w:line="240" w:lineRule="auto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26</w:t>
            </w:r>
          </w:p>
        </w:tc>
      </w:tr>
      <w:tr w:rsidR="00696BD4" w:rsidRPr="00CC1BC6" w14:paraId="4A6FE283" w14:textId="77777777" w:rsidTr="005D1EA8">
        <w:tc>
          <w:tcPr>
            <w:tcW w:w="4531" w:type="dxa"/>
          </w:tcPr>
          <w:p w14:paraId="6DB37A92" w14:textId="77777777" w:rsidR="00696BD4" w:rsidRPr="00CC1BC6" w:rsidRDefault="00696BD4" w:rsidP="005D1EA8">
            <w:pPr>
              <w:spacing w:line="240" w:lineRule="auto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Median age [years]</w:t>
            </w:r>
          </w:p>
        </w:tc>
        <w:tc>
          <w:tcPr>
            <w:tcW w:w="4531" w:type="dxa"/>
          </w:tcPr>
          <w:p w14:paraId="19722130" w14:textId="77777777" w:rsidR="00696BD4" w:rsidRPr="00CC1BC6" w:rsidRDefault="00696BD4" w:rsidP="005D1EA8">
            <w:pPr>
              <w:spacing w:line="240" w:lineRule="auto"/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CC1BC6">
              <w:rPr>
                <w:rFonts w:ascii="Arial" w:hAnsi="Arial" w:cs="Arial"/>
                <w:color w:val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64</w:t>
            </w:r>
          </w:p>
        </w:tc>
      </w:tr>
    </w:tbl>
    <w:p w14:paraId="12BC6E63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BD4"/>
    <w:rsid w:val="00092034"/>
    <w:rsid w:val="000C76F0"/>
    <w:rsid w:val="00696BD4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7D786"/>
  <w15:chartTrackingRefBased/>
  <w15:docId w15:val="{7BE37398-7E17-4753-B114-B8B30EC4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BD4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de-DE"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BD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B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B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B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B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B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B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B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B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B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BD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6B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BD4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6B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BD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6B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BD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6B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BD4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bdr w:val="none" w:sz="0" w:space="0" w:color="auto"/>
      <w:lang w:val="en-US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B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BD4"/>
    <w:rPr>
      <w:b/>
      <w:bCs/>
      <w:smallCaps/>
      <w:color w:val="0F4761" w:themeColor="accent1" w:themeShade="BF"/>
      <w:spacing w:val="5"/>
    </w:rPr>
  </w:style>
  <w:style w:type="character" w:customStyle="1" w:styleId="Ohne">
    <w:name w:val="Ohne"/>
    <w:rsid w:val="00696BD4"/>
    <w:rPr>
      <w:lang w:val="en-US"/>
    </w:rPr>
  </w:style>
  <w:style w:type="character" w:customStyle="1" w:styleId="Hyperlink0">
    <w:name w:val="Hyperlink.0"/>
    <w:basedOn w:val="Ohne"/>
    <w:rsid w:val="00696BD4"/>
    <w:rPr>
      <w:lang w:val="en-US"/>
    </w:rPr>
  </w:style>
  <w:style w:type="paragraph" w:customStyle="1" w:styleId="EndNoteBibliography">
    <w:name w:val="EndNote Bibliography"/>
    <w:rsid w:val="00696BD4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e-DE" w:eastAsia="en-GB"/>
      <w14:ligatures w14:val="none"/>
    </w:rPr>
  </w:style>
  <w:style w:type="table" w:customStyle="1" w:styleId="Tabellenraster1">
    <w:name w:val="Tabellenraster1"/>
    <w:basedOn w:val="TableNormal"/>
    <w:next w:val="TableGrid"/>
    <w:uiPriority w:val="39"/>
    <w:rsid w:val="00696BD4"/>
    <w:pPr>
      <w:spacing w:after="0" w:line="240" w:lineRule="auto"/>
    </w:pPr>
    <w:rPr>
      <w:rFonts w:ascii="Calibri" w:eastAsia="Calibri" w:hAnsi="Calibri" w:cs="Times New Roman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TableNormal"/>
    <w:next w:val="TableGrid"/>
    <w:uiPriority w:val="39"/>
    <w:rsid w:val="00696BD4"/>
    <w:pPr>
      <w:spacing w:after="0" w:line="240" w:lineRule="auto"/>
    </w:pPr>
    <w:rPr>
      <w:rFonts w:ascii="Calibri" w:eastAsia="Calibri" w:hAnsi="Calibri" w:cs="Times New Roman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9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2024-08-01T09:55:00Z</dcterms:created>
  <dcterms:modified xsi:type="dcterms:W3CDTF">2024-08-01T09:55:00Z</dcterms:modified>
</cp:coreProperties>
</file>