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E5E825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</w:rPr>
      </w:pPr>
      <w:r w:rsidRPr="00130E44">
        <w:rPr>
          <w:rFonts w:ascii="Calibri" w:hAnsi="Calibri" w:cs="Calibri"/>
          <w:noProof/>
        </w:rPr>
        <w:drawing>
          <wp:inline distT="0" distB="0" distL="0" distR="0" wp14:anchorId="1ADFDBDF" wp14:editId="1902C65E">
            <wp:extent cx="5943600" cy="3441065"/>
            <wp:effectExtent l="0" t="0" r="0" b="635"/>
            <wp:docPr id="111156325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563253" name="Picture 111156325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4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77FB9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130E44">
        <w:rPr>
          <w:rFonts w:ascii="Calibri" w:hAnsi="Calibri" w:cs="Calibri"/>
          <w:b/>
          <w:bCs/>
          <w:sz w:val="20"/>
          <w:szCs w:val="20"/>
        </w:rPr>
        <w:t>Extended Data Fig. 1: NMR characterizations of HtpG</w:t>
      </w:r>
      <w:r w:rsidRPr="00130E44">
        <w:rPr>
          <w:rFonts w:ascii="Calibri" w:hAnsi="Calibri" w:cs="Calibri"/>
          <w:b/>
          <w:bCs/>
          <w:sz w:val="20"/>
          <w:szCs w:val="20"/>
          <w:vertAlign w:val="superscript"/>
        </w:rPr>
        <w:t>NM</w:t>
      </w:r>
      <w:r w:rsidRPr="00130E44">
        <w:rPr>
          <w:rFonts w:ascii="Calibri" w:hAnsi="Calibri" w:cs="Calibri"/>
          <w:b/>
          <w:bCs/>
          <w:sz w:val="20"/>
          <w:szCs w:val="20"/>
        </w:rPr>
        <w:t xml:space="preserve"> and its response to AMPPNP binding.</w:t>
      </w:r>
    </w:p>
    <w:p w14:paraId="75BBC375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130E44">
        <w:rPr>
          <w:rFonts w:ascii="Calibri" w:hAnsi="Calibri" w:cs="Calibri"/>
          <w:b/>
          <w:bCs/>
          <w:sz w:val="20"/>
          <w:szCs w:val="20"/>
        </w:rPr>
        <w:t>a</w:t>
      </w:r>
      <w:r w:rsidRPr="00130E44">
        <w:rPr>
          <w:rFonts w:ascii="Calibri" w:hAnsi="Calibri" w:cs="Calibri"/>
          <w:sz w:val="20"/>
          <w:szCs w:val="20"/>
        </w:rPr>
        <w:t>, Superimposed methyl-TROSY spectra showing HtpG</w:t>
      </w:r>
      <w:r w:rsidRPr="00130E44">
        <w:rPr>
          <w:rFonts w:ascii="Calibri" w:hAnsi="Calibri" w:cs="Calibri"/>
          <w:sz w:val="20"/>
          <w:szCs w:val="20"/>
          <w:vertAlign w:val="superscript"/>
        </w:rPr>
        <w:t>NM</w:t>
      </w:r>
      <w:r w:rsidRPr="00130E44">
        <w:rPr>
          <w:rFonts w:ascii="Calibri" w:hAnsi="Calibri" w:cs="Calibri"/>
          <w:sz w:val="20"/>
          <w:szCs w:val="20"/>
        </w:rPr>
        <w:t xml:space="preserve"> in its apo form (black) and when bound to AMPPNP (pink), highlighting residues with significant chemical shift perturbations upon ligand binding. </w:t>
      </w:r>
      <w:r w:rsidRPr="00130E44">
        <w:rPr>
          <w:rFonts w:ascii="Calibri" w:hAnsi="Calibri" w:cs="Calibri"/>
          <w:b/>
          <w:bCs/>
          <w:sz w:val="20"/>
          <w:szCs w:val="20"/>
        </w:rPr>
        <w:t>b</w:t>
      </w:r>
      <w:r w:rsidRPr="00130E44">
        <w:rPr>
          <w:rFonts w:ascii="Calibri" w:hAnsi="Calibri" w:cs="Calibri"/>
          <w:sz w:val="20"/>
          <w:szCs w:val="20"/>
        </w:rPr>
        <w:t>, Comparative methyl-TROSY spectra of nucleotide-free HtpG</w:t>
      </w:r>
      <w:r w:rsidRPr="00130E44">
        <w:rPr>
          <w:rFonts w:ascii="Calibri" w:hAnsi="Calibri" w:cs="Calibri"/>
          <w:sz w:val="20"/>
          <w:szCs w:val="20"/>
          <w:vertAlign w:val="superscript"/>
        </w:rPr>
        <w:t>FL</w:t>
      </w:r>
      <w:r w:rsidRPr="00130E44">
        <w:rPr>
          <w:rFonts w:ascii="Calibri" w:hAnsi="Calibri" w:cs="Calibri"/>
          <w:sz w:val="20"/>
          <w:szCs w:val="20"/>
        </w:rPr>
        <w:t xml:space="preserve"> (gray), AMPPNP-bound HtpG</w:t>
      </w:r>
      <w:r w:rsidRPr="00130E44">
        <w:rPr>
          <w:rFonts w:ascii="Calibri" w:hAnsi="Calibri" w:cs="Calibri"/>
          <w:sz w:val="20"/>
          <w:szCs w:val="20"/>
          <w:vertAlign w:val="superscript"/>
        </w:rPr>
        <w:t>FL</w:t>
      </w:r>
      <w:r w:rsidRPr="00130E44">
        <w:rPr>
          <w:rFonts w:ascii="Calibri" w:hAnsi="Calibri" w:cs="Calibri"/>
          <w:sz w:val="20"/>
          <w:szCs w:val="20"/>
        </w:rPr>
        <w:t xml:space="preserve"> (green), and AMPPNP-bound HtpG</w:t>
      </w:r>
      <w:r w:rsidRPr="00130E44">
        <w:rPr>
          <w:rFonts w:ascii="Calibri" w:hAnsi="Calibri" w:cs="Calibri"/>
          <w:sz w:val="20"/>
          <w:szCs w:val="20"/>
          <w:vertAlign w:val="superscript"/>
        </w:rPr>
        <w:t>NM</w:t>
      </w:r>
      <w:r w:rsidRPr="00130E44">
        <w:rPr>
          <w:rFonts w:ascii="Calibri" w:hAnsi="Calibri" w:cs="Calibri"/>
          <w:sz w:val="20"/>
          <w:szCs w:val="20"/>
        </w:rPr>
        <w:t xml:space="preserve"> (pink). Labels identify residues undergoing significant chemical shift perturbations upon AMPPNP binding. Notably, unlike HtpG</w:t>
      </w:r>
      <w:r w:rsidRPr="00130E44">
        <w:rPr>
          <w:rFonts w:ascii="Calibri" w:hAnsi="Calibri" w:cs="Calibri"/>
          <w:sz w:val="20"/>
          <w:szCs w:val="20"/>
          <w:vertAlign w:val="superscript"/>
        </w:rPr>
        <w:t>FL</w:t>
      </w:r>
      <w:r w:rsidRPr="00130E44">
        <w:rPr>
          <w:rFonts w:ascii="Calibri" w:hAnsi="Calibri" w:cs="Calibri"/>
          <w:sz w:val="20"/>
          <w:szCs w:val="20"/>
        </w:rPr>
        <w:t>, AMPPNP binding to HtpG</w:t>
      </w:r>
      <w:r w:rsidRPr="00130E44">
        <w:rPr>
          <w:rFonts w:ascii="Calibri" w:hAnsi="Calibri" w:cs="Calibri"/>
          <w:sz w:val="20"/>
          <w:szCs w:val="20"/>
          <w:vertAlign w:val="superscript"/>
        </w:rPr>
        <w:t>NM</w:t>
      </w:r>
      <w:r w:rsidRPr="00130E44">
        <w:rPr>
          <w:rFonts w:ascii="Calibri" w:hAnsi="Calibri" w:cs="Calibri"/>
          <w:sz w:val="20"/>
          <w:szCs w:val="20"/>
        </w:rPr>
        <w:t xml:space="preserve"> does not result in signal splitting, underscoring a distinct conformational response in the mutant.</w:t>
      </w:r>
    </w:p>
    <w:p w14:paraId="3F464508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05D3228B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0FE0F1C9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43A863D7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E0B154F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7A3D483E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1C097CD8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330729EF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34E089E5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516E864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7ADE01C4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31F6BA4F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61563726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438E8D76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130E44">
        <w:rPr>
          <w:rFonts w:ascii="Calibri" w:hAnsi="Calibri" w:cs="Calibri"/>
          <w:noProof/>
          <w:sz w:val="20"/>
          <w:szCs w:val="20"/>
        </w:rPr>
        <w:lastRenderedPageBreak/>
        <w:drawing>
          <wp:inline distT="0" distB="0" distL="0" distR="0" wp14:anchorId="1A80BB26" wp14:editId="579860B8">
            <wp:extent cx="5943600" cy="2693035"/>
            <wp:effectExtent l="0" t="0" r="0" b="0"/>
            <wp:docPr id="179911175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111751" name="Picture 179911175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93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5CDD8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130E44">
        <w:rPr>
          <w:rFonts w:ascii="Calibri" w:hAnsi="Calibri" w:cs="Calibri"/>
          <w:b/>
          <w:bCs/>
          <w:sz w:val="20"/>
          <w:szCs w:val="20"/>
        </w:rPr>
        <w:t>Extended Data Fig. 2: NMR analysis of the HtpG</w:t>
      </w:r>
      <w:r w:rsidRPr="00130E44">
        <w:rPr>
          <w:rFonts w:ascii="Calibri" w:hAnsi="Calibri" w:cs="Calibri"/>
          <w:b/>
          <w:bCs/>
          <w:sz w:val="20"/>
          <w:szCs w:val="20"/>
          <w:vertAlign w:val="superscript"/>
        </w:rPr>
        <w:t>R33A</w:t>
      </w:r>
      <w:r w:rsidRPr="00130E44">
        <w:rPr>
          <w:rFonts w:ascii="Calibri" w:hAnsi="Calibri" w:cs="Calibri"/>
          <w:b/>
          <w:bCs/>
          <w:sz w:val="20"/>
          <w:szCs w:val="20"/>
        </w:rPr>
        <w:t xml:space="preserve"> mutant.</w:t>
      </w:r>
    </w:p>
    <w:p w14:paraId="7B46B979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130E44">
        <w:rPr>
          <w:rFonts w:ascii="Calibri" w:hAnsi="Calibri" w:cs="Calibri"/>
          <w:b/>
          <w:bCs/>
          <w:sz w:val="20"/>
          <w:szCs w:val="20"/>
        </w:rPr>
        <w:t>a</w:t>
      </w:r>
      <w:r w:rsidRPr="00130E44">
        <w:rPr>
          <w:rFonts w:ascii="Calibri" w:hAnsi="Calibri" w:cs="Calibri"/>
          <w:sz w:val="20"/>
          <w:szCs w:val="20"/>
        </w:rPr>
        <w:t>, Superimposed methyl-TROSY spectra comparing wild-type HtpG (black) with the HtpG</w:t>
      </w:r>
      <w:r w:rsidRPr="00130E44">
        <w:rPr>
          <w:rFonts w:ascii="Calibri" w:hAnsi="Calibri" w:cs="Calibri"/>
          <w:sz w:val="20"/>
          <w:szCs w:val="20"/>
          <w:vertAlign w:val="superscript"/>
        </w:rPr>
        <w:t xml:space="preserve">R33A </w:t>
      </w:r>
      <w:r w:rsidRPr="00130E44">
        <w:rPr>
          <w:rFonts w:ascii="Calibri" w:hAnsi="Calibri" w:cs="Calibri"/>
          <w:sz w:val="20"/>
          <w:szCs w:val="20"/>
        </w:rPr>
        <w:t xml:space="preserve">mutant (greenish-blue), illustrating substantial CSPs induced by the mutation, which underscore its significant impact on HtpG's conformational modulation. </w:t>
      </w:r>
      <w:r w:rsidRPr="00130E44">
        <w:rPr>
          <w:rFonts w:ascii="Calibri" w:hAnsi="Calibri" w:cs="Calibri"/>
          <w:b/>
          <w:bCs/>
          <w:sz w:val="20"/>
          <w:szCs w:val="20"/>
        </w:rPr>
        <w:t>b</w:t>
      </w:r>
      <w:r w:rsidRPr="00130E44">
        <w:rPr>
          <w:rFonts w:ascii="Calibri" w:hAnsi="Calibri" w:cs="Calibri"/>
          <w:sz w:val="20"/>
          <w:szCs w:val="20"/>
        </w:rPr>
        <w:t>, Comparative methyl-TROSY spectra of wild-type HtpG (black), the HtpG</w:t>
      </w:r>
      <w:r w:rsidRPr="00130E44">
        <w:rPr>
          <w:rFonts w:ascii="Calibri" w:hAnsi="Calibri" w:cs="Calibri"/>
          <w:sz w:val="20"/>
          <w:szCs w:val="20"/>
          <w:vertAlign w:val="superscript"/>
        </w:rPr>
        <w:t>R33A</w:t>
      </w:r>
      <w:r w:rsidRPr="00130E44">
        <w:rPr>
          <w:rFonts w:ascii="Calibri" w:hAnsi="Calibri" w:cs="Calibri"/>
          <w:sz w:val="20"/>
          <w:szCs w:val="20"/>
        </w:rPr>
        <w:t xml:space="preserve"> mutant in its nucleotide-free state (greenish-blue), and the AMPPNP-bound HtpG</w:t>
      </w:r>
      <w:r w:rsidRPr="00130E44">
        <w:rPr>
          <w:rFonts w:ascii="Calibri" w:hAnsi="Calibri" w:cs="Calibri"/>
          <w:sz w:val="20"/>
          <w:szCs w:val="20"/>
          <w:vertAlign w:val="superscript"/>
        </w:rPr>
        <w:t>R33A</w:t>
      </w:r>
      <w:r w:rsidRPr="00130E44">
        <w:rPr>
          <w:rFonts w:ascii="Calibri" w:hAnsi="Calibri" w:cs="Calibri"/>
          <w:sz w:val="20"/>
          <w:szCs w:val="20"/>
        </w:rPr>
        <w:t xml:space="preserve"> mutant (pink), highlighting the mutation's effects on conformational states upon nucleotide binding. </w:t>
      </w:r>
      <w:r w:rsidRPr="00130E44">
        <w:rPr>
          <w:rFonts w:ascii="Calibri" w:hAnsi="Calibri" w:cs="Calibri"/>
          <w:b/>
          <w:bCs/>
          <w:sz w:val="20"/>
          <w:szCs w:val="20"/>
        </w:rPr>
        <w:t>c</w:t>
      </w:r>
      <w:r w:rsidRPr="00130E44">
        <w:rPr>
          <w:rFonts w:ascii="Calibri" w:hAnsi="Calibri" w:cs="Calibri"/>
          <w:sz w:val="20"/>
          <w:szCs w:val="20"/>
        </w:rPr>
        <w:t>, Overlaid methyl-TROSY spectra of wild-type HtpG (black), AMPPNP-bound wild-type HtpG (green), and AMPPNP-bound HtpG</w:t>
      </w:r>
      <w:r w:rsidRPr="00130E44">
        <w:rPr>
          <w:rFonts w:ascii="Calibri" w:hAnsi="Calibri" w:cs="Calibri"/>
          <w:sz w:val="20"/>
          <w:szCs w:val="20"/>
          <w:vertAlign w:val="superscript"/>
        </w:rPr>
        <w:t>R33A</w:t>
      </w:r>
      <w:r w:rsidRPr="00130E44">
        <w:rPr>
          <w:rFonts w:ascii="Calibri" w:hAnsi="Calibri" w:cs="Calibri"/>
          <w:sz w:val="20"/>
          <w:szCs w:val="20"/>
        </w:rPr>
        <w:t xml:space="preserve"> mutant (pink). Notably, for the arm-closure-impaired HtpG</w:t>
      </w:r>
      <w:r w:rsidRPr="00130E44">
        <w:rPr>
          <w:rFonts w:ascii="Calibri" w:hAnsi="Calibri" w:cs="Calibri"/>
          <w:sz w:val="20"/>
          <w:szCs w:val="20"/>
          <w:vertAlign w:val="superscript"/>
        </w:rPr>
        <w:t>R33A</w:t>
      </w:r>
      <w:r w:rsidRPr="00130E44">
        <w:rPr>
          <w:rFonts w:ascii="Calibri" w:hAnsi="Calibri" w:cs="Calibri"/>
          <w:sz w:val="20"/>
          <w:szCs w:val="20"/>
        </w:rPr>
        <w:t xml:space="preserve"> mutant, AMPPNP binding restricts NMR signals predominantly to an intermediate transitional state, demonstrating a stark contrast to the wild type.</w:t>
      </w:r>
    </w:p>
    <w:p w14:paraId="63464746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1A292D10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38B2701E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3083F64E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518CEC25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64C312B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5406FD69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B34873A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19348CFF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1011CCB6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15E70CD4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5BE3E905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516F5402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36F6BFD9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332AA99F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130E44">
        <w:rPr>
          <w:rFonts w:ascii="Calibri" w:hAnsi="Calibri" w:cs="Calibri"/>
          <w:noProof/>
          <w:sz w:val="20"/>
          <w:szCs w:val="20"/>
        </w:rPr>
        <w:lastRenderedPageBreak/>
        <w:drawing>
          <wp:inline distT="0" distB="0" distL="0" distR="0" wp14:anchorId="0BC34A5D" wp14:editId="5E088B41">
            <wp:extent cx="5943600" cy="2530475"/>
            <wp:effectExtent l="0" t="0" r="0" b="0"/>
            <wp:docPr id="36106502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065023" name="Picture 36106502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3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9FEAC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130E44">
        <w:rPr>
          <w:rFonts w:ascii="Calibri" w:hAnsi="Calibri" w:cs="Calibri"/>
          <w:b/>
          <w:bCs/>
          <w:sz w:val="20"/>
          <w:szCs w:val="20"/>
        </w:rPr>
        <w:t>Extended Data Fig. 3: ATPase activity analysis of HtpG and its R33A mutant.</w:t>
      </w:r>
    </w:p>
    <w:p w14:paraId="286BD205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130E44">
        <w:rPr>
          <w:rFonts w:ascii="Calibri" w:hAnsi="Calibri" w:cs="Calibri"/>
          <w:b/>
          <w:bCs/>
          <w:sz w:val="20"/>
          <w:szCs w:val="20"/>
        </w:rPr>
        <w:t>a</w:t>
      </w:r>
      <w:r w:rsidRPr="00130E44">
        <w:rPr>
          <w:rFonts w:ascii="Calibri" w:hAnsi="Calibri" w:cs="Calibri"/>
          <w:sz w:val="20"/>
          <w:szCs w:val="20"/>
        </w:rPr>
        <w:t xml:space="preserve">, Comparative enzymatic activity of HtpG and the R33A mutant measured over a 60-minute reaction at 37 °C with 5 μM enzyme concentration and 0.5 mM ATP. </w:t>
      </w:r>
      <w:r w:rsidRPr="00130E44">
        <w:rPr>
          <w:rFonts w:ascii="Calibri" w:hAnsi="Calibri" w:cs="Calibri"/>
          <w:b/>
          <w:bCs/>
          <w:sz w:val="20"/>
          <w:szCs w:val="20"/>
        </w:rPr>
        <w:t>b</w:t>
      </w:r>
      <w:r w:rsidRPr="00130E44">
        <w:rPr>
          <w:rFonts w:ascii="Calibri" w:hAnsi="Calibri" w:cs="Calibri"/>
          <w:sz w:val="20"/>
          <w:szCs w:val="20"/>
        </w:rPr>
        <w:t xml:space="preserve">, Steady-state kinetic analysis of HtpG, conducted under the same assay conditions with 2 μM enzyme concentration and varying ATP concentrations. </w:t>
      </w:r>
      <w:r w:rsidRPr="00130E44">
        <w:rPr>
          <w:rFonts w:ascii="Calibri" w:hAnsi="Calibri" w:cs="Calibri"/>
          <w:b/>
          <w:bCs/>
          <w:sz w:val="20"/>
          <w:szCs w:val="20"/>
        </w:rPr>
        <w:t>c</w:t>
      </w:r>
      <w:r w:rsidRPr="00130E44">
        <w:rPr>
          <w:rFonts w:ascii="Calibri" w:hAnsi="Calibri" w:cs="Calibri"/>
          <w:sz w:val="20"/>
          <w:szCs w:val="20"/>
        </w:rPr>
        <w:t>, Steady-state kinetic analysis of the HtpG</w:t>
      </w:r>
      <w:r w:rsidRPr="00130E44">
        <w:rPr>
          <w:rFonts w:ascii="Calibri" w:hAnsi="Calibri" w:cs="Calibri"/>
          <w:sz w:val="20"/>
          <w:szCs w:val="20"/>
          <w:vertAlign w:val="superscript"/>
        </w:rPr>
        <w:t>R33A</w:t>
      </w:r>
      <w:r w:rsidRPr="00130E44">
        <w:rPr>
          <w:rFonts w:ascii="Calibri" w:hAnsi="Calibri" w:cs="Calibri"/>
          <w:sz w:val="20"/>
          <w:szCs w:val="20"/>
        </w:rPr>
        <w:t xml:space="preserve"> mutant, following the same protocol as panel (</w:t>
      </w:r>
      <w:r w:rsidRPr="00130E44">
        <w:rPr>
          <w:rFonts w:ascii="Calibri" w:hAnsi="Calibri" w:cs="Calibri"/>
          <w:b/>
          <w:bCs/>
          <w:sz w:val="20"/>
          <w:szCs w:val="20"/>
        </w:rPr>
        <w:t>b</w:t>
      </w:r>
      <w:r w:rsidRPr="00130E44">
        <w:rPr>
          <w:rFonts w:ascii="Calibri" w:hAnsi="Calibri" w:cs="Calibri"/>
          <w:sz w:val="20"/>
          <w:szCs w:val="20"/>
        </w:rPr>
        <w:t>), showcasing the enzymatic kinetics with varied ATP concentrations.</w:t>
      </w:r>
    </w:p>
    <w:p w14:paraId="4B64D2DF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75FA92AB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8D9AC46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41B2C089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01913013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39EDF662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7911F141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4061463F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6ED0ADA2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56A21C62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427B13F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1C788F8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7EDE45B7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30258374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A30CA4A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CCD47DC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5A4A87A1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78421AFA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1B11F3D1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130E44">
        <w:rPr>
          <w:rFonts w:ascii="Calibri" w:hAnsi="Calibri" w:cs="Calibri"/>
          <w:noProof/>
          <w:sz w:val="20"/>
          <w:szCs w:val="20"/>
        </w:rPr>
        <w:lastRenderedPageBreak/>
        <w:drawing>
          <wp:inline distT="0" distB="0" distL="0" distR="0" wp14:anchorId="08D322AB" wp14:editId="26E5BCBC">
            <wp:extent cx="5943600" cy="4420870"/>
            <wp:effectExtent l="0" t="0" r="0" b="0"/>
            <wp:docPr id="107786404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864044" name="Picture 107786404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2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34A4E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130E44">
        <w:rPr>
          <w:rFonts w:ascii="Calibri" w:hAnsi="Calibri" w:cs="Calibri"/>
          <w:b/>
          <w:bCs/>
          <w:sz w:val="20"/>
          <w:szCs w:val="20"/>
        </w:rPr>
        <w:t>Extended Data Fig. 4: Structural analysis of ADP-Bound HtpG via negative-stain electron microscopy.</w:t>
      </w:r>
    </w:p>
    <w:p w14:paraId="510660B6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130E44">
        <w:rPr>
          <w:rFonts w:ascii="Calibri" w:hAnsi="Calibri" w:cs="Calibri"/>
          <w:b/>
          <w:bCs/>
          <w:sz w:val="20"/>
          <w:szCs w:val="20"/>
        </w:rPr>
        <w:t>a</w:t>
      </w:r>
      <w:r w:rsidRPr="00130E44">
        <w:rPr>
          <w:rFonts w:ascii="Calibri" w:hAnsi="Calibri" w:cs="Calibri"/>
          <w:sz w:val="20"/>
          <w:szCs w:val="20"/>
        </w:rPr>
        <w:t xml:space="preserve">, Representative raw images captured during the analysis. </w:t>
      </w:r>
      <w:r w:rsidRPr="00130E44">
        <w:rPr>
          <w:rFonts w:ascii="Calibri" w:hAnsi="Calibri" w:cs="Calibri"/>
          <w:b/>
          <w:bCs/>
          <w:sz w:val="20"/>
          <w:szCs w:val="20"/>
        </w:rPr>
        <w:t>b</w:t>
      </w:r>
      <w:r w:rsidRPr="00130E44">
        <w:rPr>
          <w:rFonts w:ascii="Calibri" w:hAnsi="Calibri" w:cs="Calibri"/>
          <w:sz w:val="20"/>
          <w:szCs w:val="20"/>
        </w:rPr>
        <w:t xml:space="preserve">, Reference-free 2D class averages highlighting the distinct conformations observed. </w:t>
      </w:r>
      <w:r w:rsidRPr="00130E44">
        <w:rPr>
          <w:rFonts w:ascii="Calibri" w:hAnsi="Calibri" w:cs="Calibri"/>
          <w:b/>
          <w:bCs/>
          <w:sz w:val="20"/>
          <w:szCs w:val="20"/>
        </w:rPr>
        <w:t>c</w:t>
      </w:r>
      <w:r w:rsidRPr="00130E44">
        <w:rPr>
          <w:rFonts w:ascii="Calibri" w:hAnsi="Calibri" w:cs="Calibri"/>
          <w:sz w:val="20"/>
          <w:szCs w:val="20"/>
        </w:rPr>
        <w:t>, Views of the compact conformation of ADP-bound HtpG, derived from EM data analysis</w:t>
      </w:r>
      <w:r w:rsidRPr="00130E44">
        <w:rPr>
          <w:rFonts w:ascii="Calibri" w:hAnsi="Calibri" w:cs="Calibri"/>
          <w:sz w:val="20"/>
          <w:szCs w:val="20"/>
        </w:rPr>
        <w:fldChar w:fldCharType="begin">
          <w:fldData xml:space="preserve">PEVuZE5vdGU+PENpdGU+PEF1dGhvcj5Tb3V0aHdvcnRoPC9BdXRob3I+PFllYXI+MjAwODwvWWVh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</w:fldData>
        </w:fldChar>
      </w:r>
      <w:r w:rsidRPr="00130E44">
        <w:rPr>
          <w:rFonts w:ascii="Calibri" w:hAnsi="Calibri" w:cs="Calibri"/>
          <w:sz w:val="20"/>
          <w:szCs w:val="20"/>
        </w:rPr>
        <w:instrText xml:space="preserve"> ADDIN EN.CITE </w:instrText>
      </w:r>
      <w:r w:rsidRPr="00130E44">
        <w:rPr>
          <w:rFonts w:ascii="Calibri" w:hAnsi="Calibri" w:cs="Calibri"/>
          <w:sz w:val="20"/>
          <w:szCs w:val="20"/>
        </w:rPr>
        <w:fldChar w:fldCharType="begin">
          <w:fldData xml:space="preserve">PEVuZE5vdGU+PENpdGU+PEF1dGhvcj5Tb3V0aHdvcnRoPC9BdXRob3I+PFllYXI+MjAwODwvWWVh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</w:fldData>
        </w:fldChar>
      </w:r>
      <w:r w:rsidRPr="00130E44">
        <w:rPr>
          <w:rFonts w:ascii="Calibri" w:hAnsi="Calibri" w:cs="Calibri"/>
          <w:sz w:val="20"/>
          <w:szCs w:val="20"/>
        </w:rPr>
        <w:instrText xml:space="preserve"> ADDIN EN.CITE.DATA </w:instrText>
      </w:r>
      <w:r w:rsidRPr="00130E44">
        <w:rPr>
          <w:rFonts w:ascii="Calibri" w:hAnsi="Calibri" w:cs="Calibri"/>
          <w:sz w:val="20"/>
          <w:szCs w:val="20"/>
        </w:rPr>
      </w:r>
      <w:r w:rsidRPr="00130E44">
        <w:rPr>
          <w:rFonts w:ascii="Calibri" w:hAnsi="Calibri" w:cs="Calibri"/>
          <w:sz w:val="20"/>
          <w:szCs w:val="20"/>
        </w:rPr>
        <w:fldChar w:fldCharType="end"/>
      </w:r>
      <w:r w:rsidRPr="00130E44">
        <w:rPr>
          <w:rFonts w:ascii="Calibri" w:hAnsi="Calibri" w:cs="Calibri"/>
          <w:sz w:val="20"/>
          <w:szCs w:val="20"/>
        </w:rPr>
      </w:r>
      <w:r w:rsidRPr="00130E44">
        <w:rPr>
          <w:rFonts w:ascii="Calibri" w:hAnsi="Calibri" w:cs="Calibri"/>
          <w:sz w:val="20"/>
          <w:szCs w:val="20"/>
        </w:rPr>
        <w:fldChar w:fldCharType="separate"/>
      </w:r>
      <w:r w:rsidRPr="00130E44">
        <w:rPr>
          <w:rFonts w:ascii="Calibri" w:hAnsi="Calibri" w:cs="Calibri"/>
          <w:noProof/>
          <w:sz w:val="20"/>
          <w:szCs w:val="20"/>
          <w:vertAlign w:val="superscript"/>
        </w:rPr>
        <w:t>10</w:t>
      </w:r>
      <w:r w:rsidRPr="00130E44">
        <w:rPr>
          <w:rFonts w:ascii="Calibri" w:hAnsi="Calibri" w:cs="Calibri"/>
          <w:sz w:val="20"/>
          <w:szCs w:val="20"/>
        </w:rPr>
        <w:fldChar w:fldCharType="end"/>
      </w:r>
      <w:r w:rsidRPr="00130E44">
        <w:rPr>
          <w:rFonts w:ascii="Calibri" w:hAnsi="Calibri" w:cs="Calibri"/>
          <w:sz w:val="20"/>
          <w:szCs w:val="20"/>
        </w:rPr>
        <w:t>.</w:t>
      </w:r>
    </w:p>
    <w:p w14:paraId="7CB8FFCE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</w:rPr>
      </w:pPr>
    </w:p>
    <w:p w14:paraId="603A6BEF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</w:rPr>
      </w:pPr>
    </w:p>
    <w:p w14:paraId="3C4B9175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</w:rPr>
      </w:pPr>
    </w:p>
    <w:p w14:paraId="3A1802FB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</w:rPr>
      </w:pPr>
    </w:p>
    <w:p w14:paraId="463729FB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</w:rPr>
      </w:pPr>
    </w:p>
    <w:p w14:paraId="4D525102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</w:rPr>
      </w:pPr>
    </w:p>
    <w:p w14:paraId="69FA96DC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</w:rPr>
      </w:pPr>
    </w:p>
    <w:p w14:paraId="4D7A6DA8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</w:rPr>
      </w:pPr>
    </w:p>
    <w:p w14:paraId="6CCDA9E9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</w:rPr>
      </w:pPr>
    </w:p>
    <w:p w14:paraId="28FC2E5B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</w:rPr>
      </w:pPr>
    </w:p>
    <w:p w14:paraId="6D8B234F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</w:rPr>
      </w:pPr>
      <w:r w:rsidRPr="00130E44">
        <w:rPr>
          <w:rFonts w:ascii="Calibri" w:hAnsi="Calibri" w:cs="Calibri"/>
          <w:noProof/>
        </w:rPr>
        <w:lastRenderedPageBreak/>
        <w:drawing>
          <wp:inline distT="0" distB="0" distL="0" distR="0" wp14:anchorId="56863E21" wp14:editId="770A5CEA">
            <wp:extent cx="5943600" cy="5439410"/>
            <wp:effectExtent l="0" t="0" r="0" b="0"/>
            <wp:docPr id="80402990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029905" name="Picture 80402990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3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68E21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130E44">
        <w:rPr>
          <w:rFonts w:ascii="Calibri" w:hAnsi="Calibri" w:cs="Calibri"/>
          <w:b/>
          <w:bCs/>
          <w:sz w:val="20"/>
          <w:szCs w:val="20"/>
        </w:rPr>
        <w:t>Extended Data Fig. 5. Dynamics of HtpG across different nucleotide states.</w:t>
      </w:r>
    </w:p>
    <w:p w14:paraId="7B174859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130E44">
        <w:rPr>
          <w:rFonts w:ascii="Calibri" w:hAnsi="Calibri" w:cs="Calibri"/>
          <w:b/>
          <w:bCs/>
          <w:sz w:val="20"/>
          <w:szCs w:val="20"/>
        </w:rPr>
        <w:t>a, b,</w:t>
      </w:r>
      <w:r w:rsidRPr="00130E44">
        <w:rPr>
          <w:rFonts w:ascii="Calibri" w:hAnsi="Calibri" w:cs="Calibri"/>
          <w:sz w:val="20"/>
          <w:szCs w:val="20"/>
        </w:rPr>
        <w:t xml:space="preserve"> Comparative analysis of dynamic profiles: Order parameter profiles (</w:t>
      </w:r>
      <w:r w:rsidRPr="00130E44">
        <w:rPr>
          <w:rFonts w:ascii="Calibri" w:hAnsi="Calibri" w:cs="Calibri"/>
          <w:b/>
          <w:bCs/>
          <w:sz w:val="20"/>
          <w:szCs w:val="20"/>
        </w:rPr>
        <w:t>a</w:t>
      </w:r>
      <w:r w:rsidRPr="00130E44">
        <w:rPr>
          <w:rFonts w:ascii="Calibri" w:hAnsi="Calibri" w:cs="Calibri"/>
          <w:sz w:val="20"/>
          <w:szCs w:val="20"/>
        </w:rPr>
        <w:t>) and CPMG relaxation dispersion profiles (</w:t>
      </w:r>
      <w:r w:rsidRPr="00130E44">
        <w:rPr>
          <w:rFonts w:ascii="Calibri" w:hAnsi="Calibri" w:cs="Calibri"/>
          <w:b/>
          <w:bCs/>
          <w:sz w:val="20"/>
          <w:szCs w:val="20"/>
        </w:rPr>
        <w:t>b</w:t>
      </w:r>
      <w:r w:rsidRPr="00130E44">
        <w:rPr>
          <w:rFonts w:ascii="Calibri" w:hAnsi="Calibri" w:cs="Calibri"/>
          <w:sz w:val="20"/>
          <w:szCs w:val="20"/>
        </w:rPr>
        <w:t xml:space="preserve">) for selected residues across nucleotide states—nucleotide-free HtpG (black dashed line), ADP-bound HtpG (orange), and AMPPNP-bound HtpG (green). </w:t>
      </w:r>
      <w:r w:rsidRPr="00130E44">
        <w:rPr>
          <w:rFonts w:ascii="Calibri" w:hAnsi="Calibri" w:cs="Calibri"/>
          <w:b/>
          <w:bCs/>
          <w:sz w:val="20"/>
          <w:szCs w:val="20"/>
        </w:rPr>
        <w:t>c</w:t>
      </w:r>
      <w:r w:rsidRPr="00130E44">
        <w:rPr>
          <w:rFonts w:ascii="Calibri" w:hAnsi="Calibri" w:cs="Calibri"/>
          <w:sz w:val="20"/>
          <w:szCs w:val="20"/>
        </w:rPr>
        <w:t>, CPMG profiles specific to residues near the client-binding grooves in HtpG, across various nucleotide states, using the same color coding as in panels (</w:t>
      </w:r>
      <w:r w:rsidRPr="00130E44">
        <w:rPr>
          <w:rFonts w:ascii="Calibri" w:hAnsi="Calibri" w:cs="Calibri"/>
          <w:b/>
          <w:bCs/>
          <w:sz w:val="20"/>
          <w:szCs w:val="20"/>
        </w:rPr>
        <w:t>a</w:t>
      </w:r>
      <w:r w:rsidRPr="00130E44">
        <w:rPr>
          <w:rFonts w:ascii="Calibri" w:hAnsi="Calibri" w:cs="Calibri"/>
          <w:sz w:val="20"/>
          <w:szCs w:val="20"/>
        </w:rPr>
        <w:t>) and (</w:t>
      </w:r>
      <w:r w:rsidRPr="00130E44">
        <w:rPr>
          <w:rFonts w:ascii="Calibri" w:hAnsi="Calibri" w:cs="Calibri"/>
          <w:b/>
          <w:bCs/>
          <w:sz w:val="20"/>
          <w:szCs w:val="20"/>
        </w:rPr>
        <w:t>b</w:t>
      </w:r>
      <w:r w:rsidRPr="00130E44">
        <w:rPr>
          <w:rFonts w:ascii="Calibri" w:hAnsi="Calibri" w:cs="Calibri"/>
          <w:sz w:val="20"/>
          <w:szCs w:val="20"/>
        </w:rPr>
        <w:t>).</w:t>
      </w:r>
    </w:p>
    <w:p w14:paraId="473F7FA8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6A113DA6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3276FF8B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1A36431A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EB8FA7D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096E502D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68067BC1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130E44">
        <w:rPr>
          <w:rFonts w:ascii="Calibri" w:hAnsi="Calibri" w:cs="Calibri"/>
          <w:noProof/>
          <w:sz w:val="20"/>
          <w:szCs w:val="20"/>
        </w:rPr>
        <w:lastRenderedPageBreak/>
        <w:drawing>
          <wp:inline distT="0" distB="0" distL="0" distR="0" wp14:anchorId="639B708C" wp14:editId="5D39884B">
            <wp:extent cx="5943600" cy="3832860"/>
            <wp:effectExtent l="0" t="0" r="0" b="2540"/>
            <wp:docPr id="41856517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565171" name="Picture 41856517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3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677CC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130E44">
        <w:rPr>
          <w:rFonts w:ascii="Calibri" w:hAnsi="Calibri" w:cs="Calibri"/>
          <w:b/>
          <w:bCs/>
          <w:sz w:val="20"/>
          <w:szCs w:val="20"/>
        </w:rPr>
        <w:t>Extended Data Fig. 6. Changes of the dynamics of HtpG upon client binding.</w:t>
      </w:r>
    </w:p>
    <w:p w14:paraId="67EEC165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130E44">
        <w:rPr>
          <w:rFonts w:ascii="Calibri" w:hAnsi="Calibri" w:cs="Calibri"/>
          <w:sz w:val="20"/>
          <w:szCs w:val="20"/>
        </w:rPr>
        <w:t>Comparison profiles of order parameters (</w:t>
      </w:r>
      <w:r w:rsidRPr="00130E44">
        <w:rPr>
          <w:rFonts w:ascii="Calibri" w:hAnsi="Calibri" w:cs="Calibri"/>
          <w:b/>
          <w:bCs/>
          <w:sz w:val="20"/>
          <w:szCs w:val="20"/>
        </w:rPr>
        <w:t>a</w:t>
      </w:r>
      <w:r w:rsidRPr="00130E44">
        <w:rPr>
          <w:rFonts w:ascii="Calibri" w:hAnsi="Calibri" w:cs="Calibri"/>
          <w:sz w:val="20"/>
          <w:szCs w:val="20"/>
        </w:rPr>
        <w:t>) and μs-ms timescale K</w:t>
      </w:r>
      <w:r w:rsidRPr="00130E44">
        <w:rPr>
          <w:rFonts w:ascii="Calibri" w:hAnsi="Calibri" w:cs="Calibri"/>
          <w:sz w:val="20"/>
          <w:szCs w:val="20"/>
          <w:vertAlign w:val="subscript"/>
        </w:rPr>
        <w:t>ex</w:t>
      </w:r>
      <w:r w:rsidRPr="00130E44">
        <w:rPr>
          <w:rFonts w:ascii="Calibri" w:hAnsi="Calibri" w:cs="Calibri"/>
          <w:sz w:val="20"/>
          <w:szCs w:val="20"/>
        </w:rPr>
        <w:t xml:space="preserve"> (</w:t>
      </w:r>
      <w:r w:rsidRPr="00130E44">
        <w:rPr>
          <w:rFonts w:ascii="Calibri" w:hAnsi="Calibri" w:cs="Calibri"/>
          <w:b/>
          <w:bCs/>
          <w:sz w:val="20"/>
          <w:szCs w:val="20"/>
        </w:rPr>
        <w:t>b</w:t>
      </w:r>
      <w:r w:rsidRPr="00130E44">
        <w:rPr>
          <w:rFonts w:ascii="Calibri" w:hAnsi="Calibri" w:cs="Calibri"/>
          <w:sz w:val="20"/>
          <w:szCs w:val="20"/>
        </w:rPr>
        <w:t>) for unliganded HtpG (black dashed line) and HtpG-Δ131Δ complex (red).</w:t>
      </w:r>
    </w:p>
    <w:p w14:paraId="4D7E3C4C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7EDC0C11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5AC7EDEC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42FF596A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591619D0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3FE92664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6E729E65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3E338140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58F25821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642BC8B2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7EBF4547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0AD1B539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A220C12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7735E980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6A4BC0F8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7736D277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130E44">
        <w:rPr>
          <w:rFonts w:ascii="Calibri" w:hAnsi="Calibri" w:cs="Calibri"/>
          <w:noProof/>
          <w:sz w:val="20"/>
          <w:szCs w:val="20"/>
        </w:rPr>
        <w:lastRenderedPageBreak/>
        <w:drawing>
          <wp:inline distT="0" distB="0" distL="0" distR="0" wp14:anchorId="032E927F" wp14:editId="2CB6BF2C">
            <wp:extent cx="5943600" cy="4907915"/>
            <wp:effectExtent l="0" t="0" r="0" b="0"/>
            <wp:docPr id="107373055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30552" name="Picture 107373055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0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52069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130E44">
        <w:rPr>
          <w:rFonts w:ascii="Calibri" w:hAnsi="Calibri" w:cs="Calibri"/>
          <w:b/>
          <w:bCs/>
          <w:sz w:val="20"/>
          <w:szCs w:val="20"/>
        </w:rPr>
        <w:t>Extended Data Fig. 7. NMR Analysis of HtpG-Δ131Δ Complex with AMPPNP.</w:t>
      </w:r>
    </w:p>
    <w:p w14:paraId="4A291551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130E44">
        <w:rPr>
          <w:rFonts w:ascii="Calibri" w:hAnsi="Calibri" w:cs="Calibri"/>
          <w:sz w:val="20"/>
          <w:szCs w:val="20"/>
        </w:rPr>
        <w:t xml:space="preserve">This figure presents detailed NMR characterizations comparing different states of the HtpG-Δ131Δ complex: </w:t>
      </w:r>
      <w:r w:rsidRPr="00130E44">
        <w:rPr>
          <w:rFonts w:ascii="Calibri" w:hAnsi="Calibri" w:cs="Calibri"/>
          <w:b/>
          <w:bCs/>
          <w:sz w:val="20"/>
          <w:szCs w:val="20"/>
        </w:rPr>
        <w:t>a</w:t>
      </w:r>
      <w:r w:rsidRPr="00130E44">
        <w:rPr>
          <w:rFonts w:ascii="Calibri" w:hAnsi="Calibri" w:cs="Calibri"/>
          <w:sz w:val="20"/>
          <w:szCs w:val="20"/>
        </w:rPr>
        <w:t xml:space="preserve">, Methyl-TROSY spectra overlay comparing the nucleotide-free (black) and AMPPNP-bound (green) states of the HtpG-Δ131Δ complex, illustrating significant chemical shift perturbations. </w:t>
      </w:r>
      <w:r w:rsidRPr="00130E44">
        <w:rPr>
          <w:rFonts w:ascii="Calibri" w:hAnsi="Calibri" w:cs="Calibri"/>
          <w:b/>
          <w:bCs/>
          <w:sz w:val="20"/>
          <w:szCs w:val="20"/>
        </w:rPr>
        <w:t>b</w:t>
      </w:r>
      <w:r w:rsidRPr="00130E44">
        <w:rPr>
          <w:rFonts w:ascii="Calibri" w:hAnsi="Calibri" w:cs="Calibri"/>
          <w:sz w:val="20"/>
          <w:szCs w:val="20"/>
        </w:rPr>
        <w:t xml:space="preserve">, Methyl-TROSY spectra comparison between the AMPPNP-bound state of unliganded HtpG (black) and the AMPPNP-bound HtpG-Δ131Δ complex (pink), highlighting differences induced by the presence of the client. </w:t>
      </w:r>
      <w:r w:rsidRPr="00130E44">
        <w:rPr>
          <w:rFonts w:ascii="Calibri" w:hAnsi="Calibri" w:cs="Calibri"/>
          <w:b/>
          <w:bCs/>
          <w:sz w:val="20"/>
          <w:szCs w:val="20"/>
        </w:rPr>
        <w:t>c</w:t>
      </w:r>
      <w:r w:rsidRPr="00130E44">
        <w:rPr>
          <w:rFonts w:ascii="Calibri" w:hAnsi="Calibri" w:cs="Calibri"/>
          <w:sz w:val="20"/>
          <w:szCs w:val="20"/>
        </w:rPr>
        <w:t>, Representative CPMG profiles for select residues within the HtpG-Δ131Δ complex, demonstrating the dynamics of interaction with the Δ131Δ client.</w:t>
      </w:r>
    </w:p>
    <w:p w14:paraId="25238E9B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6022A367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BE3911E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5442F88D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8460C18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24ACA84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A47DC9B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1E6F80F" w14:textId="77777777" w:rsidR="001A23FC" w:rsidRPr="00130E44" w:rsidRDefault="001A23FC" w:rsidP="001A23FC">
      <w:pPr>
        <w:spacing w:line="360" w:lineRule="auto"/>
        <w:jc w:val="center"/>
        <w:rPr>
          <w:rFonts w:ascii="Calibri" w:hAnsi="Calibri" w:cs="Calibri"/>
          <w:sz w:val="20"/>
          <w:szCs w:val="20"/>
        </w:rPr>
      </w:pPr>
      <w:r w:rsidRPr="00130E44">
        <w:rPr>
          <w:rFonts w:ascii="Calibri" w:hAnsi="Calibri" w:cs="Calibri"/>
          <w:noProof/>
          <w:sz w:val="20"/>
          <w:szCs w:val="20"/>
        </w:rPr>
        <w:lastRenderedPageBreak/>
        <w:drawing>
          <wp:inline distT="0" distB="0" distL="0" distR="0" wp14:anchorId="79D0B4D4" wp14:editId="245846AD">
            <wp:extent cx="5175232" cy="6995410"/>
            <wp:effectExtent l="0" t="0" r="0" b="2540"/>
            <wp:docPr id="19550981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09817" name="Picture 19550981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7055" cy="7011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71172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130E44">
        <w:rPr>
          <w:rFonts w:ascii="Calibri" w:hAnsi="Calibri" w:cs="Calibri"/>
          <w:b/>
          <w:bCs/>
          <w:sz w:val="20"/>
          <w:szCs w:val="20"/>
        </w:rPr>
        <w:t>Extended Data Fig. 8 Slow Timescale Conformational Dynamics of HtpG Assessed at Various Magnetic Fields.</w:t>
      </w:r>
      <w:r w:rsidRPr="00130E44">
        <w:rPr>
          <w:rFonts w:ascii="Calibri" w:hAnsi="Calibri" w:cs="Calibri"/>
          <w:sz w:val="20"/>
          <w:szCs w:val="20"/>
        </w:rPr>
        <w:t xml:space="preserve"> </w:t>
      </w:r>
    </w:p>
    <w:p w14:paraId="53F50C84" w14:textId="77777777" w:rsidR="001A23FC" w:rsidRPr="00130E44" w:rsidRDefault="001A23FC" w:rsidP="001A23FC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  <w:r w:rsidRPr="00130E44">
        <w:rPr>
          <w:rFonts w:ascii="Calibri" w:hAnsi="Calibri" w:cs="Calibri"/>
          <w:b/>
          <w:bCs/>
          <w:sz w:val="20"/>
          <w:szCs w:val="20"/>
        </w:rPr>
        <w:t>a-d</w:t>
      </w:r>
      <w:r w:rsidRPr="00130E44">
        <w:rPr>
          <w:rFonts w:ascii="Calibri" w:hAnsi="Calibri" w:cs="Calibri"/>
          <w:sz w:val="20"/>
          <w:szCs w:val="20"/>
        </w:rPr>
        <w:t xml:space="preserve">, Examples of relaxation dispersion curves for residues exhibiting μs-ms timescale dynamics as measured by </w:t>
      </w:r>
      <w:r w:rsidRPr="00130E44">
        <w:rPr>
          <w:rFonts w:ascii="Calibri" w:hAnsi="Calibri" w:cs="Calibri"/>
          <w:sz w:val="20"/>
          <w:szCs w:val="20"/>
          <w:vertAlign w:val="superscript"/>
        </w:rPr>
        <w:t>13</w:t>
      </w:r>
      <w:r w:rsidRPr="00130E44">
        <w:rPr>
          <w:rFonts w:ascii="Calibri" w:hAnsi="Calibri" w:cs="Calibri"/>
          <w:sz w:val="20"/>
          <w:szCs w:val="20"/>
        </w:rPr>
        <w:t>C CPMG relaxation dispersion experiments for the Apo (</w:t>
      </w:r>
      <w:r w:rsidRPr="00130E44">
        <w:rPr>
          <w:rFonts w:ascii="Calibri" w:hAnsi="Calibri" w:cs="Calibri"/>
          <w:b/>
          <w:bCs/>
          <w:sz w:val="20"/>
          <w:szCs w:val="20"/>
        </w:rPr>
        <w:t>a</w:t>
      </w:r>
      <w:r w:rsidRPr="00130E44">
        <w:rPr>
          <w:rFonts w:ascii="Calibri" w:hAnsi="Calibri" w:cs="Calibri"/>
          <w:sz w:val="20"/>
          <w:szCs w:val="20"/>
        </w:rPr>
        <w:t>), AMPPNP (</w:t>
      </w:r>
      <w:r w:rsidRPr="00130E44">
        <w:rPr>
          <w:rFonts w:ascii="Calibri" w:hAnsi="Calibri" w:cs="Calibri"/>
          <w:b/>
          <w:bCs/>
          <w:sz w:val="20"/>
          <w:szCs w:val="20"/>
        </w:rPr>
        <w:t>b</w:t>
      </w:r>
      <w:r w:rsidRPr="00130E44">
        <w:rPr>
          <w:rFonts w:ascii="Calibri" w:hAnsi="Calibri" w:cs="Calibri"/>
          <w:sz w:val="20"/>
          <w:szCs w:val="20"/>
        </w:rPr>
        <w:t>), ADP (</w:t>
      </w:r>
      <w:r w:rsidRPr="00130E44">
        <w:rPr>
          <w:rFonts w:ascii="Calibri" w:hAnsi="Calibri" w:cs="Calibri"/>
          <w:b/>
          <w:bCs/>
          <w:sz w:val="20"/>
          <w:szCs w:val="20"/>
        </w:rPr>
        <w:t>c</w:t>
      </w:r>
      <w:r w:rsidRPr="00130E44">
        <w:rPr>
          <w:rFonts w:ascii="Calibri" w:hAnsi="Calibri" w:cs="Calibri"/>
          <w:sz w:val="20"/>
          <w:szCs w:val="20"/>
        </w:rPr>
        <w:t>) and Δ131Δ (</w:t>
      </w:r>
      <w:r w:rsidRPr="00130E44">
        <w:rPr>
          <w:rFonts w:ascii="Calibri" w:hAnsi="Calibri" w:cs="Calibri"/>
          <w:b/>
          <w:bCs/>
          <w:sz w:val="20"/>
          <w:szCs w:val="20"/>
        </w:rPr>
        <w:t>d</w:t>
      </w:r>
      <w:r w:rsidRPr="00130E44">
        <w:rPr>
          <w:rFonts w:ascii="Calibri" w:hAnsi="Calibri" w:cs="Calibri"/>
          <w:sz w:val="20"/>
          <w:szCs w:val="20"/>
        </w:rPr>
        <w:t>) bound forms of HtpG.</w:t>
      </w:r>
    </w:p>
    <w:p w14:paraId="32DBEA63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3FC"/>
    <w:rsid w:val="001A23FC"/>
    <w:rsid w:val="00331A6B"/>
    <w:rsid w:val="004D6C15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B333F"/>
  <w15:chartTrackingRefBased/>
  <w15:docId w15:val="{0E79B4A6-4435-46DC-971C-1AD7F88DD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23FC"/>
    <w:pPr>
      <w:spacing w:after="0" w:line="240" w:lineRule="auto"/>
    </w:pPr>
    <w:rPr>
      <w:rFonts w:eastAsiaTheme="minorEastAsia"/>
      <w:kern w:val="0"/>
      <w:sz w:val="24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23F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23F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23F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23F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23F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23FC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23FC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23FC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23FC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23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23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23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23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23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23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23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23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23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23F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A23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23FC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A23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23FC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A23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23FC"/>
    <w:pPr>
      <w:spacing w:after="160" w:line="259" w:lineRule="auto"/>
      <w:ind w:left="720"/>
      <w:contextualSpacing/>
    </w:pPr>
    <w:rPr>
      <w:rFonts w:eastAsiaTheme="minorHAns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A23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23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23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23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648</Words>
  <Characters>3699</Characters>
  <Application>Microsoft Office Word</Application>
  <DocSecurity>0</DocSecurity>
  <Lines>30</Lines>
  <Paragraphs>8</Paragraphs>
  <ScaleCrop>false</ScaleCrop>
  <Company>Springer Nature</Company>
  <LinksUpToDate>false</LinksUpToDate>
  <CharactersWithSpaces>4339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2024-08-12T00:50:00Z</dcterms:created>
  <dcterms:modified xsi:type="dcterms:W3CDTF">2024-08-12T00:51:00Z</dcterms:modified>
</cp:coreProperties>
</file>